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6E" w:rsidRDefault="00FD056E" w:rsidP="00DA1C63">
      <w:pPr>
        <w:jc w:val="left"/>
      </w:pPr>
    </w:p>
    <w:p w:rsidR="00927801" w:rsidRPr="00561D8B" w:rsidRDefault="00927801" w:rsidP="00DA1C63">
      <w:pPr>
        <w:jc w:val="left"/>
      </w:pPr>
    </w:p>
    <w:p w:rsidR="00FD056E" w:rsidRPr="00561D8B" w:rsidRDefault="00FD056E" w:rsidP="00DA1C63">
      <w:pPr>
        <w:ind w:left="0" w:firstLine="0"/>
        <w:jc w:val="left"/>
      </w:pPr>
    </w:p>
    <w:p w:rsidR="006A2378" w:rsidRPr="00561D8B" w:rsidRDefault="006A2378" w:rsidP="00DA1C63">
      <w:pPr>
        <w:ind w:left="0" w:firstLine="0"/>
        <w:jc w:val="left"/>
      </w:pPr>
    </w:p>
    <w:p w:rsidR="00FD056E" w:rsidRPr="00561D8B" w:rsidRDefault="00FD056E" w:rsidP="00DA1C63">
      <w:pPr>
        <w:jc w:val="left"/>
      </w:pPr>
    </w:p>
    <w:p w:rsidR="00FD056E" w:rsidRPr="00561D8B" w:rsidRDefault="00FD056E" w:rsidP="00DA1C63">
      <w:pPr>
        <w:jc w:val="left"/>
      </w:pPr>
    </w:p>
    <w:p w:rsidR="00FD056E" w:rsidRPr="00561D8B" w:rsidRDefault="00FD056E" w:rsidP="00DA1C63">
      <w:pPr>
        <w:jc w:val="left"/>
      </w:pPr>
    </w:p>
    <w:p w:rsidR="00FD056E" w:rsidRPr="00561D8B" w:rsidRDefault="00FD056E" w:rsidP="00DA1C63">
      <w:pPr>
        <w:jc w:val="left"/>
      </w:pPr>
    </w:p>
    <w:p w:rsidR="00FD056E" w:rsidRPr="00561D8B" w:rsidRDefault="00FD056E" w:rsidP="00DA1C63">
      <w:pPr>
        <w:jc w:val="left"/>
      </w:pPr>
    </w:p>
    <w:p w:rsidR="00FE20DB" w:rsidRPr="00561D8B" w:rsidRDefault="00FE20DB" w:rsidP="00DA1C63">
      <w:pPr>
        <w:ind w:left="0" w:firstLine="0"/>
        <w:jc w:val="left"/>
        <w:rPr>
          <w:sz w:val="52"/>
        </w:rPr>
      </w:pPr>
    </w:p>
    <w:p w:rsidR="003056E2" w:rsidRPr="00561D8B" w:rsidRDefault="004B598E" w:rsidP="00DA1C63">
      <w:pPr>
        <w:ind w:left="0" w:firstLine="0"/>
        <w:jc w:val="left"/>
        <w:rPr>
          <w:sz w:val="56"/>
        </w:rPr>
      </w:pPr>
      <w:r>
        <w:rPr>
          <w:noProof/>
          <w:sz w:val="56"/>
        </w:rPr>
        <w:drawing>
          <wp:anchor distT="0" distB="0" distL="114300" distR="114300" simplePos="0" relativeHeight="251633664" behindDoc="0" locked="0" layoutInCell="1" allowOverlap="1">
            <wp:simplePos x="0" y="0"/>
            <wp:positionH relativeFrom="margin">
              <wp:posOffset>2030730</wp:posOffset>
            </wp:positionH>
            <wp:positionV relativeFrom="margin">
              <wp:posOffset>2181860</wp:posOffset>
            </wp:positionV>
            <wp:extent cx="1906905" cy="499745"/>
            <wp:effectExtent l="19050" t="0" r="0" b="0"/>
            <wp:wrapSquare wrapText="bothSides"/>
            <wp:docPr id="45" name="Picture 11" descr="DOELogoBanner01_14Jan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ELogoBanner01_14Jan2011.gif"/>
                    <pic:cNvPicPr>
                      <a:picLocks noChangeAspect="1" noChangeArrowheads="1"/>
                    </pic:cNvPicPr>
                  </pic:nvPicPr>
                  <pic:blipFill>
                    <a:blip r:embed="rId8" cstate="print"/>
                    <a:srcRect/>
                    <a:stretch>
                      <a:fillRect/>
                    </a:stretch>
                  </pic:blipFill>
                  <pic:spPr bwMode="auto">
                    <a:xfrm>
                      <a:off x="0" y="0"/>
                      <a:ext cx="1906905" cy="499745"/>
                    </a:xfrm>
                    <a:prstGeom prst="rect">
                      <a:avLst/>
                    </a:prstGeom>
                    <a:noFill/>
                    <a:ln w="9525">
                      <a:noFill/>
                      <a:miter lim="800000"/>
                      <a:headEnd/>
                      <a:tailEnd/>
                    </a:ln>
                  </pic:spPr>
                </pic:pic>
              </a:graphicData>
            </a:graphic>
          </wp:anchor>
        </w:drawing>
      </w:r>
    </w:p>
    <w:p w:rsidR="003056E2" w:rsidRPr="00561D8B" w:rsidRDefault="003056E2" w:rsidP="00DA1C63">
      <w:pPr>
        <w:ind w:left="0" w:firstLine="0"/>
        <w:jc w:val="left"/>
        <w:rPr>
          <w:sz w:val="56"/>
        </w:rPr>
      </w:pPr>
    </w:p>
    <w:p w:rsidR="00D01F1B" w:rsidRPr="00561D8B" w:rsidRDefault="00FD056E" w:rsidP="001002EF">
      <w:pPr>
        <w:ind w:left="0" w:firstLine="0"/>
        <w:jc w:val="center"/>
        <w:rPr>
          <w:sz w:val="44"/>
        </w:rPr>
      </w:pPr>
      <w:r w:rsidRPr="00561D8B">
        <w:rPr>
          <w:sz w:val="44"/>
        </w:rPr>
        <w:t>DOE E</w:t>
      </w:r>
      <w:r w:rsidR="00D01F1B" w:rsidRPr="00561D8B">
        <w:rPr>
          <w:sz w:val="44"/>
        </w:rPr>
        <w:t xml:space="preserve">nterprise </w:t>
      </w:r>
      <w:r w:rsidRPr="00561D8B">
        <w:rPr>
          <w:sz w:val="44"/>
        </w:rPr>
        <w:t>A</w:t>
      </w:r>
      <w:r w:rsidR="00D01F1B" w:rsidRPr="00561D8B">
        <w:rPr>
          <w:sz w:val="44"/>
        </w:rPr>
        <w:t>rchitecture</w:t>
      </w:r>
    </w:p>
    <w:p w:rsidR="00CC0857" w:rsidRPr="004B598E" w:rsidRDefault="00CC0857" w:rsidP="001002EF">
      <w:pPr>
        <w:ind w:left="0" w:firstLine="0"/>
        <w:jc w:val="center"/>
        <w:rPr>
          <w:sz w:val="28"/>
          <w:szCs w:val="72"/>
        </w:rPr>
      </w:pPr>
    </w:p>
    <w:p w:rsidR="00FD056E" w:rsidRDefault="00CC0857" w:rsidP="001002EF">
      <w:pPr>
        <w:ind w:left="0" w:firstLine="0"/>
        <w:jc w:val="center"/>
        <w:rPr>
          <w:sz w:val="72"/>
          <w:szCs w:val="72"/>
        </w:rPr>
      </w:pPr>
      <w:r>
        <w:rPr>
          <w:sz w:val="72"/>
          <w:szCs w:val="72"/>
        </w:rPr>
        <w:t xml:space="preserve">Enterprise </w:t>
      </w:r>
      <w:r w:rsidR="00FD056E" w:rsidRPr="00CC0857">
        <w:rPr>
          <w:sz w:val="72"/>
          <w:szCs w:val="72"/>
        </w:rPr>
        <w:t>Transition Plan</w:t>
      </w:r>
      <w:r w:rsidR="00D01F1B" w:rsidRPr="00CC0857">
        <w:rPr>
          <w:sz w:val="72"/>
          <w:szCs w:val="72"/>
        </w:rPr>
        <w:t xml:space="preserve"> </w:t>
      </w:r>
    </w:p>
    <w:p w:rsidR="004B598E" w:rsidRPr="00CC0857" w:rsidRDefault="004B598E" w:rsidP="001002EF">
      <w:pPr>
        <w:ind w:left="0" w:firstLine="0"/>
        <w:jc w:val="center"/>
        <w:rPr>
          <w:sz w:val="72"/>
          <w:szCs w:val="72"/>
        </w:rPr>
      </w:pPr>
    </w:p>
    <w:p w:rsidR="00FD056E" w:rsidRPr="00561D8B" w:rsidRDefault="00FD056E" w:rsidP="00DA1C63">
      <w:pPr>
        <w:jc w:val="left"/>
        <w:rPr>
          <w:sz w:val="56"/>
        </w:rPr>
      </w:pPr>
    </w:p>
    <w:p w:rsidR="001002EF" w:rsidRDefault="001002EF" w:rsidP="001002EF">
      <w:pPr>
        <w:jc w:val="center"/>
        <w:rPr>
          <w:sz w:val="32"/>
        </w:rPr>
      </w:pPr>
    </w:p>
    <w:p w:rsidR="001002EF" w:rsidRDefault="001002EF" w:rsidP="001002EF">
      <w:pPr>
        <w:jc w:val="center"/>
        <w:rPr>
          <w:sz w:val="32"/>
        </w:rPr>
      </w:pPr>
    </w:p>
    <w:p w:rsidR="001002EF" w:rsidRDefault="001002EF" w:rsidP="001002EF">
      <w:pPr>
        <w:jc w:val="center"/>
        <w:rPr>
          <w:sz w:val="32"/>
        </w:rPr>
      </w:pPr>
    </w:p>
    <w:p w:rsidR="001002EF" w:rsidRDefault="001002EF" w:rsidP="001002EF">
      <w:pPr>
        <w:jc w:val="center"/>
        <w:rPr>
          <w:sz w:val="32"/>
        </w:rPr>
      </w:pPr>
    </w:p>
    <w:p w:rsidR="001002EF" w:rsidRDefault="001002EF" w:rsidP="001002EF">
      <w:pPr>
        <w:jc w:val="center"/>
        <w:rPr>
          <w:sz w:val="32"/>
        </w:rPr>
      </w:pPr>
    </w:p>
    <w:p w:rsidR="001002EF" w:rsidRDefault="001002EF" w:rsidP="001002EF">
      <w:pPr>
        <w:jc w:val="center"/>
        <w:rPr>
          <w:sz w:val="32"/>
        </w:rPr>
      </w:pPr>
    </w:p>
    <w:p w:rsidR="001002EF" w:rsidRDefault="001002EF" w:rsidP="001002EF">
      <w:pPr>
        <w:jc w:val="center"/>
        <w:rPr>
          <w:sz w:val="32"/>
        </w:rPr>
      </w:pPr>
    </w:p>
    <w:p w:rsidR="00FD056E" w:rsidRPr="00561D8B" w:rsidRDefault="003C299E" w:rsidP="001002EF">
      <w:pPr>
        <w:jc w:val="center"/>
        <w:rPr>
          <w:sz w:val="32"/>
        </w:rPr>
      </w:pPr>
      <w:r>
        <w:rPr>
          <w:sz w:val="32"/>
        </w:rPr>
        <w:t>April</w:t>
      </w:r>
      <w:r w:rsidR="006958FB" w:rsidRPr="00561D8B">
        <w:rPr>
          <w:sz w:val="32"/>
        </w:rPr>
        <w:t xml:space="preserve"> 2011</w:t>
      </w:r>
    </w:p>
    <w:p w:rsidR="00A0109F" w:rsidRPr="00D96F26" w:rsidRDefault="00A0109F" w:rsidP="00CC0857">
      <w:pPr>
        <w:pStyle w:val="Heading1"/>
        <w:spacing w:before="0"/>
        <w:ind w:left="0" w:firstLine="0"/>
        <w:jc w:val="center"/>
        <w:rPr>
          <w:rFonts w:cs="Calibri"/>
        </w:rPr>
      </w:pPr>
      <w:bookmarkStart w:id="0" w:name="_Toc286123578"/>
      <w:bookmarkStart w:id="1" w:name="_Toc286753570"/>
      <w:r w:rsidRPr="00D96F26">
        <w:rPr>
          <w:rFonts w:cs="Calibri"/>
        </w:rPr>
        <w:lastRenderedPageBreak/>
        <w:t>Table of Contents</w:t>
      </w:r>
      <w:bookmarkEnd w:id="0"/>
      <w:bookmarkEnd w:id="1"/>
    </w:p>
    <w:p w:rsidR="00DD413E" w:rsidRPr="00561D8B" w:rsidRDefault="00DD413E" w:rsidP="00DA1C63">
      <w:pPr>
        <w:pStyle w:val="Heading1"/>
        <w:spacing w:before="0"/>
        <w:ind w:left="0" w:firstLine="0"/>
        <w:jc w:val="left"/>
        <w:rPr>
          <w:rFonts w:ascii="Calibri" w:hAnsi="Calibri" w:cs="Calibri"/>
        </w:rPr>
      </w:pPr>
    </w:p>
    <w:p w:rsidR="00055C64" w:rsidRDefault="00D52312" w:rsidP="00055C64">
      <w:pPr>
        <w:pStyle w:val="TOC1"/>
        <w:rPr>
          <w:rFonts w:asciiTheme="minorHAnsi" w:eastAsiaTheme="minorEastAsia" w:hAnsiTheme="minorHAnsi" w:cstheme="minorBidi"/>
          <w:b w:val="0"/>
          <w:bCs w:val="0"/>
          <w:caps w:val="0"/>
          <w:noProof/>
          <w:sz w:val="22"/>
          <w:szCs w:val="22"/>
        </w:rPr>
      </w:pPr>
      <w:r w:rsidRPr="00561D8B">
        <w:rPr>
          <w:rFonts w:ascii="Calibri" w:hAnsi="Calibri"/>
        </w:rPr>
        <w:fldChar w:fldCharType="begin"/>
      </w:r>
      <w:r w:rsidR="00B66128" w:rsidRPr="00561D8B">
        <w:rPr>
          <w:rFonts w:ascii="Calibri" w:hAnsi="Calibri"/>
        </w:rPr>
        <w:instrText xml:space="preserve"> TOC \o "1-3" \h \z \u </w:instrText>
      </w:r>
      <w:r w:rsidRPr="00561D8B">
        <w:rPr>
          <w:rFonts w:ascii="Calibri" w:hAnsi="Calibri"/>
        </w:rPr>
        <w:fldChar w:fldCharType="separate"/>
      </w:r>
      <w:hyperlink w:anchor="_Toc286753570" w:history="1">
        <w:r w:rsidR="00055C64" w:rsidRPr="00F86E7C">
          <w:rPr>
            <w:rStyle w:val="Hyperlink"/>
            <w:noProof/>
          </w:rPr>
          <w:t>Table of Contents</w:t>
        </w:r>
        <w:r w:rsidR="00055C64">
          <w:rPr>
            <w:noProof/>
            <w:webHidden/>
          </w:rPr>
          <w:tab/>
        </w:r>
        <w:r>
          <w:rPr>
            <w:noProof/>
            <w:webHidden/>
          </w:rPr>
          <w:fldChar w:fldCharType="begin"/>
        </w:r>
        <w:r w:rsidR="00055C64">
          <w:rPr>
            <w:noProof/>
            <w:webHidden/>
          </w:rPr>
          <w:instrText xml:space="preserve"> PAGEREF _Toc286753570 \h </w:instrText>
        </w:r>
        <w:r>
          <w:rPr>
            <w:noProof/>
            <w:webHidden/>
          </w:rPr>
        </w:r>
        <w:r>
          <w:rPr>
            <w:noProof/>
            <w:webHidden/>
          </w:rPr>
          <w:fldChar w:fldCharType="separate"/>
        </w:r>
        <w:r w:rsidR="00C068AF">
          <w:rPr>
            <w:noProof/>
            <w:webHidden/>
          </w:rPr>
          <w:t>ii</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571" w:history="1">
        <w:r w:rsidR="00055C64" w:rsidRPr="00F86E7C">
          <w:rPr>
            <w:rStyle w:val="Hyperlink"/>
            <w:noProof/>
          </w:rPr>
          <w:t>Table of Figures</w:t>
        </w:r>
        <w:r w:rsidR="00055C64">
          <w:rPr>
            <w:noProof/>
            <w:webHidden/>
          </w:rPr>
          <w:tab/>
        </w:r>
        <w:r>
          <w:rPr>
            <w:noProof/>
            <w:webHidden/>
          </w:rPr>
          <w:fldChar w:fldCharType="begin"/>
        </w:r>
        <w:r w:rsidR="00055C64">
          <w:rPr>
            <w:noProof/>
            <w:webHidden/>
          </w:rPr>
          <w:instrText xml:space="preserve"> PAGEREF _Toc286753571 \h </w:instrText>
        </w:r>
        <w:r>
          <w:rPr>
            <w:noProof/>
            <w:webHidden/>
          </w:rPr>
        </w:r>
        <w:r>
          <w:rPr>
            <w:noProof/>
            <w:webHidden/>
          </w:rPr>
          <w:fldChar w:fldCharType="separate"/>
        </w:r>
        <w:r w:rsidR="00C068AF">
          <w:rPr>
            <w:noProof/>
            <w:webHidden/>
          </w:rPr>
          <w:t>iii</w:t>
        </w:r>
        <w:r>
          <w:rPr>
            <w:noProof/>
            <w:webHidden/>
          </w:rPr>
          <w:fldChar w:fldCharType="end"/>
        </w:r>
      </w:hyperlink>
    </w:p>
    <w:p w:rsidR="00055C64" w:rsidRDefault="00D52312" w:rsidP="009016FC">
      <w:pPr>
        <w:pStyle w:val="TOC1"/>
        <w:spacing w:after="240"/>
        <w:rPr>
          <w:rFonts w:asciiTheme="minorHAnsi" w:eastAsiaTheme="minorEastAsia" w:hAnsiTheme="minorHAnsi" w:cstheme="minorBidi"/>
          <w:b w:val="0"/>
          <w:bCs w:val="0"/>
          <w:caps w:val="0"/>
          <w:noProof/>
          <w:sz w:val="22"/>
          <w:szCs w:val="22"/>
        </w:rPr>
      </w:pPr>
      <w:hyperlink w:anchor="_Toc286753572" w:history="1">
        <w:r w:rsidR="00055C64" w:rsidRPr="00F86E7C">
          <w:rPr>
            <w:rStyle w:val="Hyperlink"/>
            <w:rFonts w:asciiTheme="majorHAnsi" w:hAnsiTheme="majorHAnsi"/>
            <w:noProof/>
          </w:rPr>
          <w:t>Executive Summary</w:t>
        </w:r>
        <w:r w:rsidR="00055C64">
          <w:rPr>
            <w:noProof/>
            <w:webHidden/>
          </w:rPr>
          <w:tab/>
        </w:r>
        <w:r>
          <w:rPr>
            <w:noProof/>
            <w:webHidden/>
          </w:rPr>
          <w:fldChar w:fldCharType="begin"/>
        </w:r>
        <w:r w:rsidR="00055C64">
          <w:rPr>
            <w:noProof/>
            <w:webHidden/>
          </w:rPr>
          <w:instrText xml:space="preserve"> PAGEREF _Toc286753572 \h </w:instrText>
        </w:r>
        <w:r>
          <w:rPr>
            <w:noProof/>
            <w:webHidden/>
          </w:rPr>
        </w:r>
        <w:r>
          <w:rPr>
            <w:noProof/>
            <w:webHidden/>
          </w:rPr>
          <w:fldChar w:fldCharType="separate"/>
        </w:r>
        <w:r w:rsidR="00C068AF">
          <w:rPr>
            <w:noProof/>
            <w:webHidden/>
          </w:rPr>
          <w:t>1</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573" w:history="1">
        <w:r w:rsidR="00055C64" w:rsidRPr="00F86E7C">
          <w:rPr>
            <w:rStyle w:val="Hyperlink"/>
            <w:rFonts w:asciiTheme="majorHAnsi" w:hAnsiTheme="majorHAnsi"/>
            <w:noProof/>
          </w:rPr>
          <w:t>1.</w:t>
        </w:r>
        <w:r w:rsidR="00055C64">
          <w:rPr>
            <w:rFonts w:asciiTheme="minorHAnsi" w:eastAsiaTheme="minorEastAsia" w:hAnsiTheme="minorHAnsi" w:cstheme="minorBidi"/>
            <w:b w:val="0"/>
            <w:bCs w:val="0"/>
            <w:caps w:val="0"/>
            <w:noProof/>
            <w:sz w:val="22"/>
            <w:szCs w:val="22"/>
          </w:rPr>
          <w:tab/>
        </w:r>
        <w:r w:rsidR="00055C64" w:rsidRPr="00F86E7C">
          <w:rPr>
            <w:rStyle w:val="Hyperlink"/>
            <w:rFonts w:asciiTheme="majorHAnsi" w:hAnsiTheme="majorHAnsi"/>
            <w:noProof/>
          </w:rPr>
          <w:t>Introduction</w:t>
        </w:r>
        <w:r w:rsidR="00055C64">
          <w:rPr>
            <w:noProof/>
            <w:webHidden/>
          </w:rPr>
          <w:tab/>
        </w:r>
        <w:r>
          <w:rPr>
            <w:noProof/>
            <w:webHidden/>
          </w:rPr>
          <w:fldChar w:fldCharType="begin"/>
        </w:r>
        <w:r w:rsidR="00055C64">
          <w:rPr>
            <w:noProof/>
            <w:webHidden/>
          </w:rPr>
          <w:instrText xml:space="preserve"> PAGEREF _Toc286753573 \h </w:instrText>
        </w:r>
        <w:r>
          <w:rPr>
            <w:noProof/>
            <w:webHidden/>
          </w:rPr>
        </w:r>
        <w:r>
          <w:rPr>
            <w:noProof/>
            <w:webHidden/>
          </w:rPr>
          <w:fldChar w:fldCharType="separate"/>
        </w:r>
        <w:r w:rsidR="00C068AF">
          <w:rPr>
            <w:noProof/>
            <w:webHidden/>
          </w:rPr>
          <w:t>2</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574" w:history="1">
        <w:r w:rsidR="00055C64" w:rsidRPr="00F86E7C">
          <w:rPr>
            <w:rStyle w:val="Hyperlink"/>
            <w:rFonts w:asciiTheme="majorHAnsi" w:hAnsiTheme="majorHAnsi"/>
            <w:noProof/>
          </w:rPr>
          <w:t>1.1.</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Organization</w:t>
        </w:r>
        <w:r w:rsidR="00055C64">
          <w:rPr>
            <w:noProof/>
            <w:webHidden/>
          </w:rPr>
          <w:tab/>
        </w:r>
        <w:r>
          <w:rPr>
            <w:noProof/>
            <w:webHidden/>
          </w:rPr>
          <w:fldChar w:fldCharType="begin"/>
        </w:r>
        <w:r w:rsidR="00055C64">
          <w:rPr>
            <w:noProof/>
            <w:webHidden/>
          </w:rPr>
          <w:instrText xml:space="preserve"> PAGEREF _Toc286753574 \h </w:instrText>
        </w:r>
        <w:r>
          <w:rPr>
            <w:noProof/>
            <w:webHidden/>
          </w:rPr>
        </w:r>
        <w:r>
          <w:rPr>
            <w:noProof/>
            <w:webHidden/>
          </w:rPr>
          <w:fldChar w:fldCharType="separate"/>
        </w:r>
        <w:r w:rsidR="00C068AF">
          <w:rPr>
            <w:noProof/>
            <w:webHidden/>
          </w:rPr>
          <w:t>2</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580" w:history="1">
        <w:r w:rsidR="00055C64" w:rsidRPr="00F86E7C">
          <w:rPr>
            <w:rStyle w:val="Hyperlink"/>
            <w:rFonts w:asciiTheme="majorHAnsi" w:hAnsiTheme="majorHAnsi"/>
            <w:noProof/>
          </w:rPr>
          <w:t>1.2.</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Federated Nature of DOE and its EA</w:t>
        </w:r>
        <w:r w:rsidR="00055C64">
          <w:rPr>
            <w:noProof/>
            <w:webHidden/>
          </w:rPr>
          <w:tab/>
        </w:r>
        <w:r>
          <w:rPr>
            <w:noProof/>
            <w:webHidden/>
          </w:rPr>
          <w:fldChar w:fldCharType="begin"/>
        </w:r>
        <w:r w:rsidR="00055C64">
          <w:rPr>
            <w:noProof/>
            <w:webHidden/>
          </w:rPr>
          <w:instrText xml:space="preserve"> PAGEREF _Toc286753580 \h </w:instrText>
        </w:r>
        <w:r>
          <w:rPr>
            <w:noProof/>
            <w:webHidden/>
          </w:rPr>
        </w:r>
        <w:r>
          <w:rPr>
            <w:noProof/>
            <w:webHidden/>
          </w:rPr>
          <w:fldChar w:fldCharType="separate"/>
        </w:r>
        <w:r w:rsidR="00C068AF">
          <w:rPr>
            <w:noProof/>
            <w:webHidden/>
          </w:rPr>
          <w:t>3</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588" w:history="1">
        <w:r w:rsidR="00055C64" w:rsidRPr="00F86E7C">
          <w:rPr>
            <w:rStyle w:val="Hyperlink"/>
            <w:rFonts w:asciiTheme="majorHAnsi" w:hAnsiTheme="majorHAnsi"/>
            <w:noProof/>
          </w:rPr>
          <w:t>1.4.</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Key DOE EA Focus Areas</w:t>
        </w:r>
        <w:r w:rsidR="00055C64">
          <w:rPr>
            <w:noProof/>
            <w:webHidden/>
          </w:rPr>
          <w:tab/>
        </w:r>
        <w:r>
          <w:rPr>
            <w:noProof/>
            <w:webHidden/>
          </w:rPr>
          <w:fldChar w:fldCharType="begin"/>
        </w:r>
        <w:r w:rsidR="00055C64">
          <w:rPr>
            <w:noProof/>
            <w:webHidden/>
          </w:rPr>
          <w:instrText xml:space="preserve"> PAGEREF _Toc286753588 \h </w:instrText>
        </w:r>
        <w:r>
          <w:rPr>
            <w:noProof/>
            <w:webHidden/>
          </w:rPr>
        </w:r>
        <w:r>
          <w:rPr>
            <w:noProof/>
            <w:webHidden/>
          </w:rPr>
          <w:fldChar w:fldCharType="separate"/>
        </w:r>
        <w:r w:rsidR="00C068AF">
          <w:rPr>
            <w:noProof/>
            <w:webHidden/>
          </w:rPr>
          <w:t>4</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589" w:history="1">
        <w:r w:rsidR="00055C64" w:rsidRPr="00F86E7C">
          <w:rPr>
            <w:rStyle w:val="Hyperlink"/>
            <w:rFonts w:asciiTheme="majorHAnsi" w:hAnsiTheme="majorHAnsi"/>
            <w:noProof/>
          </w:rPr>
          <w:t>1.4.1.</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EA Governance Framework</w:t>
        </w:r>
        <w:r w:rsidR="00055C64">
          <w:rPr>
            <w:noProof/>
            <w:webHidden/>
          </w:rPr>
          <w:tab/>
        </w:r>
        <w:r>
          <w:rPr>
            <w:noProof/>
            <w:webHidden/>
          </w:rPr>
          <w:fldChar w:fldCharType="begin"/>
        </w:r>
        <w:r w:rsidR="00055C64">
          <w:rPr>
            <w:noProof/>
            <w:webHidden/>
          </w:rPr>
          <w:instrText xml:space="preserve"> PAGEREF _Toc286753589 \h </w:instrText>
        </w:r>
        <w:r>
          <w:rPr>
            <w:noProof/>
            <w:webHidden/>
          </w:rPr>
        </w:r>
        <w:r>
          <w:rPr>
            <w:noProof/>
            <w:webHidden/>
          </w:rPr>
          <w:fldChar w:fldCharType="separate"/>
        </w:r>
        <w:r w:rsidR="00C068AF">
          <w:rPr>
            <w:noProof/>
            <w:webHidden/>
          </w:rPr>
          <w:t>4</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590" w:history="1">
        <w:r w:rsidR="00055C64" w:rsidRPr="00F86E7C">
          <w:rPr>
            <w:rStyle w:val="Hyperlink"/>
            <w:rFonts w:asciiTheme="majorHAnsi" w:hAnsiTheme="majorHAnsi"/>
            <w:noProof/>
          </w:rPr>
          <w:t>1.4.2.</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DOE EA Segment Maturation</w:t>
        </w:r>
        <w:r w:rsidR="00055C64">
          <w:rPr>
            <w:noProof/>
            <w:webHidden/>
          </w:rPr>
          <w:tab/>
        </w:r>
        <w:r>
          <w:rPr>
            <w:noProof/>
            <w:webHidden/>
          </w:rPr>
          <w:fldChar w:fldCharType="begin"/>
        </w:r>
        <w:r w:rsidR="00055C64">
          <w:rPr>
            <w:noProof/>
            <w:webHidden/>
          </w:rPr>
          <w:instrText xml:space="preserve"> PAGEREF _Toc286753590 \h </w:instrText>
        </w:r>
        <w:r>
          <w:rPr>
            <w:noProof/>
            <w:webHidden/>
          </w:rPr>
        </w:r>
        <w:r>
          <w:rPr>
            <w:noProof/>
            <w:webHidden/>
          </w:rPr>
          <w:fldChar w:fldCharType="separate"/>
        </w:r>
        <w:r w:rsidR="00C068AF">
          <w:rPr>
            <w:noProof/>
            <w:webHidden/>
          </w:rPr>
          <w:t>5</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591" w:history="1">
        <w:r w:rsidR="00055C64" w:rsidRPr="00F86E7C">
          <w:rPr>
            <w:rStyle w:val="Hyperlink"/>
            <w:rFonts w:asciiTheme="majorHAnsi" w:hAnsiTheme="majorHAnsi"/>
            <w:noProof/>
          </w:rPr>
          <w:t>1.4.3.</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Improved Segment-to-Investment Alignment</w:t>
        </w:r>
        <w:r w:rsidR="00055C64">
          <w:rPr>
            <w:noProof/>
            <w:webHidden/>
          </w:rPr>
          <w:tab/>
        </w:r>
        <w:r>
          <w:rPr>
            <w:noProof/>
            <w:webHidden/>
          </w:rPr>
          <w:fldChar w:fldCharType="begin"/>
        </w:r>
        <w:r w:rsidR="00055C64">
          <w:rPr>
            <w:noProof/>
            <w:webHidden/>
          </w:rPr>
          <w:instrText xml:space="preserve"> PAGEREF _Toc286753591 \h </w:instrText>
        </w:r>
        <w:r>
          <w:rPr>
            <w:noProof/>
            <w:webHidden/>
          </w:rPr>
        </w:r>
        <w:r>
          <w:rPr>
            <w:noProof/>
            <w:webHidden/>
          </w:rPr>
          <w:fldChar w:fldCharType="separate"/>
        </w:r>
        <w:r w:rsidR="00C068AF">
          <w:rPr>
            <w:noProof/>
            <w:webHidden/>
          </w:rPr>
          <w:t>5</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16" w:history="1">
        <w:r w:rsidR="00055C64" w:rsidRPr="00F86E7C">
          <w:rPr>
            <w:rStyle w:val="Hyperlink"/>
            <w:rFonts w:asciiTheme="majorHAnsi" w:hAnsiTheme="majorHAnsi"/>
            <w:noProof/>
          </w:rPr>
          <w:t>1.4.4.</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Business Intelligence Tool &amp; Enterprise Repository</w:t>
        </w:r>
        <w:r w:rsidR="00055C64">
          <w:rPr>
            <w:noProof/>
            <w:webHidden/>
          </w:rPr>
          <w:tab/>
        </w:r>
        <w:r>
          <w:rPr>
            <w:noProof/>
            <w:webHidden/>
          </w:rPr>
          <w:fldChar w:fldCharType="begin"/>
        </w:r>
        <w:r w:rsidR="00055C64">
          <w:rPr>
            <w:noProof/>
            <w:webHidden/>
          </w:rPr>
          <w:instrText xml:space="preserve"> PAGEREF _Toc286753616 \h </w:instrText>
        </w:r>
        <w:r>
          <w:rPr>
            <w:noProof/>
            <w:webHidden/>
          </w:rPr>
        </w:r>
        <w:r>
          <w:rPr>
            <w:noProof/>
            <w:webHidden/>
          </w:rPr>
          <w:fldChar w:fldCharType="separate"/>
        </w:r>
        <w:r w:rsidR="00C068AF">
          <w:rPr>
            <w:noProof/>
            <w:webHidden/>
          </w:rPr>
          <w:t>6</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17" w:history="1">
        <w:r w:rsidR="00055C64" w:rsidRPr="00F86E7C">
          <w:rPr>
            <w:rStyle w:val="Hyperlink"/>
            <w:rFonts w:asciiTheme="majorHAnsi" w:hAnsiTheme="majorHAnsi"/>
            <w:noProof/>
          </w:rPr>
          <w:t>1.5.</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Baseline Architecture Overview</w:t>
        </w:r>
        <w:r w:rsidR="00055C64">
          <w:rPr>
            <w:noProof/>
            <w:webHidden/>
          </w:rPr>
          <w:tab/>
        </w:r>
        <w:r>
          <w:rPr>
            <w:noProof/>
            <w:webHidden/>
          </w:rPr>
          <w:fldChar w:fldCharType="begin"/>
        </w:r>
        <w:r w:rsidR="00055C64">
          <w:rPr>
            <w:noProof/>
            <w:webHidden/>
          </w:rPr>
          <w:instrText xml:space="preserve"> PAGEREF _Toc286753617 \h </w:instrText>
        </w:r>
        <w:r>
          <w:rPr>
            <w:noProof/>
            <w:webHidden/>
          </w:rPr>
        </w:r>
        <w:r>
          <w:rPr>
            <w:noProof/>
            <w:webHidden/>
          </w:rPr>
          <w:fldChar w:fldCharType="separate"/>
        </w:r>
        <w:r w:rsidR="00C068AF">
          <w:rPr>
            <w:noProof/>
            <w:webHidden/>
          </w:rPr>
          <w:t>7</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18" w:history="1">
        <w:r w:rsidR="00055C64" w:rsidRPr="00F86E7C">
          <w:rPr>
            <w:rStyle w:val="Hyperlink"/>
            <w:rFonts w:asciiTheme="majorHAnsi" w:hAnsiTheme="majorHAnsi"/>
            <w:noProof/>
          </w:rPr>
          <w:t>1.5.1.</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Strategy and Performance Layer</w:t>
        </w:r>
        <w:r w:rsidR="00055C64">
          <w:rPr>
            <w:noProof/>
            <w:webHidden/>
          </w:rPr>
          <w:tab/>
        </w:r>
        <w:r>
          <w:rPr>
            <w:noProof/>
            <w:webHidden/>
          </w:rPr>
          <w:fldChar w:fldCharType="begin"/>
        </w:r>
        <w:r w:rsidR="00055C64">
          <w:rPr>
            <w:noProof/>
            <w:webHidden/>
          </w:rPr>
          <w:instrText xml:space="preserve"> PAGEREF _Toc286753618 \h </w:instrText>
        </w:r>
        <w:r>
          <w:rPr>
            <w:noProof/>
            <w:webHidden/>
          </w:rPr>
        </w:r>
        <w:r>
          <w:rPr>
            <w:noProof/>
            <w:webHidden/>
          </w:rPr>
          <w:fldChar w:fldCharType="separate"/>
        </w:r>
        <w:r w:rsidR="00C068AF">
          <w:rPr>
            <w:noProof/>
            <w:webHidden/>
          </w:rPr>
          <w:t>7</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19" w:history="1">
        <w:r w:rsidR="00055C64" w:rsidRPr="00F86E7C">
          <w:rPr>
            <w:rStyle w:val="Hyperlink"/>
            <w:rFonts w:asciiTheme="majorHAnsi" w:hAnsiTheme="majorHAnsi"/>
            <w:noProof/>
          </w:rPr>
          <w:t>1.5.2.</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Business Layer</w:t>
        </w:r>
        <w:r w:rsidR="00055C64">
          <w:rPr>
            <w:noProof/>
            <w:webHidden/>
          </w:rPr>
          <w:tab/>
        </w:r>
        <w:r>
          <w:rPr>
            <w:noProof/>
            <w:webHidden/>
          </w:rPr>
          <w:fldChar w:fldCharType="begin"/>
        </w:r>
        <w:r w:rsidR="00055C64">
          <w:rPr>
            <w:noProof/>
            <w:webHidden/>
          </w:rPr>
          <w:instrText xml:space="preserve"> PAGEREF _Toc286753619 \h </w:instrText>
        </w:r>
        <w:r>
          <w:rPr>
            <w:noProof/>
            <w:webHidden/>
          </w:rPr>
        </w:r>
        <w:r>
          <w:rPr>
            <w:noProof/>
            <w:webHidden/>
          </w:rPr>
          <w:fldChar w:fldCharType="separate"/>
        </w:r>
        <w:r w:rsidR="00C068AF">
          <w:rPr>
            <w:noProof/>
            <w:webHidden/>
          </w:rPr>
          <w:t>7</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20" w:history="1">
        <w:r w:rsidR="00055C64" w:rsidRPr="00F86E7C">
          <w:rPr>
            <w:rStyle w:val="Hyperlink"/>
            <w:rFonts w:asciiTheme="majorHAnsi" w:hAnsiTheme="majorHAnsi"/>
            <w:noProof/>
          </w:rPr>
          <w:t>1.5.3.</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Services, Data, and Technology Layers</w:t>
        </w:r>
        <w:r w:rsidR="00055C64">
          <w:rPr>
            <w:noProof/>
            <w:webHidden/>
          </w:rPr>
          <w:tab/>
        </w:r>
        <w:r>
          <w:rPr>
            <w:noProof/>
            <w:webHidden/>
          </w:rPr>
          <w:fldChar w:fldCharType="begin"/>
        </w:r>
        <w:r w:rsidR="00055C64">
          <w:rPr>
            <w:noProof/>
            <w:webHidden/>
          </w:rPr>
          <w:instrText xml:space="preserve"> PAGEREF _Toc286753620 \h </w:instrText>
        </w:r>
        <w:r>
          <w:rPr>
            <w:noProof/>
            <w:webHidden/>
          </w:rPr>
        </w:r>
        <w:r>
          <w:rPr>
            <w:noProof/>
            <w:webHidden/>
          </w:rPr>
          <w:fldChar w:fldCharType="separate"/>
        </w:r>
        <w:r w:rsidR="00C068AF">
          <w:rPr>
            <w:noProof/>
            <w:webHidden/>
          </w:rPr>
          <w:t>7</w:t>
        </w:r>
        <w:r>
          <w:rPr>
            <w:noProof/>
            <w:webHidden/>
          </w:rPr>
          <w:fldChar w:fldCharType="end"/>
        </w:r>
      </w:hyperlink>
    </w:p>
    <w:p w:rsidR="00055C64" w:rsidRDefault="00D52312" w:rsidP="009016FC">
      <w:pPr>
        <w:pStyle w:val="TOC2"/>
        <w:tabs>
          <w:tab w:val="right" w:leader="dot" w:pos="9350"/>
        </w:tabs>
        <w:spacing w:before="0" w:after="240" w:line="240" w:lineRule="auto"/>
        <w:rPr>
          <w:rFonts w:asciiTheme="minorHAnsi" w:eastAsiaTheme="minorEastAsia" w:hAnsiTheme="minorHAnsi" w:cstheme="minorBidi"/>
          <w:b w:val="0"/>
          <w:bCs w:val="0"/>
          <w:noProof/>
          <w:sz w:val="22"/>
          <w:szCs w:val="22"/>
        </w:rPr>
      </w:pPr>
      <w:hyperlink w:anchor="_Toc286753630" w:history="1">
        <w:r w:rsidR="00055C64" w:rsidRPr="00F86E7C">
          <w:rPr>
            <w:rStyle w:val="Hyperlink"/>
            <w:rFonts w:asciiTheme="majorHAnsi" w:hAnsiTheme="majorHAnsi"/>
            <w:noProof/>
          </w:rPr>
          <w:t>1.5.4.</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DOE EA Baseline Segments</w:t>
        </w:r>
        <w:r w:rsidR="00055C64">
          <w:rPr>
            <w:noProof/>
            <w:webHidden/>
          </w:rPr>
          <w:tab/>
        </w:r>
        <w:r>
          <w:rPr>
            <w:noProof/>
            <w:webHidden/>
          </w:rPr>
          <w:fldChar w:fldCharType="begin"/>
        </w:r>
        <w:r w:rsidR="00055C64">
          <w:rPr>
            <w:noProof/>
            <w:webHidden/>
          </w:rPr>
          <w:instrText xml:space="preserve"> PAGEREF _Toc286753630 \h </w:instrText>
        </w:r>
        <w:r>
          <w:rPr>
            <w:noProof/>
            <w:webHidden/>
          </w:rPr>
        </w:r>
        <w:r>
          <w:rPr>
            <w:noProof/>
            <w:webHidden/>
          </w:rPr>
          <w:fldChar w:fldCharType="separate"/>
        </w:r>
        <w:r w:rsidR="00C068AF">
          <w:rPr>
            <w:noProof/>
            <w:webHidden/>
          </w:rPr>
          <w:t>8</w:t>
        </w:r>
        <w:r>
          <w:rPr>
            <w:noProof/>
            <w:webHidden/>
          </w:rPr>
          <w:fldChar w:fldCharType="end"/>
        </w:r>
      </w:hyperlink>
    </w:p>
    <w:p w:rsidR="00055C64" w:rsidRPr="009016FC" w:rsidRDefault="00D52312" w:rsidP="009016FC">
      <w:pPr>
        <w:pStyle w:val="TOC2"/>
        <w:tabs>
          <w:tab w:val="right" w:leader="dot" w:pos="9350"/>
        </w:tabs>
        <w:spacing w:before="0" w:after="240" w:line="240" w:lineRule="auto"/>
        <w:rPr>
          <w:rFonts w:asciiTheme="majorHAnsi" w:eastAsiaTheme="minorEastAsia" w:hAnsiTheme="majorHAnsi" w:cstheme="minorBidi"/>
          <w:b w:val="0"/>
          <w:bCs w:val="0"/>
          <w:noProof/>
          <w:sz w:val="22"/>
          <w:szCs w:val="22"/>
        </w:rPr>
      </w:pPr>
      <w:hyperlink w:anchor="_Toc286753631" w:history="1">
        <w:r w:rsidR="00055C64" w:rsidRPr="009016FC">
          <w:rPr>
            <w:rStyle w:val="Hyperlink"/>
            <w:rFonts w:asciiTheme="majorHAnsi" w:hAnsiTheme="majorHAnsi"/>
            <w:noProof/>
            <w:sz w:val="24"/>
            <w:szCs w:val="24"/>
          </w:rPr>
          <w:t>2.</w:t>
        </w:r>
        <w:r w:rsidR="00055C64" w:rsidRPr="009016FC">
          <w:rPr>
            <w:rFonts w:asciiTheme="majorHAnsi" w:eastAsiaTheme="minorEastAsia" w:hAnsiTheme="majorHAnsi" w:cstheme="minorBidi"/>
            <w:bCs w:val="0"/>
            <w:noProof/>
            <w:sz w:val="24"/>
            <w:szCs w:val="24"/>
          </w:rPr>
          <w:tab/>
        </w:r>
        <w:r w:rsidR="009016FC" w:rsidRPr="009016FC">
          <w:rPr>
            <w:rFonts w:asciiTheme="majorHAnsi" w:eastAsiaTheme="minorEastAsia" w:hAnsiTheme="majorHAnsi" w:cstheme="minorBidi"/>
            <w:bCs w:val="0"/>
            <w:noProof/>
            <w:sz w:val="24"/>
            <w:szCs w:val="24"/>
          </w:rPr>
          <w:t>S</w:t>
        </w:r>
        <w:r w:rsidR="009016FC" w:rsidRPr="009016FC">
          <w:rPr>
            <w:rFonts w:asciiTheme="majorHAnsi" w:eastAsiaTheme="minorEastAsia" w:hAnsiTheme="majorHAnsi" w:cstheme="minorBidi"/>
            <w:bCs w:val="0"/>
            <w:noProof/>
            <w:sz w:val="22"/>
            <w:szCs w:val="22"/>
          </w:rPr>
          <w:t>TRATEGIC CHANGE DRIVERS FOR THE TARGET</w:t>
        </w:r>
        <w:r w:rsidR="00055C64" w:rsidRPr="009016FC">
          <w:rPr>
            <w:rFonts w:asciiTheme="majorHAnsi" w:hAnsiTheme="majorHAnsi"/>
            <w:noProof/>
            <w:webHidden/>
            <w:sz w:val="24"/>
            <w:szCs w:val="24"/>
          </w:rPr>
          <w:tab/>
        </w:r>
        <w:r w:rsidRPr="009016FC">
          <w:rPr>
            <w:rFonts w:asciiTheme="majorHAnsi" w:hAnsiTheme="majorHAnsi"/>
            <w:noProof/>
            <w:webHidden/>
            <w:sz w:val="24"/>
            <w:szCs w:val="24"/>
          </w:rPr>
          <w:fldChar w:fldCharType="begin"/>
        </w:r>
        <w:r w:rsidR="00055C64" w:rsidRPr="009016FC">
          <w:rPr>
            <w:rFonts w:asciiTheme="majorHAnsi" w:hAnsiTheme="majorHAnsi"/>
            <w:noProof/>
            <w:webHidden/>
            <w:sz w:val="24"/>
            <w:szCs w:val="24"/>
          </w:rPr>
          <w:instrText xml:space="preserve"> PAGEREF _Toc286753631 \h </w:instrText>
        </w:r>
        <w:r w:rsidRPr="009016FC">
          <w:rPr>
            <w:rFonts w:asciiTheme="majorHAnsi" w:hAnsiTheme="majorHAnsi"/>
            <w:noProof/>
            <w:webHidden/>
            <w:sz w:val="24"/>
            <w:szCs w:val="24"/>
          </w:rPr>
        </w:r>
        <w:r w:rsidRPr="009016FC">
          <w:rPr>
            <w:rFonts w:asciiTheme="majorHAnsi" w:hAnsiTheme="majorHAnsi"/>
            <w:noProof/>
            <w:webHidden/>
            <w:sz w:val="24"/>
            <w:szCs w:val="24"/>
          </w:rPr>
          <w:fldChar w:fldCharType="separate"/>
        </w:r>
        <w:r w:rsidR="00C068AF">
          <w:rPr>
            <w:rFonts w:asciiTheme="majorHAnsi" w:hAnsiTheme="majorHAnsi"/>
            <w:noProof/>
            <w:webHidden/>
            <w:sz w:val="24"/>
            <w:szCs w:val="24"/>
          </w:rPr>
          <w:t>9</w:t>
        </w:r>
        <w:r w:rsidRPr="009016FC">
          <w:rPr>
            <w:rFonts w:asciiTheme="majorHAnsi" w:hAnsiTheme="majorHAnsi"/>
            <w:noProof/>
            <w:webHidden/>
            <w:sz w:val="24"/>
            <w:szCs w:val="24"/>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632" w:history="1">
        <w:r w:rsidR="00055C64" w:rsidRPr="00F86E7C">
          <w:rPr>
            <w:rStyle w:val="Hyperlink"/>
            <w:rFonts w:asciiTheme="majorHAnsi" w:hAnsiTheme="majorHAnsi"/>
            <w:noProof/>
          </w:rPr>
          <w:t>3.</w:t>
        </w:r>
        <w:r w:rsidR="00055C64">
          <w:rPr>
            <w:rFonts w:asciiTheme="minorHAnsi" w:eastAsiaTheme="minorEastAsia" w:hAnsiTheme="minorHAnsi" w:cstheme="minorBidi"/>
            <w:b w:val="0"/>
            <w:bCs w:val="0"/>
            <w:caps w:val="0"/>
            <w:noProof/>
            <w:sz w:val="22"/>
            <w:szCs w:val="22"/>
          </w:rPr>
          <w:tab/>
        </w:r>
        <w:r w:rsidR="00055C64" w:rsidRPr="00F86E7C">
          <w:rPr>
            <w:rStyle w:val="Hyperlink"/>
            <w:rFonts w:asciiTheme="majorHAnsi" w:hAnsiTheme="majorHAnsi"/>
            <w:noProof/>
          </w:rPr>
          <w:t>DOE Target Enterprise Architecture Vision</w:t>
        </w:r>
        <w:r w:rsidR="00055C64">
          <w:rPr>
            <w:noProof/>
            <w:webHidden/>
          </w:rPr>
          <w:tab/>
        </w:r>
        <w:r>
          <w:rPr>
            <w:noProof/>
            <w:webHidden/>
          </w:rPr>
          <w:fldChar w:fldCharType="begin"/>
        </w:r>
        <w:r w:rsidR="00055C64">
          <w:rPr>
            <w:noProof/>
            <w:webHidden/>
          </w:rPr>
          <w:instrText xml:space="preserve"> PAGEREF _Toc286753632 \h </w:instrText>
        </w:r>
        <w:r>
          <w:rPr>
            <w:noProof/>
            <w:webHidden/>
          </w:rPr>
        </w:r>
        <w:r>
          <w:rPr>
            <w:noProof/>
            <w:webHidden/>
          </w:rPr>
          <w:fldChar w:fldCharType="separate"/>
        </w:r>
        <w:r w:rsidR="00C068AF">
          <w:rPr>
            <w:noProof/>
            <w:webHidden/>
          </w:rPr>
          <w:t>10</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33" w:history="1">
        <w:r w:rsidR="00055C64" w:rsidRPr="00F86E7C">
          <w:rPr>
            <w:rStyle w:val="Hyperlink"/>
            <w:rFonts w:asciiTheme="majorHAnsi" w:hAnsiTheme="majorHAnsi"/>
            <w:noProof/>
          </w:rPr>
          <w:t>3.1.</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Business-Oriented Key Initiatives</w:t>
        </w:r>
        <w:r w:rsidR="00055C64">
          <w:rPr>
            <w:noProof/>
            <w:webHidden/>
          </w:rPr>
          <w:tab/>
        </w:r>
        <w:r>
          <w:rPr>
            <w:noProof/>
            <w:webHidden/>
          </w:rPr>
          <w:fldChar w:fldCharType="begin"/>
        </w:r>
        <w:r w:rsidR="00055C64">
          <w:rPr>
            <w:noProof/>
            <w:webHidden/>
          </w:rPr>
          <w:instrText xml:space="preserve"> PAGEREF _Toc286753633 \h </w:instrText>
        </w:r>
        <w:r>
          <w:rPr>
            <w:noProof/>
            <w:webHidden/>
          </w:rPr>
        </w:r>
        <w:r>
          <w:rPr>
            <w:noProof/>
            <w:webHidden/>
          </w:rPr>
          <w:fldChar w:fldCharType="separate"/>
        </w:r>
        <w:r w:rsidR="00C068AF">
          <w:rPr>
            <w:noProof/>
            <w:webHidden/>
          </w:rPr>
          <w:t>11</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34" w:history="1">
        <w:r w:rsidR="00055C64" w:rsidRPr="00F86E7C">
          <w:rPr>
            <w:rStyle w:val="Hyperlink"/>
            <w:rFonts w:asciiTheme="majorHAnsi" w:hAnsiTheme="majorHAnsi"/>
            <w:noProof/>
          </w:rPr>
          <w:t>3.1.1.</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Implementing Sustainability</w:t>
        </w:r>
        <w:r w:rsidR="00055C64">
          <w:rPr>
            <w:noProof/>
            <w:webHidden/>
          </w:rPr>
          <w:tab/>
        </w:r>
        <w:r>
          <w:rPr>
            <w:noProof/>
            <w:webHidden/>
          </w:rPr>
          <w:fldChar w:fldCharType="begin"/>
        </w:r>
        <w:r w:rsidR="00055C64">
          <w:rPr>
            <w:noProof/>
            <w:webHidden/>
          </w:rPr>
          <w:instrText xml:space="preserve"> PAGEREF _Toc286753634 \h </w:instrText>
        </w:r>
        <w:r>
          <w:rPr>
            <w:noProof/>
            <w:webHidden/>
          </w:rPr>
        </w:r>
        <w:r>
          <w:rPr>
            <w:noProof/>
            <w:webHidden/>
          </w:rPr>
          <w:fldChar w:fldCharType="separate"/>
        </w:r>
        <w:r w:rsidR="00C068AF">
          <w:rPr>
            <w:noProof/>
            <w:webHidden/>
          </w:rPr>
          <w:t>11</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40" w:history="1">
        <w:r w:rsidR="00055C64" w:rsidRPr="00F86E7C">
          <w:rPr>
            <w:rStyle w:val="Hyperlink"/>
            <w:rFonts w:asciiTheme="majorHAnsi" w:hAnsiTheme="majorHAnsi"/>
            <w:noProof/>
          </w:rPr>
          <w:t>3.1.2.</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Advancing Scientific, Energy, and Nuclear Research</w:t>
        </w:r>
        <w:r w:rsidR="00055C64">
          <w:rPr>
            <w:noProof/>
            <w:webHidden/>
          </w:rPr>
          <w:tab/>
        </w:r>
        <w:r>
          <w:rPr>
            <w:noProof/>
            <w:webHidden/>
          </w:rPr>
          <w:fldChar w:fldCharType="begin"/>
        </w:r>
        <w:r w:rsidR="00055C64">
          <w:rPr>
            <w:noProof/>
            <w:webHidden/>
          </w:rPr>
          <w:instrText xml:space="preserve"> PAGEREF _Toc286753640 \h </w:instrText>
        </w:r>
        <w:r>
          <w:rPr>
            <w:noProof/>
            <w:webHidden/>
          </w:rPr>
        </w:r>
        <w:r>
          <w:rPr>
            <w:noProof/>
            <w:webHidden/>
          </w:rPr>
          <w:fldChar w:fldCharType="separate"/>
        </w:r>
        <w:r w:rsidR="00C068AF">
          <w:rPr>
            <w:noProof/>
            <w:webHidden/>
          </w:rPr>
          <w:t>12</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41" w:history="1">
        <w:r w:rsidR="00055C64" w:rsidRPr="00F86E7C">
          <w:rPr>
            <w:rStyle w:val="Hyperlink"/>
            <w:rFonts w:asciiTheme="majorHAnsi" w:hAnsiTheme="majorHAnsi"/>
            <w:noProof/>
          </w:rPr>
          <w:t>3.1.3.</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Measuring the Impact of Research</w:t>
        </w:r>
        <w:r w:rsidR="00055C64">
          <w:rPr>
            <w:noProof/>
            <w:webHidden/>
          </w:rPr>
          <w:tab/>
        </w:r>
        <w:r>
          <w:rPr>
            <w:noProof/>
            <w:webHidden/>
          </w:rPr>
          <w:fldChar w:fldCharType="begin"/>
        </w:r>
        <w:r w:rsidR="00055C64">
          <w:rPr>
            <w:noProof/>
            <w:webHidden/>
          </w:rPr>
          <w:instrText xml:space="preserve"> PAGEREF _Toc286753641 \h </w:instrText>
        </w:r>
        <w:r>
          <w:rPr>
            <w:noProof/>
            <w:webHidden/>
          </w:rPr>
        </w:r>
        <w:r>
          <w:rPr>
            <w:noProof/>
            <w:webHidden/>
          </w:rPr>
          <w:fldChar w:fldCharType="separate"/>
        </w:r>
        <w:r w:rsidR="00C068AF">
          <w:rPr>
            <w:noProof/>
            <w:webHidden/>
          </w:rPr>
          <w:t>12</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50" w:history="1">
        <w:r w:rsidR="00055C64" w:rsidRPr="00F86E7C">
          <w:rPr>
            <w:rStyle w:val="Hyperlink"/>
            <w:rFonts w:asciiTheme="majorHAnsi" w:hAnsiTheme="majorHAnsi"/>
            <w:noProof/>
          </w:rPr>
          <w:t>3.1.4.</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Making the Grid Smarter</w:t>
        </w:r>
        <w:r w:rsidR="00055C64">
          <w:rPr>
            <w:noProof/>
            <w:webHidden/>
          </w:rPr>
          <w:tab/>
        </w:r>
        <w:r>
          <w:rPr>
            <w:noProof/>
            <w:webHidden/>
          </w:rPr>
          <w:fldChar w:fldCharType="begin"/>
        </w:r>
        <w:r w:rsidR="00055C64">
          <w:rPr>
            <w:noProof/>
            <w:webHidden/>
          </w:rPr>
          <w:instrText xml:space="preserve"> PAGEREF _Toc286753650 \h </w:instrText>
        </w:r>
        <w:r>
          <w:rPr>
            <w:noProof/>
            <w:webHidden/>
          </w:rPr>
        </w:r>
        <w:r>
          <w:rPr>
            <w:noProof/>
            <w:webHidden/>
          </w:rPr>
          <w:fldChar w:fldCharType="separate"/>
        </w:r>
        <w:r w:rsidR="00C068AF">
          <w:rPr>
            <w:noProof/>
            <w:webHidden/>
          </w:rPr>
          <w:t>13</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51" w:history="1">
        <w:r w:rsidR="00055C64" w:rsidRPr="00F86E7C">
          <w:rPr>
            <w:rStyle w:val="Hyperlink"/>
            <w:rFonts w:asciiTheme="majorHAnsi" w:hAnsiTheme="majorHAnsi"/>
            <w:noProof/>
          </w:rPr>
          <w:t>3.1.5.</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Enhancing Financial Systems</w:t>
        </w:r>
        <w:r w:rsidR="00055C64">
          <w:rPr>
            <w:noProof/>
            <w:webHidden/>
          </w:rPr>
          <w:tab/>
        </w:r>
        <w:r>
          <w:rPr>
            <w:noProof/>
            <w:webHidden/>
          </w:rPr>
          <w:fldChar w:fldCharType="begin"/>
        </w:r>
        <w:r w:rsidR="00055C64">
          <w:rPr>
            <w:noProof/>
            <w:webHidden/>
          </w:rPr>
          <w:instrText xml:space="preserve"> PAGEREF _Toc286753651 \h </w:instrText>
        </w:r>
        <w:r>
          <w:rPr>
            <w:noProof/>
            <w:webHidden/>
          </w:rPr>
        </w:r>
        <w:r>
          <w:rPr>
            <w:noProof/>
            <w:webHidden/>
          </w:rPr>
          <w:fldChar w:fldCharType="separate"/>
        </w:r>
        <w:r w:rsidR="00C068AF">
          <w:rPr>
            <w:noProof/>
            <w:webHidden/>
          </w:rPr>
          <w:t>14</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61" w:history="1">
        <w:r w:rsidR="00055C64" w:rsidRPr="00F86E7C">
          <w:rPr>
            <w:rStyle w:val="Hyperlink"/>
            <w:rFonts w:asciiTheme="majorHAnsi" w:hAnsiTheme="majorHAnsi"/>
            <w:noProof/>
          </w:rPr>
          <w:t>3.1.6.</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Reforming Records Management</w:t>
        </w:r>
        <w:r w:rsidR="00055C64">
          <w:rPr>
            <w:noProof/>
            <w:webHidden/>
          </w:rPr>
          <w:tab/>
        </w:r>
        <w:r>
          <w:rPr>
            <w:noProof/>
            <w:webHidden/>
          </w:rPr>
          <w:fldChar w:fldCharType="begin"/>
        </w:r>
        <w:r w:rsidR="00055C64">
          <w:rPr>
            <w:noProof/>
            <w:webHidden/>
          </w:rPr>
          <w:instrText xml:space="preserve"> PAGEREF _Toc286753661 \h </w:instrText>
        </w:r>
        <w:r>
          <w:rPr>
            <w:noProof/>
            <w:webHidden/>
          </w:rPr>
        </w:r>
        <w:r>
          <w:rPr>
            <w:noProof/>
            <w:webHidden/>
          </w:rPr>
          <w:fldChar w:fldCharType="separate"/>
        </w:r>
        <w:r w:rsidR="00C068AF">
          <w:rPr>
            <w:noProof/>
            <w:webHidden/>
          </w:rPr>
          <w:t>15</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62" w:history="1">
        <w:r w:rsidR="00055C64" w:rsidRPr="00F86E7C">
          <w:rPr>
            <w:rStyle w:val="Hyperlink"/>
            <w:rFonts w:asciiTheme="majorHAnsi" w:hAnsiTheme="majorHAnsi"/>
            <w:noProof/>
          </w:rPr>
          <w:t>3.2.</w:t>
        </w:r>
        <w:r w:rsidR="00055C64">
          <w:rPr>
            <w:rFonts w:asciiTheme="minorHAnsi" w:eastAsiaTheme="minorEastAsia" w:hAnsiTheme="minorHAnsi" w:cstheme="minorBidi"/>
            <w:b w:val="0"/>
            <w:bCs w:val="0"/>
            <w:noProof/>
            <w:sz w:val="22"/>
            <w:szCs w:val="22"/>
          </w:rPr>
          <w:tab/>
        </w:r>
        <w:r w:rsidR="00055C64" w:rsidRPr="00F86E7C">
          <w:rPr>
            <w:rStyle w:val="Hyperlink"/>
            <w:rFonts w:asciiTheme="majorHAnsi" w:hAnsiTheme="majorHAnsi"/>
            <w:noProof/>
          </w:rPr>
          <w:t>IT-Oriented Key Initiatives</w:t>
        </w:r>
        <w:r w:rsidR="00055C64">
          <w:rPr>
            <w:noProof/>
            <w:webHidden/>
          </w:rPr>
          <w:tab/>
        </w:r>
        <w:r>
          <w:rPr>
            <w:noProof/>
            <w:webHidden/>
          </w:rPr>
          <w:fldChar w:fldCharType="begin"/>
        </w:r>
        <w:r w:rsidR="00055C64">
          <w:rPr>
            <w:noProof/>
            <w:webHidden/>
          </w:rPr>
          <w:instrText xml:space="preserve"> PAGEREF _Toc286753662 \h </w:instrText>
        </w:r>
        <w:r>
          <w:rPr>
            <w:noProof/>
            <w:webHidden/>
          </w:rPr>
        </w:r>
        <w:r>
          <w:rPr>
            <w:noProof/>
            <w:webHidden/>
          </w:rPr>
          <w:fldChar w:fldCharType="separate"/>
        </w:r>
        <w:r w:rsidR="00C068AF">
          <w:rPr>
            <w:noProof/>
            <w:webHidden/>
          </w:rPr>
          <w:t>15</w:t>
        </w:r>
        <w:r>
          <w:rPr>
            <w:noProof/>
            <w:webHidden/>
          </w:rPr>
          <w:fldChar w:fldCharType="end"/>
        </w:r>
      </w:hyperlink>
    </w:p>
    <w:p w:rsidR="00055C64" w:rsidRDefault="00D52312" w:rsidP="00055C64">
      <w:pPr>
        <w:pStyle w:val="TOC3"/>
        <w:tabs>
          <w:tab w:val="right" w:leader="dot" w:pos="9350"/>
        </w:tabs>
        <w:spacing w:line="240" w:lineRule="auto"/>
        <w:rPr>
          <w:rFonts w:asciiTheme="minorHAnsi" w:eastAsiaTheme="minorEastAsia" w:hAnsiTheme="minorHAnsi" w:cstheme="minorBidi"/>
          <w:noProof/>
          <w:sz w:val="22"/>
          <w:szCs w:val="22"/>
        </w:rPr>
      </w:pPr>
      <w:hyperlink w:anchor="_Toc286753663" w:history="1">
        <w:r w:rsidR="00055C64" w:rsidRPr="00F86E7C">
          <w:rPr>
            <w:rStyle w:val="Hyperlink"/>
            <w:rFonts w:asciiTheme="majorHAnsi" w:hAnsiTheme="majorHAnsi"/>
            <w:noProof/>
          </w:rPr>
          <w:t>3.2.1.</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Adopting Cloud First</w:t>
        </w:r>
        <w:r w:rsidR="00055C64">
          <w:rPr>
            <w:noProof/>
            <w:webHidden/>
          </w:rPr>
          <w:tab/>
        </w:r>
        <w:r>
          <w:rPr>
            <w:noProof/>
            <w:webHidden/>
          </w:rPr>
          <w:fldChar w:fldCharType="begin"/>
        </w:r>
        <w:r w:rsidR="00055C64">
          <w:rPr>
            <w:noProof/>
            <w:webHidden/>
          </w:rPr>
          <w:instrText xml:space="preserve"> PAGEREF _Toc286753663 \h </w:instrText>
        </w:r>
        <w:r>
          <w:rPr>
            <w:noProof/>
            <w:webHidden/>
          </w:rPr>
        </w:r>
        <w:r>
          <w:rPr>
            <w:noProof/>
            <w:webHidden/>
          </w:rPr>
          <w:fldChar w:fldCharType="separate"/>
        </w:r>
        <w:r w:rsidR="00C068AF">
          <w:rPr>
            <w:noProof/>
            <w:webHidden/>
          </w:rPr>
          <w:t>15</w:t>
        </w:r>
        <w:r>
          <w:rPr>
            <w:noProof/>
            <w:webHidden/>
          </w:rPr>
          <w:fldChar w:fldCharType="end"/>
        </w:r>
      </w:hyperlink>
    </w:p>
    <w:p w:rsidR="00055C64" w:rsidRDefault="00D52312" w:rsidP="009016FC">
      <w:pPr>
        <w:pStyle w:val="TOC3"/>
        <w:tabs>
          <w:tab w:val="right" w:leader="dot" w:pos="9350"/>
        </w:tabs>
        <w:spacing w:after="240" w:line="240" w:lineRule="auto"/>
        <w:rPr>
          <w:rFonts w:asciiTheme="minorHAnsi" w:eastAsiaTheme="minorEastAsia" w:hAnsiTheme="minorHAnsi" w:cstheme="minorBidi"/>
          <w:noProof/>
          <w:sz w:val="22"/>
          <w:szCs w:val="22"/>
        </w:rPr>
      </w:pPr>
      <w:hyperlink w:anchor="_Toc286753664" w:history="1">
        <w:r w:rsidR="00055C64" w:rsidRPr="00F86E7C">
          <w:rPr>
            <w:rStyle w:val="Hyperlink"/>
            <w:rFonts w:asciiTheme="majorHAnsi" w:hAnsiTheme="majorHAnsi"/>
            <w:noProof/>
          </w:rPr>
          <w:t>3.2.4.</w:t>
        </w:r>
        <w:r w:rsidR="00055C64">
          <w:rPr>
            <w:rFonts w:asciiTheme="minorHAnsi" w:eastAsiaTheme="minorEastAsia" w:hAnsiTheme="minorHAnsi" w:cstheme="minorBidi"/>
            <w:noProof/>
            <w:sz w:val="22"/>
            <w:szCs w:val="22"/>
          </w:rPr>
          <w:tab/>
        </w:r>
        <w:r w:rsidR="00055C64" w:rsidRPr="00F86E7C">
          <w:rPr>
            <w:rStyle w:val="Hyperlink"/>
            <w:rFonts w:asciiTheme="majorHAnsi" w:hAnsiTheme="majorHAnsi"/>
            <w:noProof/>
          </w:rPr>
          <w:t>Modernizing Infrastructure</w:t>
        </w:r>
        <w:r w:rsidR="00055C64">
          <w:rPr>
            <w:noProof/>
            <w:webHidden/>
          </w:rPr>
          <w:tab/>
        </w:r>
        <w:r>
          <w:rPr>
            <w:noProof/>
            <w:webHidden/>
          </w:rPr>
          <w:fldChar w:fldCharType="begin"/>
        </w:r>
        <w:r w:rsidR="00055C64">
          <w:rPr>
            <w:noProof/>
            <w:webHidden/>
          </w:rPr>
          <w:instrText xml:space="preserve"> PAGEREF _Toc286753664 \h </w:instrText>
        </w:r>
        <w:r>
          <w:rPr>
            <w:noProof/>
            <w:webHidden/>
          </w:rPr>
        </w:r>
        <w:r>
          <w:rPr>
            <w:noProof/>
            <w:webHidden/>
          </w:rPr>
          <w:fldChar w:fldCharType="separate"/>
        </w:r>
        <w:r w:rsidR="00C068AF">
          <w:rPr>
            <w:noProof/>
            <w:webHidden/>
          </w:rPr>
          <w:t>19</w:t>
        </w:r>
        <w:r>
          <w:rPr>
            <w:noProof/>
            <w:webHidden/>
          </w:rPr>
          <w:fldChar w:fldCharType="end"/>
        </w:r>
      </w:hyperlink>
    </w:p>
    <w:p w:rsidR="00055C64" w:rsidRDefault="00D52312" w:rsidP="009016FC">
      <w:pPr>
        <w:pStyle w:val="TOC1"/>
        <w:spacing w:after="240"/>
        <w:rPr>
          <w:rFonts w:asciiTheme="minorHAnsi" w:eastAsiaTheme="minorEastAsia" w:hAnsiTheme="minorHAnsi" w:cstheme="minorBidi"/>
          <w:b w:val="0"/>
          <w:bCs w:val="0"/>
          <w:caps w:val="0"/>
          <w:noProof/>
          <w:sz w:val="22"/>
          <w:szCs w:val="22"/>
        </w:rPr>
      </w:pPr>
      <w:hyperlink w:anchor="_Toc286753665" w:history="1">
        <w:r w:rsidR="00055C64" w:rsidRPr="00F86E7C">
          <w:rPr>
            <w:rStyle w:val="Hyperlink"/>
            <w:rFonts w:asciiTheme="majorHAnsi" w:hAnsiTheme="majorHAnsi"/>
            <w:noProof/>
          </w:rPr>
          <w:t>4.</w:t>
        </w:r>
        <w:r w:rsidR="00055C64">
          <w:rPr>
            <w:rFonts w:asciiTheme="minorHAnsi" w:eastAsiaTheme="minorEastAsia" w:hAnsiTheme="minorHAnsi" w:cstheme="minorBidi"/>
            <w:b w:val="0"/>
            <w:bCs w:val="0"/>
            <w:caps w:val="0"/>
            <w:noProof/>
            <w:sz w:val="22"/>
            <w:szCs w:val="22"/>
          </w:rPr>
          <w:tab/>
        </w:r>
        <w:r w:rsidR="00055C64" w:rsidRPr="00F86E7C">
          <w:rPr>
            <w:rStyle w:val="Hyperlink"/>
            <w:rFonts w:asciiTheme="majorHAnsi" w:hAnsiTheme="majorHAnsi"/>
            <w:noProof/>
          </w:rPr>
          <w:t>Transition Plan</w:t>
        </w:r>
        <w:r w:rsidR="00055C64">
          <w:rPr>
            <w:noProof/>
            <w:webHidden/>
          </w:rPr>
          <w:tab/>
        </w:r>
        <w:r>
          <w:rPr>
            <w:noProof/>
            <w:webHidden/>
          </w:rPr>
          <w:fldChar w:fldCharType="begin"/>
        </w:r>
        <w:r w:rsidR="00055C64">
          <w:rPr>
            <w:noProof/>
            <w:webHidden/>
          </w:rPr>
          <w:instrText xml:space="preserve"> PAGEREF _Toc286753665 \h </w:instrText>
        </w:r>
        <w:r>
          <w:rPr>
            <w:noProof/>
            <w:webHidden/>
          </w:rPr>
        </w:r>
        <w:r>
          <w:rPr>
            <w:noProof/>
            <w:webHidden/>
          </w:rPr>
          <w:fldChar w:fldCharType="separate"/>
        </w:r>
        <w:r w:rsidR="00C068AF">
          <w:rPr>
            <w:noProof/>
            <w:webHidden/>
          </w:rPr>
          <w:t>24</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666" w:history="1">
        <w:r w:rsidR="00055C64" w:rsidRPr="00F86E7C">
          <w:rPr>
            <w:rStyle w:val="Hyperlink"/>
            <w:rFonts w:asciiTheme="majorHAnsi" w:hAnsiTheme="majorHAnsi"/>
            <w:noProof/>
          </w:rPr>
          <w:t>Appendix A – EA Repository Features and Capabilities</w:t>
        </w:r>
        <w:r w:rsidR="00055C64">
          <w:rPr>
            <w:noProof/>
            <w:webHidden/>
          </w:rPr>
          <w:tab/>
        </w:r>
        <w:r>
          <w:rPr>
            <w:noProof/>
            <w:webHidden/>
          </w:rPr>
          <w:fldChar w:fldCharType="begin"/>
        </w:r>
        <w:r w:rsidR="00055C64">
          <w:rPr>
            <w:noProof/>
            <w:webHidden/>
          </w:rPr>
          <w:instrText xml:space="preserve"> PAGEREF _Toc286753666 \h </w:instrText>
        </w:r>
        <w:r>
          <w:rPr>
            <w:noProof/>
            <w:webHidden/>
          </w:rPr>
        </w:r>
        <w:r>
          <w:rPr>
            <w:noProof/>
            <w:webHidden/>
          </w:rPr>
          <w:fldChar w:fldCharType="separate"/>
        </w:r>
        <w:r w:rsidR="00C068AF">
          <w:rPr>
            <w:noProof/>
            <w:webHidden/>
          </w:rPr>
          <w:t>25</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667" w:history="1">
        <w:r w:rsidR="00055C64" w:rsidRPr="00F86E7C">
          <w:rPr>
            <w:rStyle w:val="Hyperlink"/>
            <w:rFonts w:asciiTheme="majorHAnsi" w:hAnsiTheme="majorHAnsi"/>
            <w:noProof/>
          </w:rPr>
          <w:t>Appendix B – The DOE Baseline Architecture</w:t>
        </w:r>
        <w:r w:rsidR="00055C64">
          <w:rPr>
            <w:noProof/>
            <w:webHidden/>
          </w:rPr>
          <w:tab/>
        </w:r>
        <w:r>
          <w:rPr>
            <w:noProof/>
            <w:webHidden/>
          </w:rPr>
          <w:fldChar w:fldCharType="begin"/>
        </w:r>
        <w:r w:rsidR="00055C64">
          <w:rPr>
            <w:noProof/>
            <w:webHidden/>
          </w:rPr>
          <w:instrText xml:space="preserve"> PAGEREF _Toc286753667 \h </w:instrText>
        </w:r>
        <w:r>
          <w:rPr>
            <w:noProof/>
            <w:webHidden/>
          </w:rPr>
        </w:r>
        <w:r>
          <w:rPr>
            <w:noProof/>
            <w:webHidden/>
          </w:rPr>
          <w:fldChar w:fldCharType="separate"/>
        </w:r>
        <w:r w:rsidR="00C068AF">
          <w:rPr>
            <w:noProof/>
            <w:webHidden/>
          </w:rPr>
          <w:t>26</w:t>
        </w:r>
        <w:r>
          <w:rPr>
            <w:noProof/>
            <w:webHidden/>
          </w:rPr>
          <w:fldChar w:fldCharType="end"/>
        </w:r>
      </w:hyperlink>
    </w:p>
    <w:p w:rsidR="00055C64" w:rsidRDefault="00D52312" w:rsidP="00DB7974">
      <w:pPr>
        <w:pStyle w:val="TOC2"/>
        <w:tabs>
          <w:tab w:val="right" w:leader="dot" w:pos="9350"/>
        </w:tabs>
        <w:spacing w:before="120" w:line="240" w:lineRule="auto"/>
        <w:rPr>
          <w:rFonts w:asciiTheme="minorHAnsi" w:eastAsiaTheme="minorEastAsia" w:hAnsiTheme="minorHAnsi" w:cstheme="minorBidi"/>
          <w:b w:val="0"/>
          <w:bCs w:val="0"/>
          <w:noProof/>
          <w:sz w:val="22"/>
          <w:szCs w:val="22"/>
        </w:rPr>
      </w:pPr>
      <w:hyperlink w:anchor="_Toc286753668" w:history="1">
        <w:r w:rsidR="00055C64" w:rsidRPr="00F86E7C">
          <w:rPr>
            <w:rStyle w:val="Hyperlink"/>
            <w:noProof/>
          </w:rPr>
          <w:t>DOE Baseline Performance and Strategy Layer</w:t>
        </w:r>
        <w:r w:rsidR="00055C64">
          <w:rPr>
            <w:noProof/>
            <w:webHidden/>
          </w:rPr>
          <w:tab/>
        </w:r>
        <w:r>
          <w:rPr>
            <w:noProof/>
            <w:webHidden/>
          </w:rPr>
          <w:fldChar w:fldCharType="begin"/>
        </w:r>
        <w:r w:rsidR="00055C64">
          <w:rPr>
            <w:noProof/>
            <w:webHidden/>
          </w:rPr>
          <w:instrText xml:space="preserve"> PAGEREF _Toc286753668 \h </w:instrText>
        </w:r>
        <w:r>
          <w:rPr>
            <w:noProof/>
            <w:webHidden/>
          </w:rPr>
        </w:r>
        <w:r>
          <w:rPr>
            <w:noProof/>
            <w:webHidden/>
          </w:rPr>
          <w:fldChar w:fldCharType="separate"/>
        </w:r>
        <w:r w:rsidR="00C068AF">
          <w:rPr>
            <w:noProof/>
            <w:webHidden/>
          </w:rPr>
          <w:t>26</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69" w:history="1">
        <w:r w:rsidR="00055C64" w:rsidRPr="00F86E7C">
          <w:rPr>
            <w:rStyle w:val="Hyperlink"/>
            <w:noProof/>
          </w:rPr>
          <w:t>DOE Baseline Business Layer</w:t>
        </w:r>
        <w:r w:rsidR="00055C64">
          <w:rPr>
            <w:noProof/>
            <w:webHidden/>
          </w:rPr>
          <w:tab/>
        </w:r>
        <w:r>
          <w:rPr>
            <w:noProof/>
            <w:webHidden/>
          </w:rPr>
          <w:fldChar w:fldCharType="begin"/>
        </w:r>
        <w:r w:rsidR="00055C64">
          <w:rPr>
            <w:noProof/>
            <w:webHidden/>
          </w:rPr>
          <w:instrText xml:space="preserve"> PAGEREF _Toc286753669 \h </w:instrText>
        </w:r>
        <w:r>
          <w:rPr>
            <w:noProof/>
            <w:webHidden/>
          </w:rPr>
        </w:r>
        <w:r>
          <w:rPr>
            <w:noProof/>
            <w:webHidden/>
          </w:rPr>
          <w:fldChar w:fldCharType="separate"/>
        </w:r>
        <w:r w:rsidR="00C068AF">
          <w:rPr>
            <w:noProof/>
            <w:webHidden/>
          </w:rPr>
          <w:t>27</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71" w:history="1">
        <w:r w:rsidR="00055C64" w:rsidRPr="00F86E7C">
          <w:rPr>
            <w:rStyle w:val="Hyperlink"/>
            <w:noProof/>
          </w:rPr>
          <w:t>DOE Baseline Services Layer</w:t>
        </w:r>
        <w:r w:rsidR="00055C64">
          <w:rPr>
            <w:noProof/>
            <w:webHidden/>
          </w:rPr>
          <w:tab/>
        </w:r>
        <w:r>
          <w:rPr>
            <w:noProof/>
            <w:webHidden/>
          </w:rPr>
          <w:fldChar w:fldCharType="begin"/>
        </w:r>
        <w:r w:rsidR="00055C64">
          <w:rPr>
            <w:noProof/>
            <w:webHidden/>
          </w:rPr>
          <w:instrText xml:space="preserve"> PAGEREF _Toc286753671 \h </w:instrText>
        </w:r>
        <w:r>
          <w:rPr>
            <w:noProof/>
            <w:webHidden/>
          </w:rPr>
        </w:r>
        <w:r>
          <w:rPr>
            <w:noProof/>
            <w:webHidden/>
          </w:rPr>
          <w:fldChar w:fldCharType="separate"/>
        </w:r>
        <w:r w:rsidR="00C068AF">
          <w:rPr>
            <w:noProof/>
            <w:webHidden/>
          </w:rPr>
          <w:t>29</w:t>
        </w:r>
        <w:r>
          <w:rPr>
            <w:noProof/>
            <w:webHidden/>
          </w:rPr>
          <w:fldChar w:fldCharType="end"/>
        </w:r>
      </w:hyperlink>
    </w:p>
    <w:p w:rsidR="00055C64" w:rsidRDefault="00D52312" w:rsidP="00055C64">
      <w:pPr>
        <w:pStyle w:val="TOC2"/>
        <w:tabs>
          <w:tab w:val="right" w:leader="dot" w:pos="9350"/>
        </w:tabs>
        <w:spacing w:before="0" w:line="240" w:lineRule="auto"/>
        <w:rPr>
          <w:rFonts w:asciiTheme="minorHAnsi" w:eastAsiaTheme="minorEastAsia" w:hAnsiTheme="minorHAnsi" w:cstheme="minorBidi"/>
          <w:b w:val="0"/>
          <w:bCs w:val="0"/>
          <w:noProof/>
          <w:sz w:val="22"/>
          <w:szCs w:val="22"/>
        </w:rPr>
      </w:pPr>
      <w:hyperlink w:anchor="_Toc286753672" w:history="1">
        <w:r w:rsidR="00055C64" w:rsidRPr="00F86E7C">
          <w:rPr>
            <w:rStyle w:val="Hyperlink"/>
            <w:noProof/>
          </w:rPr>
          <w:t>DOE Baseline Data Layer</w:t>
        </w:r>
        <w:r w:rsidR="00055C64">
          <w:rPr>
            <w:noProof/>
            <w:webHidden/>
          </w:rPr>
          <w:tab/>
        </w:r>
        <w:r>
          <w:rPr>
            <w:noProof/>
            <w:webHidden/>
          </w:rPr>
          <w:fldChar w:fldCharType="begin"/>
        </w:r>
        <w:r w:rsidR="00055C64">
          <w:rPr>
            <w:noProof/>
            <w:webHidden/>
          </w:rPr>
          <w:instrText xml:space="preserve"> PAGEREF _Toc286753672 \h </w:instrText>
        </w:r>
        <w:r>
          <w:rPr>
            <w:noProof/>
            <w:webHidden/>
          </w:rPr>
        </w:r>
        <w:r>
          <w:rPr>
            <w:noProof/>
            <w:webHidden/>
          </w:rPr>
          <w:fldChar w:fldCharType="separate"/>
        </w:r>
        <w:r w:rsidR="00C068AF">
          <w:rPr>
            <w:noProof/>
            <w:webHidden/>
          </w:rPr>
          <w:t>29</w:t>
        </w:r>
        <w:r>
          <w:rPr>
            <w:noProof/>
            <w:webHidden/>
          </w:rPr>
          <w:fldChar w:fldCharType="end"/>
        </w:r>
      </w:hyperlink>
    </w:p>
    <w:p w:rsidR="00055C64" w:rsidRDefault="00D52312" w:rsidP="009016FC">
      <w:pPr>
        <w:pStyle w:val="TOC2"/>
        <w:tabs>
          <w:tab w:val="right" w:leader="dot" w:pos="9350"/>
        </w:tabs>
        <w:spacing w:before="0" w:after="240" w:line="240" w:lineRule="auto"/>
        <w:rPr>
          <w:rFonts w:asciiTheme="minorHAnsi" w:eastAsiaTheme="minorEastAsia" w:hAnsiTheme="minorHAnsi" w:cstheme="minorBidi"/>
          <w:b w:val="0"/>
          <w:bCs w:val="0"/>
          <w:noProof/>
          <w:sz w:val="22"/>
          <w:szCs w:val="22"/>
        </w:rPr>
      </w:pPr>
      <w:hyperlink w:anchor="_Toc286753673" w:history="1">
        <w:r w:rsidR="00055C64" w:rsidRPr="00F86E7C">
          <w:rPr>
            <w:rStyle w:val="Hyperlink"/>
            <w:noProof/>
          </w:rPr>
          <w:t>DOE Baseline Technology Layer</w:t>
        </w:r>
        <w:r w:rsidR="00055C64">
          <w:rPr>
            <w:noProof/>
            <w:webHidden/>
          </w:rPr>
          <w:tab/>
        </w:r>
        <w:r>
          <w:rPr>
            <w:noProof/>
            <w:webHidden/>
          </w:rPr>
          <w:fldChar w:fldCharType="begin"/>
        </w:r>
        <w:r w:rsidR="00055C64">
          <w:rPr>
            <w:noProof/>
            <w:webHidden/>
          </w:rPr>
          <w:instrText xml:space="preserve"> PAGEREF _Toc286753673 \h </w:instrText>
        </w:r>
        <w:r>
          <w:rPr>
            <w:noProof/>
            <w:webHidden/>
          </w:rPr>
        </w:r>
        <w:r>
          <w:rPr>
            <w:noProof/>
            <w:webHidden/>
          </w:rPr>
          <w:fldChar w:fldCharType="separate"/>
        </w:r>
        <w:r w:rsidR="00C068AF">
          <w:rPr>
            <w:noProof/>
            <w:webHidden/>
          </w:rPr>
          <w:t>30</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675" w:history="1">
        <w:r w:rsidR="00055C64" w:rsidRPr="00F86E7C">
          <w:rPr>
            <w:rStyle w:val="Hyperlink"/>
            <w:rFonts w:asciiTheme="majorHAnsi" w:hAnsiTheme="majorHAnsi"/>
            <w:noProof/>
          </w:rPr>
          <w:t>Appendix C – The DOE Investment Portfolio</w:t>
        </w:r>
        <w:r w:rsidR="00055C64">
          <w:rPr>
            <w:noProof/>
            <w:webHidden/>
          </w:rPr>
          <w:tab/>
        </w:r>
        <w:r>
          <w:rPr>
            <w:noProof/>
            <w:webHidden/>
          </w:rPr>
          <w:fldChar w:fldCharType="begin"/>
        </w:r>
        <w:r w:rsidR="00055C64">
          <w:rPr>
            <w:noProof/>
            <w:webHidden/>
          </w:rPr>
          <w:instrText xml:space="preserve"> PAGEREF _Toc286753675 \h </w:instrText>
        </w:r>
        <w:r>
          <w:rPr>
            <w:noProof/>
            <w:webHidden/>
          </w:rPr>
        </w:r>
        <w:r>
          <w:rPr>
            <w:noProof/>
            <w:webHidden/>
          </w:rPr>
          <w:fldChar w:fldCharType="separate"/>
        </w:r>
        <w:r w:rsidR="00C068AF">
          <w:rPr>
            <w:noProof/>
            <w:webHidden/>
          </w:rPr>
          <w:t>32</w:t>
        </w:r>
        <w:r>
          <w:rPr>
            <w:noProof/>
            <w:webHidden/>
          </w:rPr>
          <w:fldChar w:fldCharType="end"/>
        </w:r>
      </w:hyperlink>
    </w:p>
    <w:p w:rsidR="00055C64" w:rsidRDefault="00D52312" w:rsidP="00055C64">
      <w:pPr>
        <w:pStyle w:val="TOC1"/>
        <w:rPr>
          <w:rFonts w:asciiTheme="minorHAnsi" w:eastAsiaTheme="minorEastAsia" w:hAnsiTheme="minorHAnsi" w:cstheme="minorBidi"/>
          <w:b w:val="0"/>
          <w:bCs w:val="0"/>
          <w:caps w:val="0"/>
          <w:noProof/>
          <w:sz w:val="22"/>
          <w:szCs w:val="22"/>
        </w:rPr>
      </w:pPr>
      <w:hyperlink w:anchor="_Toc286753676" w:history="1">
        <w:r w:rsidR="00055C64" w:rsidRPr="00F86E7C">
          <w:rPr>
            <w:rStyle w:val="Hyperlink"/>
            <w:noProof/>
          </w:rPr>
          <w:t>Appendix D – Linkage from Key Priorit</w:t>
        </w:r>
        <w:r w:rsidR="00E74122">
          <w:rPr>
            <w:rStyle w:val="Hyperlink"/>
            <w:noProof/>
          </w:rPr>
          <w:t>Y INITIATIVES</w:t>
        </w:r>
        <w:r w:rsidR="00055C64" w:rsidRPr="00F86E7C">
          <w:rPr>
            <w:rStyle w:val="Hyperlink"/>
            <w:noProof/>
          </w:rPr>
          <w:t xml:space="preserve"> to EA Segments</w:t>
        </w:r>
        <w:r w:rsidR="00055C64">
          <w:rPr>
            <w:noProof/>
            <w:webHidden/>
          </w:rPr>
          <w:tab/>
        </w:r>
        <w:r>
          <w:rPr>
            <w:noProof/>
            <w:webHidden/>
          </w:rPr>
          <w:fldChar w:fldCharType="begin"/>
        </w:r>
        <w:r w:rsidR="00055C64">
          <w:rPr>
            <w:noProof/>
            <w:webHidden/>
          </w:rPr>
          <w:instrText xml:space="preserve"> PAGEREF _Toc286753676 \h </w:instrText>
        </w:r>
        <w:r>
          <w:rPr>
            <w:noProof/>
            <w:webHidden/>
          </w:rPr>
        </w:r>
        <w:r>
          <w:rPr>
            <w:noProof/>
            <w:webHidden/>
          </w:rPr>
          <w:fldChar w:fldCharType="separate"/>
        </w:r>
        <w:r w:rsidR="00C068AF">
          <w:rPr>
            <w:noProof/>
            <w:webHidden/>
          </w:rPr>
          <w:t>49</w:t>
        </w:r>
        <w:r>
          <w:rPr>
            <w:noProof/>
            <w:webHidden/>
          </w:rPr>
          <w:fldChar w:fldCharType="end"/>
        </w:r>
      </w:hyperlink>
    </w:p>
    <w:p w:rsidR="00055C64" w:rsidRDefault="00D52312" w:rsidP="003D36EE">
      <w:pPr>
        <w:spacing w:line="240" w:lineRule="auto"/>
        <w:ind w:left="0" w:firstLine="0"/>
        <w:jc w:val="left"/>
        <w:rPr>
          <w:b/>
          <w:bCs/>
          <w:caps/>
          <w:sz w:val="24"/>
          <w:szCs w:val="24"/>
        </w:rPr>
      </w:pPr>
      <w:r w:rsidRPr="00561D8B">
        <w:rPr>
          <w:b/>
          <w:bCs/>
          <w:caps/>
          <w:sz w:val="24"/>
          <w:szCs w:val="24"/>
        </w:rPr>
        <w:fldChar w:fldCharType="end"/>
      </w:r>
    </w:p>
    <w:p w:rsidR="00055C64" w:rsidRDefault="00055C64">
      <w:pPr>
        <w:spacing w:line="240" w:lineRule="auto"/>
        <w:ind w:left="0" w:firstLine="0"/>
        <w:jc w:val="left"/>
        <w:rPr>
          <w:b/>
          <w:bCs/>
          <w:caps/>
          <w:sz w:val="24"/>
          <w:szCs w:val="24"/>
        </w:rPr>
      </w:pPr>
      <w:r>
        <w:rPr>
          <w:b/>
          <w:bCs/>
          <w:caps/>
          <w:sz w:val="24"/>
          <w:szCs w:val="24"/>
        </w:rPr>
        <w:br w:type="page"/>
      </w:r>
    </w:p>
    <w:p w:rsidR="00D96F26" w:rsidRDefault="00D96F26" w:rsidP="003D36EE">
      <w:pPr>
        <w:spacing w:line="240" w:lineRule="auto"/>
        <w:ind w:left="0" w:firstLine="0"/>
        <w:jc w:val="left"/>
        <w:rPr>
          <w:b/>
          <w:bCs/>
          <w:caps/>
          <w:sz w:val="24"/>
          <w:szCs w:val="24"/>
        </w:rPr>
      </w:pPr>
    </w:p>
    <w:p w:rsidR="00D96F26" w:rsidRDefault="00D96F26" w:rsidP="00CC0857">
      <w:pPr>
        <w:pStyle w:val="Heading1"/>
        <w:spacing w:before="0"/>
        <w:ind w:left="0" w:firstLine="0"/>
        <w:jc w:val="center"/>
        <w:rPr>
          <w:rFonts w:cs="Calibri"/>
        </w:rPr>
      </w:pPr>
      <w:bookmarkStart w:id="2" w:name="_Toc286123579"/>
      <w:bookmarkStart w:id="3" w:name="_Toc286753571"/>
      <w:r w:rsidRPr="00D96F26">
        <w:rPr>
          <w:rFonts w:cs="Calibri"/>
        </w:rPr>
        <w:t xml:space="preserve">Table of </w:t>
      </w:r>
      <w:r w:rsidR="002531F5">
        <w:rPr>
          <w:rFonts w:cs="Calibri"/>
        </w:rPr>
        <w:t>Figures</w:t>
      </w:r>
      <w:bookmarkEnd w:id="2"/>
      <w:bookmarkEnd w:id="3"/>
    </w:p>
    <w:p w:rsidR="002531F5" w:rsidRDefault="002531F5" w:rsidP="002531F5"/>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r w:rsidRPr="00D52312">
        <w:rPr>
          <w:b/>
          <w:sz w:val="24"/>
        </w:rPr>
        <w:fldChar w:fldCharType="begin"/>
      </w:r>
      <w:r w:rsidR="002531F5" w:rsidRPr="00F94B03">
        <w:rPr>
          <w:b/>
          <w:sz w:val="24"/>
        </w:rPr>
        <w:instrText xml:space="preserve"> TOC \h \z \c "Figure" </w:instrText>
      </w:r>
      <w:r w:rsidRPr="00D52312">
        <w:rPr>
          <w:b/>
          <w:sz w:val="24"/>
        </w:rPr>
        <w:fldChar w:fldCharType="separate"/>
      </w:r>
      <w:hyperlink r:id="rId9" w:anchor="_Toc286762559" w:history="1">
        <w:r w:rsidR="00747119" w:rsidRPr="00747119">
          <w:rPr>
            <w:rStyle w:val="Hyperlink"/>
            <w:noProof/>
            <w:sz w:val="24"/>
            <w:szCs w:val="24"/>
          </w:rPr>
          <w:t>Figure 1 - DOE Organization Overview</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_Toc286762559 \h </w:instrText>
        </w:r>
        <w:r w:rsidRPr="00747119">
          <w:rPr>
            <w:noProof/>
            <w:webHidden/>
            <w:sz w:val="24"/>
            <w:szCs w:val="24"/>
          </w:rPr>
        </w:r>
        <w:r w:rsidRPr="00747119">
          <w:rPr>
            <w:noProof/>
            <w:webHidden/>
            <w:sz w:val="24"/>
            <w:szCs w:val="24"/>
          </w:rPr>
          <w:fldChar w:fldCharType="separate"/>
        </w:r>
        <w:r w:rsidR="00C068AF">
          <w:rPr>
            <w:noProof/>
            <w:webHidden/>
            <w:sz w:val="24"/>
            <w:szCs w:val="24"/>
          </w:rPr>
          <w:t>2</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0" w:anchor="_Toc286762560" w:history="1">
        <w:r w:rsidR="00747119" w:rsidRPr="00747119">
          <w:rPr>
            <w:rStyle w:val="Hyperlink"/>
            <w:noProof/>
            <w:sz w:val="24"/>
            <w:szCs w:val="24"/>
          </w:rPr>
          <w:t>Figure 2 - Federated Approach to the DOE EA</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_Toc286762560 \h </w:instrText>
        </w:r>
        <w:r w:rsidRPr="00747119">
          <w:rPr>
            <w:noProof/>
            <w:webHidden/>
            <w:sz w:val="24"/>
            <w:szCs w:val="24"/>
          </w:rPr>
        </w:r>
        <w:r w:rsidRPr="00747119">
          <w:rPr>
            <w:noProof/>
            <w:webHidden/>
            <w:sz w:val="24"/>
            <w:szCs w:val="24"/>
          </w:rPr>
          <w:fldChar w:fldCharType="separate"/>
        </w:r>
        <w:r w:rsidR="00C068AF">
          <w:rPr>
            <w:noProof/>
            <w:webHidden/>
            <w:sz w:val="24"/>
            <w:szCs w:val="24"/>
          </w:rPr>
          <w:t>3</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1" w:anchor="_Toc286762561" w:history="1">
        <w:r w:rsidR="00747119" w:rsidRPr="00747119">
          <w:rPr>
            <w:rStyle w:val="Hyperlink"/>
            <w:noProof/>
            <w:sz w:val="24"/>
            <w:szCs w:val="24"/>
          </w:rPr>
          <w:t>Figure 3 - DOE EA Governance Framework</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_Toc286762561 \h </w:instrText>
        </w:r>
        <w:r w:rsidRPr="00747119">
          <w:rPr>
            <w:noProof/>
            <w:webHidden/>
            <w:sz w:val="24"/>
            <w:szCs w:val="24"/>
          </w:rPr>
        </w:r>
        <w:r w:rsidRPr="00747119">
          <w:rPr>
            <w:noProof/>
            <w:webHidden/>
            <w:sz w:val="24"/>
            <w:szCs w:val="24"/>
          </w:rPr>
          <w:fldChar w:fldCharType="separate"/>
        </w:r>
        <w:r w:rsidR="00C068AF">
          <w:rPr>
            <w:noProof/>
            <w:webHidden/>
            <w:sz w:val="24"/>
            <w:szCs w:val="24"/>
          </w:rPr>
          <w:t>4</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2" w:anchor="_Toc286762562" w:history="1">
        <w:r w:rsidR="00747119" w:rsidRPr="00747119">
          <w:rPr>
            <w:rStyle w:val="Hyperlink"/>
            <w:noProof/>
            <w:sz w:val="24"/>
            <w:szCs w:val="24"/>
          </w:rPr>
          <w:t>Figure 4 – Example of the DOE BI tool and Enterprise Repository Report</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_Toc286762562 \h </w:instrText>
        </w:r>
        <w:r w:rsidRPr="00747119">
          <w:rPr>
            <w:noProof/>
            <w:webHidden/>
            <w:sz w:val="24"/>
            <w:szCs w:val="24"/>
          </w:rPr>
        </w:r>
        <w:r w:rsidRPr="00747119">
          <w:rPr>
            <w:noProof/>
            <w:webHidden/>
            <w:sz w:val="24"/>
            <w:szCs w:val="24"/>
          </w:rPr>
          <w:fldChar w:fldCharType="separate"/>
        </w:r>
        <w:r w:rsidR="00C068AF">
          <w:rPr>
            <w:noProof/>
            <w:webHidden/>
            <w:sz w:val="24"/>
            <w:szCs w:val="24"/>
          </w:rPr>
          <w:t>6</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3" w:anchor="_Toc286762563" w:history="1">
        <w:r w:rsidR="00747119" w:rsidRPr="00747119">
          <w:rPr>
            <w:rStyle w:val="Hyperlink"/>
            <w:noProof/>
            <w:sz w:val="24"/>
            <w:szCs w:val="24"/>
          </w:rPr>
          <w:t>Figure 5 - DOE EA Segments</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_Toc286762563 \h </w:instrText>
        </w:r>
        <w:r w:rsidRPr="00747119">
          <w:rPr>
            <w:noProof/>
            <w:webHidden/>
            <w:sz w:val="24"/>
            <w:szCs w:val="24"/>
          </w:rPr>
        </w:r>
        <w:r w:rsidRPr="00747119">
          <w:rPr>
            <w:noProof/>
            <w:webHidden/>
            <w:sz w:val="24"/>
            <w:szCs w:val="24"/>
          </w:rPr>
          <w:fldChar w:fldCharType="separate"/>
        </w:r>
        <w:r w:rsidR="00C068AF">
          <w:rPr>
            <w:noProof/>
            <w:webHidden/>
            <w:sz w:val="24"/>
            <w:szCs w:val="24"/>
          </w:rPr>
          <w:t>8</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4" w:anchor="_Toc286762564" w:history="1">
        <w:r w:rsidR="00747119" w:rsidRPr="00747119">
          <w:rPr>
            <w:rStyle w:val="Hyperlink"/>
            <w:noProof/>
            <w:sz w:val="24"/>
            <w:szCs w:val="24"/>
          </w:rPr>
          <w:t>Figure 6 – Linkage from EA Strategic Change Drivers to Key Priorities</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_Toc286762564 \h </w:instrText>
        </w:r>
        <w:r w:rsidRPr="00747119">
          <w:rPr>
            <w:noProof/>
            <w:webHidden/>
            <w:sz w:val="24"/>
            <w:szCs w:val="24"/>
          </w:rPr>
        </w:r>
        <w:r w:rsidRPr="00747119">
          <w:rPr>
            <w:noProof/>
            <w:webHidden/>
            <w:sz w:val="24"/>
            <w:szCs w:val="24"/>
          </w:rPr>
          <w:fldChar w:fldCharType="separate"/>
        </w:r>
        <w:r w:rsidR="00C068AF">
          <w:rPr>
            <w:noProof/>
            <w:webHidden/>
            <w:sz w:val="24"/>
            <w:szCs w:val="24"/>
          </w:rPr>
          <w:t>10</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5" w:anchor="_Toc286762565" w:history="1">
        <w:r w:rsidR="00747119" w:rsidRPr="00747119">
          <w:rPr>
            <w:rStyle w:val="Hyperlink"/>
            <w:noProof/>
            <w:sz w:val="24"/>
            <w:szCs w:val="24"/>
          </w:rPr>
          <w:t>Figure 7 - Migration to the Smart Grid</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_Toc286762565 \h </w:instrText>
        </w:r>
        <w:r w:rsidRPr="00747119">
          <w:rPr>
            <w:noProof/>
            <w:webHidden/>
            <w:sz w:val="24"/>
            <w:szCs w:val="24"/>
          </w:rPr>
        </w:r>
        <w:r w:rsidRPr="00747119">
          <w:rPr>
            <w:noProof/>
            <w:webHidden/>
            <w:sz w:val="24"/>
            <w:szCs w:val="24"/>
          </w:rPr>
          <w:fldChar w:fldCharType="separate"/>
        </w:r>
        <w:r w:rsidR="00C068AF">
          <w:rPr>
            <w:noProof/>
            <w:webHidden/>
            <w:sz w:val="24"/>
            <w:szCs w:val="24"/>
          </w:rPr>
          <w:t>13</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6" w:anchor="_Toc286762566" w:history="1">
        <w:r w:rsidR="00747119" w:rsidRPr="00747119">
          <w:rPr>
            <w:rStyle w:val="Hyperlink"/>
            <w:noProof/>
            <w:sz w:val="24"/>
            <w:szCs w:val="24"/>
          </w:rPr>
          <w:t>Figure 8 - DOE HSPD-12 Progress</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_Toc286762566 \h </w:instrText>
        </w:r>
        <w:r w:rsidRPr="00747119">
          <w:rPr>
            <w:noProof/>
            <w:webHidden/>
            <w:sz w:val="24"/>
            <w:szCs w:val="24"/>
          </w:rPr>
        </w:r>
        <w:r w:rsidRPr="00747119">
          <w:rPr>
            <w:noProof/>
            <w:webHidden/>
            <w:sz w:val="24"/>
            <w:szCs w:val="24"/>
          </w:rPr>
          <w:fldChar w:fldCharType="separate"/>
        </w:r>
        <w:r w:rsidR="00C068AF">
          <w:rPr>
            <w:noProof/>
            <w:webHidden/>
            <w:sz w:val="24"/>
            <w:szCs w:val="24"/>
          </w:rPr>
          <w:t>22</w:t>
        </w:r>
        <w:r w:rsidRPr="00747119">
          <w:rPr>
            <w:noProof/>
            <w:webHidden/>
            <w:sz w:val="24"/>
            <w:szCs w:val="24"/>
          </w:rPr>
          <w:fldChar w:fldCharType="end"/>
        </w:r>
      </w:hyperlink>
    </w:p>
    <w:p w:rsidR="00747119" w:rsidRPr="00747119" w:rsidRDefault="00D52312">
      <w:pPr>
        <w:pStyle w:val="TableofFigures"/>
        <w:tabs>
          <w:tab w:val="right" w:leader="dot" w:pos="9350"/>
        </w:tabs>
        <w:rPr>
          <w:rFonts w:asciiTheme="minorHAnsi" w:eastAsiaTheme="minorEastAsia" w:hAnsiTheme="minorHAnsi" w:cstheme="minorBidi"/>
          <w:noProof/>
          <w:sz w:val="24"/>
          <w:szCs w:val="24"/>
        </w:rPr>
      </w:pPr>
      <w:hyperlink r:id="rId17" w:anchor="_Toc286762567" w:history="1">
        <w:r w:rsidR="00747119" w:rsidRPr="00747119">
          <w:rPr>
            <w:rStyle w:val="Hyperlink"/>
            <w:noProof/>
            <w:sz w:val="24"/>
            <w:szCs w:val="24"/>
          </w:rPr>
          <w:t>Figure 9 - DOE Transition Timeline</w:t>
        </w:r>
        <w:r w:rsidR="00747119" w:rsidRPr="00747119">
          <w:rPr>
            <w:noProof/>
            <w:webHidden/>
            <w:sz w:val="24"/>
            <w:szCs w:val="24"/>
          </w:rPr>
          <w:tab/>
        </w:r>
        <w:r w:rsidRPr="00747119">
          <w:rPr>
            <w:noProof/>
            <w:webHidden/>
            <w:sz w:val="24"/>
            <w:szCs w:val="24"/>
          </w:rPr>
          <w:fldChar w:fldCharType="begin"/>
        </w:r>
        <w:r w:rsidR="00747119" w:rsidRPr="00747119">
          <w:rPr>
            <w:noProof/>
            <w:webHidden/>
            <w:sz w:val="24"/>
            <w:szCs w:val="24"/>
          </w:rPr>
          <w:instrText xml:space="preserve"> PAGEREF _Toc286762567 \h </w:instrText>
        </w:r>
        <w:r w:rsidRPr="00747119">
          <w:rPr>
            <w:noProof/>
            <w:webHidden/>
            <w:sz w:val="24"/>
            <w:szCs w:val="24"/>
          </w:rPr>
        </w:r>
        <w:r w:rsidRPr="00747119">
          <w:rPr>
            <w:noProof/>
            <w:webHidden/>
            <w:sz w:val="24"/>
            <w:szCs w:val="24"/>
          </w:rPr>
          <w:fldChar w:fldCharType="separate"/>
        </w:r>
        <w:r w:rsidR="00C068AF">
          <w:rPr>
            <w:noProof/>
            <w:webHidden/>
            <w:sz w:val="24"/>
            <w:szCs w:val="24"/>
          </w:rPr>
          <w:t>24</w:t>
        </w:r>
        <w:r w:rsidRPr="00747119">
          <w:rPr>
            <w:noProof/>
            <w:webHidden/>
            <w:sz w:val="24"/>
            <w:szCs w:val="24"/>
          </w:rPr>
          <w:fldChar w:fldCharType="end"/>
        </w:r>
      </w:hyperlink>
    </w:p>
    <w:p w:rsidR="00CA773E" w:rsidRDefault="00D52312" w:rsidP="00971782">
      <w:pPr>
        <w:rPr>
          <w:b/>
        </w:rPr>
      </w:pPr>
      <w:r w:rsidRPr="00F94B03">
        <w:rPr>
          <w:b/>
          <w:sz w:val="24"/>
        </w:rPr>
        <w:fldChar w:fldCharType="end"/>
      </w:r>
    </w:p>
    <w:p w:rsidR="00CC3A29" w:rsidRDefault="00CC3A29" w:rsidP="00971782">
      <w:pPr>
        <w:rPr>
          <w:b/>
        </w:rPr>
      </w:pPr>
    </w:p>
    <w:p w:rsidR="00CC3A29" w:rsidRPr="00971782" w:rsidRDefault="00CC3A29" w:rsidP="00971782">
      <w:pPr>
        <w:rPr>
          <w:b/>
        </w:rPr>
        <w:sectPr w:rsidR="00CC3A29" w:rsidRPr="00971782" w:rsidSect="00971782">
          <w:headerReference w:type="default" r:id="rId18"/>
          <w:footerReference w:type="default" r:id="rId19"/>
          <w:headerReference w:type="first" r:id="rId20"/>
          <w:pgSz w:w="12240" w:h="15840"/>
          <w:pgMar w:top="1440" w:right="1440" w:bottom="1440" w:left="1440" w:header="720" w:footer="720" w:gutter="0"/>
          <w:pgNumType w:fmt="lowerRoman" w:start="1"/>
          <w:cols w:space="720"/>
          <w:titlePg/>
          <w:docGrid w:linePitch="360"/>
        </w:sectPr>
      </w:pPr>
    </w:p>
    <w:p w:rsidR="001974EB" w:rsidRPr="008566AC" w:rsidRDefault="00F2642C" w:rsidP="00F2642C">
      <w:pPr>
        <w:pStyle w:val="Heading1"/>
        <w:spacing w:before="120"/>
        <w:ind w:left="0" w:firstLine="0"/>
        <w:rPr>
          <w:rFonts w:asciiTheme="majorHAnsi" w:hAnsiTheme="majorHAnsi"/>
        </w:rPr>
      </w:pPr>
      <w:bookmarkStart w:id="4" w:name="_Toc286753572"/>
      <w:r>
        <w:rPr>
          <w:rFonts w:asciiTheme="majorHAnsi" w:hAnsiTheme="majorHAnsi"/>
        </w:rPr>
        <w:t>Executive Summary</w:t>
      </w:r>
      <w:bookmarkEnd w:id="4"/>
    </w:p>
    <w:p w:rsidR="00324647" w:rsidRDefault="00324647" w:rsidP="00324647">
      <w:pPr>
        <w:autoSpaceDE w:val="0"/>
        <w:autoSpaceDN w:val="0"/>
        <w:adjustRightInd w:val="0"/>
        <w:ind w:left="0" w:firstLine="0"/>
        <w:jc w:val="left"/>
        <w:rPr>
          <w:rFonts w:asciiTheme="minorHAnsi" w:hAnsiTheme="minorHAnsi" w:cs="Arial"/>
          <w:sz w:val="22"/>
          <w:szCs w:val="24"/>
        </w:rPr>
      </w:pPr>
    </w:p>
    <w:p w:rsidR="009533F3" w:rsidRDefault="009533F3" w:rsidP="009533F3">
      <w:pPr>
        <w:autoSpaceDE w:val="0"/>
        <w:autoSpaceDN w:val="0"/>
        <w:adjustRightInd w:val="0"/>
        <w:ind w:left="0" w:firstLine="0"/>
        <w:jc w:val="left"/>
        <w:rPr>
          <w:rFonts w:asciiTheme="minorHAnsi" w:hAnsiTheme="minorHAnsi" w:cs="Arial"/>
          <w:sz w:val="22"/>
          <w:szCs w:val="24"/>
        </w:rPr>
      </w:pPr>
      <w:r>
        <w:rPr>
          <w:rFonts w:asciiTheme="minorHAnsi" w:hAnsiTheme="minorHAnsi" w:cs="Arial"/>
          <w:sz w:val="22"/>
          <w:szCs w:val="24"/>
        </w:rPr>
        <w:t>Th</w:t>
      </w:r>
      <w:r w:rsidR="002B00CE">
        <w:rPr>
          <w:rFonts w:asciiTheme="minorHAnsi" w:hAnsiTheme="minorHAnsi" w:cs="Arial"/>
          <w:sz w:val="22"/>
          <w:szCs w:val="24"/>
        </w:rPr>
        <w:t xml:space="preserve">e Department of Energy (DOE) continually assesses </w:t>
      </w:r>
      <w:r>
        <w:rPr>
          <w:rFonts w:asciiTheme="minorHAnsi" w:hAnsiTheme="minorHAnsi" w:cs="Arial"/>
          <w:sz w:val="22"/>
          <w:szCs w:val="24"/>
        </w:rPr>
        <w:t xml:space="preserve">opportunities to accomplish its mission </w:t>
      </w:r>
      <w:r w:rsidR="00F72163">
        <w:rPr>
          <w:rFonts w:asciiTheme="minorHAnsi" w:hAnsiTheme="minorHAnsi" w:cs="Arial"/>
          <w:sz w:val="22"/>
          <w:szCs w:val="24"/>
        </w:rPr>
        <w:t xml:space="preserve">more </w:t>
      </w:r>
      <w:r w:rsidR="00DB7974">
        <w:rPr>
          <w:rFonts w:asciiTheme="minorHAnsi" w:hAnsiTheme="minorHAnsi" w:cs="Arial"/>
          <w:sz w:val="22"/>
          <w:szCs w:val="24"/>
        </w:rPr>
        <w:t xml:space="preserve">effectively and efficiently. </w:t>
      </w:r>
      <w:r w:rsidR="002B00CE">
        <w:rPr>
          <w:rFonts w:asciiTheme="minorHAnsi" w:hAnsiTheme="minorHAnsi" w:cs="Arial"/>
          <w:sz w:val="22"/>
          <w:szCs w:val="24"/>
        </w:rPr>
        <w:t>When</w:t>
      </w:r>
      <w:r>
        <w:rPr>
          <w:rFonts w:asciiTheme="minorHAnsi" w:hAnsiTheme="minorHAnsi" w:cs="Arial"/>
          <w:sz w:val="22"/>
          <w:szCs w:val="24"/>
        </w:rPr>
        <w:t xml:space="preserve"> opportunities for improvement are identified, a strategy is developed that plots the f</w:t>
      </w:r>
      <w:r w:rsidR="00DB7974">
        <w:rPr>
          <w:rFonts w:asciiTheme="minorHAnsi" w:hAnsiTheme="minorHAnsi" w:cs="Arial"/>
          <w:sz w:val="22"/>
          <w:szCs w:val="24"/>
        </w:rPr>
        <w:t xml:space="preserve">uture direction of the agency. </w:t>
      </w:r>
      <w:r>
        <w:rPr>
          <w:rFonts w:asciiTheme="minorHAnsi" w:hAnsiTheme="minorHAnsi" w:cs="Arial"/>
          <w:sz w:val="22"/>
          <w:szCs w:val="24"/>
        </w:rPr>
        <w:t>This initiates an iterative cycle where the desired end-state is envisioned, initiatives are planned, and investment decisions are made to achieve the i</w:t>
      </w:r>
      <w:r w:rsidR="00DB7974">
        <w:rPr>
          <w:rFonts w:asciiTheme="minorHAnsi" w:hAnsiTheme="minorHAnsi" w:cs="Arial"/>
          <w:sz w:val="22"/>
          <w:szCs w:val="24"/>
        </w:rPr>
        <w:t xml:space="preserve">mproved operating environment. </w:t>
      </w:r>
      <w:r>
        <w:rPr>
          <w:rFonts w:asciiTheme="minorHAnsi" w:hAnsiTheme="minorHAnsi" w:cs="Arial"/>
          <w:sz w:val="22"/>
          <w:szCs w:val="24"/>
        </w:rPr>
        <w:t xml:space="preserve">The Department’s Enterprise Transition Plan (ETP) is the key integrator of this cycle providing the critical line-of-site between strategic goals and investment decisions.  </w:t>
      </w:r>
    </w:p>
    <w:p w:rsidR="009533F3" w:rsidRDefault="009533F3" w:rsidP="009533F3">
      <w:pPr>
        <w:ind w:left="0" w:firstLine="0"/>
        <w:jc w:val="left"/>
        <w:rPr>
          <w:sz w:val="22"/>
        </w:rPr>
      </w:pPr>
    </w:p>
    <w:p w:rsidR="009533F3" w:rsidRDefault="00DB7974" w:rsidP="009533F3">
      <w:pPr>
        <w:autoSpaceDE w:val="0"/>
        <w:autoSpaceDN w:val="0"/>
        <w:adjustRightInd w:val="0"/>
        <w:ind w:left="0" w:firstLine="0"/>
        <w:jc w:val="left"/>
        <w:rPr>
          <w:rFonts w:asciiTheme="minorHAnsi" w:hAnsiTheme="minorHAnsi" w:cs="Arial"/>
          <w:sz w:val="22"/>
          <w:szCs w:val="24"/>
        </w:rPr>
      </w:pPr>
      <w:r>
        <w:rPr>
          <w:rFonts w:asciiTheme="minorHAnsi" w:hAnsiTheme="minorHAnsi" w:cs="Arial"/>
          <w:sz w:val="22"/>
          <w:szCs w:val="24"/>
        </w:rPr>
        <w:t xml:space="preserve">DOE’s enterprise architecture (EA) is shaped by </w:t>
      </w:r>
      <w:r w:rsidR="009533F3">
        <w:rPr>
          <w:rFonts w:asciiTheme="minorHAnsi" w:hAnsiTheme="minorHAnsi" w:cs="Arial"/>
          <w:sz w:val="22"/>
          <w:szCs w:val="24"/>
        </w:rPr>
        <w:t>strategic planning activities which include both interna</w:t>
      </w:r>
      <w:r>
        <w:rPr>
          <w:rFonts w:asciiTheme="minorHAnsi" w:hAnsiTheme="minorHAnsi" w:cs="Arial"/>
          <w:sz w:val="22"/>
          <w:szCs w:val="24"/>
        </w:rPr>
        <w:t xml:space="preserve">l and external change drivers. </w:t>
      </w:r>
      <w:r w:rsidR="009533F3">
        <w:rPr>
          <w:rFonts w:asciiTheme="minorHAnsi" w:hAnsiTheme="minorHAnsi" w:cs="Arial"/>
          <w:sz w:val="22"/>
          <w:szCs w:val="24"/>
        </w:rPr>
        <w:t xml:space="preserve">The Department’s EA program analyzes these strategies to identify performance gaps and redundancies in order to create a target environment that </w:t>
      </w:r>
      <w:r>
        <w:rPr>
          <w:rFonts w:asciiTheme="minorHAnsi" w:hAnsiTheme="minorHAnsi" w:cs="Arial"/>
          <w:sz w:val="22"/>
          <w:szCs w:val="24"/>
        </w:rPr>
        <w:t xml:space="preserve">will drive business decisions. </w:t>
      </w:r>
      <w:r w:rsidR="009533F3">
        <w:rPr>
          <w:rFonts w:asciiTheme="minorHAnsi" w:hAnsiTheme="minorHAnsi" w:cs="Arial"/>
          <w:sz w:val="22"/>
          <w:szCs w:val="24"/>
        </w:rPr>
        <w:t>Investment decisions are then budgeted and managed through DOE’s capital planning and investment control process</w:t>
      </w:r>
      <w:r w:rsidR="0038373A">
        <w:rPr>
          <w:rFonts w:asciiTheme="minorHAnsi" w:hAnsiTheme="minorHAnsi" w:cs="Arial"/>
          <w:sz w:val="22"/>
          <w:szCs w:val="24"/>
        </w:rPr>
        <w:t xml:space="preserve"> </w:t>
      </w:r>
      <w:r w:rsidR="009533F3">
        <w:rPr>
          <w:rFonts w:asciiTheme="minorHAnsi" w:hAnsiTheme="minorHAnsi" w:cs="Arial"/>
          <w:sz w:val="22"/>
          <w:szCs w:val="24"/>
        </w:rPr>
        <w:t>where specific initiatives are prioritized and i</w:t>
      </w:r>
      <w:r>
        <w:rPr>
          <w:rFonts w:asciiTheme="minorHAnsi" w:hAnsiTheme="minorHAnsi" w:cs="Arial"/>
          <w:sz w:val="22"/>
          <w:szCs w:val="24"/>
        </w:rPr>
        <w:t xml:space="preserve">mplemented by Program Offices. </w:t>
      </w:r>
      <w:r w:rsidR="009533F3">
        <w:rPr>
          <w:rFonts w:asciiTheme="minorHAnsi" w:hAnsiTheme="minorHAnsi" w:cs="Arial"/>
          <w:sz w:val="22"/>
          <w:szCs w:val="24"/>
        </w:rPr>
        <w:t>EA integrates these practice areas by providing the strategic mapping, future blueprint, and existing capability repository from which subsequent investment decisions are based.</w:t>
      </w:r>
    </w:p>
    <w:p w:rsidR="009533F3" w:rsidRDefault="009533F3" w:rsidP="009533F3">
      <w:pPr>
        <w:ind w:left="0" w:firstLine="0"/>
        <w:jc w:val="left"/>
        <w:rPr>
          <w:sz w:val="22"/>
        </w:rPr>
      </w:pPr>
    </w:p>
    <w:p w:rsidR="009533F3" w:rsidRDefault="009533F3" w:rsidP="009533F3">
      <w:pPr>
        <w:autoSpaceDE w:val="0"/>
        <w:autoSpaceDN w:val="0"/>
        <w:adjustRightInd w:val="0"/>
        <w:ind w:left="0" w:firstLine="0"/>
        <w:jc w:val="left"/>
        <w:rPr>
          <w:rFonts w:asciiTheme="minorHAnsi" w:hAnsiTheme="minorHAnsi" w:cs="Arial"/>
          <w:sz w:val="22"/>
          <w:szCs w:val="24"/>
        </w:rPr>
      </w:pPr>
      <w:r>
        <w:rPr>
          <w:rFonts w:asciiTheme="minorHAnsi" w:hAnsiTheme="minorHAnsi" w:cs="Arial"/>
          <w:sz w:val="22"/>
          <w:szCs w:val="24"/>
        </w:rPr>
        <w:t>This ETP describes DOE’s high-priority initiatives for migrating to the Department’s missi</w:t>
      </w:r>
      <w:r w:rsidR="00DB7974">
        <w:rPr>
          <w:rFonts w:asciiTheme="minorHAnsi" w:hAnsiTheme="minorHAnsi" w:cs="Arial"/>
          <w:sz w:val="22"/>
          <w:szCs w:val="24"/>
        </w:rPr>
        <w:t xml:space="preserve">on-driven target architecture. </w:t>
      </w:r>
      <w:r>
        <w:rPr>
          <w:rFonts w:asciiTheme="minorHAnsi" w:hAnsiTheme="minorHAnsi" w:cs="Arial"/>
          <w:sz w:val="22"/>
          <w:szCs w:val="24"/>
        </w:rPr>
        <w:t xml:space="preserve">The initiatives are based on key priorities identified in the Secretary’s </w:t>
      </w:r>
      <w:r w:rsidR="00DB7974">
        <w:rPr>
          <w:rFonts w:asciiTheme="minorHAnsi" w:hAnsiTheme="minorHAnsi" w:cs="Arial"/>
          <w:sz w:val="22"/>
          <w:szCs w:val="24"/>
        </w:rPr>
        <w:t xml:space="preserve">revised </w:t>
      </w:r>
      <w:r>
        <w:rPr>
          <w:rFonts w:asciiTheme="minorHAnsi" w:hAnsiTheme="minorHAnsi" w:cs="Arial"/>
          <w:sz w:val="22"/>
          <w:szCs w:val="24"/>
        </w:rPr>
        <w:t xml:space="preserve">Strategic Plan, the Federal Chief Information Officer’s </w:t>
      </w:r>
      <w:r w:rsidR="00DB7974">
        <w:rPr>
          <w:rFonts w:asciiTheme="minorHAnsi" w:hAnsiTheme="minorHAnsi" w:cs="Arial"/>
          <w:sz w:val="22"/>
          <w:szCs w:val="24"/>
        </w:rPr>
        <w:t xml:space="preserve">(CIO) </w:t>
      </w:r>
      <w:r>
        <w:rPr>
          <w:rFonts w:asciiTheme="minorHAnsi" w:hAnsiTheme="minorHAnsi" w:cs="Arial"/>
          <w:sz w:val="22"/>
          <w:szCs w:val="24"/>
        </w:rPr>
        <w:t>strategy for transforming IT manageme</w:t>
      </w:r>
      <w:r w:rsidR="00DB7974">
        <w:rPr>
          <w:rFonts w:asciiTheme="minorHAnsi" w:hAnsiTheme="minorHAnsi" w:cs="Arial"/>
          <w:sz w:val="22"/>
          <w:szCs w:val="24"/>
        </w:rPr>
        <w:t xml:space="preserve">nt, and the Department’s CIO’s </w:t>
      </w:r>
      <w:r>
        <w:rPr>
          <w:rFonts w:asciiTheme="minorHAnsi" w:hAnsiTheme="minorHAnsi" w:cs="Arial"/>
          <w:sz w:val="22"/>
          <w:szCs w:val="24"/>
        </w:rPr>
        <w:t>I</w:t>
      </w:r>
      <w:r w:rsidR="00DB7974">
        <w:rPr>
          <w:rFonts w:asciiTheme="minorHAnsi" w:hAnsiTheme="minorHAnsi" w:cs="Arial"/>
          <w:sz w:val="22"/>
          <w:szCs w:val="24"/>
        </w:rPr>
        <w:t xml:space="preserve">nformation </w:t>
      </w:r>
      <w:r>
        <w:rPr>
          <w:rFonts w:asciiTheme="minorHAnsi" w:hAnsiTheme="minorHAnsi" w:cs="Arial"/>
          <w:sz w:val="22"/>
          <w:szCs w:val="24"/>
        </w:rPr>
        <w:t>T</w:t>
      </w:r>
      <w:r w:rsidR="00DB7974">
        <w:rPr>
          <w:rFonts w:asciiTheme="minorHAnsi" w:hAnsiTheme="minorHAnsi" w:cs="Arial"/>
          <w:sz w:val="22"/>
          <w:szCs w:val="24"/>
        </w:rPr>
        <w:t>echnology (IT) Focus Points.</w:t>
      </w:r>
      <w:r>
        <w:rPr>
          <w:rFonts w:asciiTheme="minorHAnsi" w:hAnsiTheme="minorHAnsi" w:cs="Arial"/>
          <w:sz w:val="22"/>
          <w:szCs w:val="24"/>
        </w:rPr>
        <w:t xml:space="preserve"> The ETP discusses plans to advance DOE’s </w:t>
      </w:r>
      <w:r w:rsidR="00DB7974">
        <w:rPr>
          <w:rFonts w:asciiTheme="minorHAnsi" w:hAnsiTheme="minorHAnsi" w:cs="Arial"/>
          <w:sz w:val="22"/>
          <w:szCs w:val="24"/>
        </w:rPr>
        <w:t xml:space="preserve">mission and enhance </w:t>
      </w:r>
      <w:r>
        <w:rPr>
          <w:rFonts w:asciiTheme="minorHAnsi" w:hAnsiTheme="minorHAnsi" w:cs="Arial"/>
          <w:sz w:val="22"/>
          <w:szCs w:val="24"/>
        </w:rPr>
        <w:t>information delivery by advancing mobile computing technologies, employing collaborative tools, and modernizing the agency’s IT infr</w:t>
      </w:r>
      <w:r w:rsidR="00DB7974">
        <w:rPr>
          <w:rFonts w:asciiTheme="minorHAnsi" w:hAnsiTheme="minorHAnsi" w:cs="Arial"/>
          <w:sz w:val="22"/>
          <w:szCs w:val="24"/>
        </w:rPr>
        <w:t xml:space="preserve">astructure. </w:t>
      </w:r>
      <w:r>
        <w:rPr>
          <w:rFonts w:asciiTheme="minorHAnsi" w:hAnsiTheme="minorHAnsi" w:cs="Arial"/>
          <w:sz w:val="22"/>
          <w:szCs w:val="24"/>
        </w:rPr>
        <w:t xml:space="preserve">It also discusses the elevated prioritization of data center consolidation, records management, and cloud computing </w:t>
      </w:r>
      <w:r w:rsidR="00DB7974">
        <w:rPr>
          <w:rFonts w:asciiTheme="minorHAnsi" w:hAnsiTheme="minorHAnsi" w:cs="Arial"/>
          <w:sz w:val="22"/>
          <w:szCs w:val="24"/>
        </w:rPr>
        <w:t xml:space="preserve">initiatives within the Department’s EA. </w:t>
      </w:r>
      <w:r>
        <w:rPr>
          <w:rFonts w:asciiTheme="minorHAnsi" w:hAnsiTheme="minorHAnsi" w:cs="Arial"/>
          <w:sz w:val="22"/>
          <w:szCs w:val="24"/>
        </w:rPr>
        <w:t xml:space="preserve">The plan also addresses other </w:t>
      </w:r>
      <w:r w:rsidR="00DB7974">
        <w:rPr>
          <w:rFonts w:asciiTheme="minorHAnsi" w:hAnsiTheme="minorHAnsi" w:cs="Arial"/>
          <w:sz w:val="22"/>
          <w:szCs w:val="24"/>
        </w:rPr>
        <w:t xml:space="preserve">mandated requirements, such as implementing </w:t>
      </w:r>
      <w:r>
        <w:rPr>
          <w:rFonts w:asciiTheme="minorHAnsi" w:hAnsiTheme="minorHAnsi" w:cs="Arial"/>
          <w:sz w:val="22"/>
          <w:szCs w:val="24"/>
        </w:rPr>
        <w:t>H</w:t>
      </w:r>
      <w:r w:rsidR="00DB7974">
        <w:rPr>
          <w:rFonts w:asciiTheme="minorHAnsi" w:hAnsiTheme="minorHAnsi" w:cs="Arial"/>
          <w:sz w:val="22"/>
          <w:szCs w:val="24"/>
        </w:rPr>
        <w:t>omeland Security Presidential Directive-12 (H</w:t>
      </w:r>
      <w:r>
        <w:rPr>
          <w:rFonts w:asciiTheme="minorHAnsi" w:hAnsiTheme="minorHAnsi" w:cs="Arial"/>
          <w:sz w:val="22"/>
          <w:szCs w:val="24"/>
        </w:rPr>
        <w:t>SPD-12</w:t>
      </w:r>
      <w:r w:rsidR="00DB7974">
        <w:rPr>
          <w:rFonts w:asciiTheme="minorHAnsi" w:hAnsiTheme="minorHAnsi" w:cs="Arial"/>
          <w:sz w:val="22"/>
          <w:szCs w:val="24"/>
        </w:rPr>
        <w:t>) and Internet Protocol V</w:t>
      </w:r>
      <w:r>
        <w:rPr>
          <w:rFonts w:asciiTheme="minorHAnsi" w:hAnsiTheme="minorHAnsi" w:cs="Arial"/>
          <w:sz w:val="22"/>
          <w:szCs w:val="24"/>
        </w:rPr>
        <w:t xml:space="preserve">ersion 6.  </w:t>
      </w:r>
    </w:p>
    <w:p w:rsidR="009533F3" w:rsidRDefault="009533F3" w:rsidP="009533F3"/>
    <w:p w:rsidR="00BF066C" w:rsidRPr="00BF066C" w:rsidRDefault="00BF066C" w:rsidP="00BF066C">
      <w:pPr>
        <w:autoSpaceDE w:val="0"/>
        <w:autoSpaceDN w:val="0"/>
        <w:adjustRightInd w:val="0"/>
        <w:ind w:left="0" w:firstLine="0"/>
        <w:jc w:val="left"/>
        <w:rPr>
          <w:rFonts w:asciiTheme="minorHAnsi" w:hAnsiTheme="minorHAnsi" w:cs="Arial"/>
          <w:sz w:val="22"/>
          <w:szCs w:val="24"/>
        </w:rPr>
      </w:pPr>
    </w:p>
    <w:p w:rsidR="00163D01" w:rsidRDefault="00163D01">
      <w:pPr>
        <w:spacing w:line="240" w:lineRule="auto"/>
        <w:ind w:left="0" w:firstLine="0"/>
        <w:jc w:val="left"/>
        <w:rPr>
          <w:sz w:val="22"/>
          <w:szCs w:val="22"/>
        </w:rPr>
      </w:pPr>
      <w:r>
        <w:rPr>
          <w:sz w:val="22"/>
          <w:szCs w:val="22"/>
        </w:rPr>
        <w:br w:type="page"/>
      </w:r>
    </w:p>
    <w:p w:rsidR="00405980" w:rsidRPr="00F2642C" w:rsidRDefault="00405980" w:rsidP="00F2642C">
      <w:pPr>
        <w:keepNext/>
        <w:keepLines/>
        <w:spacing w:before="120" w:after="120"/>
        <w:ind w:left="0" w:firstLine="0"/>
        <w:jc w:val="left"/>
        <w:outlineLvl w:val="0"/>
        <w:rPr>
          <w:rFonts w:asciiTheme="majorHAnsi" w:hAnsiTheme="majorHAnsi"/>
          <w:b/>
          <w:bCs/>
          <w:vanish/>
          <w:color w:val="365F91"/>
          <w:sz w:val="28"/>
          <w:szCs w:val="28"/>
        </w:rPr>
      </w:pPr>
      <w:bookmarkStart w:id="5" w:name="_Toc286714926"/>
      <w:bookmarkStart w:id="6" w:name="_Toc286715034"/>
      <w:bookmarkStart w:id="7" w:name="_Toc286729165"/>
      <w:bookmarkStart w:id="8" w:name="_Toc286729280"/>
      <w:bookmarkStart w:id="9" w:name="_Toc286737772"/>
      <w:bookmarkStart w:id="10" w:name="_Toc286737879"/>
      <w:bookmarkEnd w:id="5"/>
      <w:bookmarkEnd w:id="6"/>
      <w:bookmarkEnd w:id="7"/>
      <w:bookmarkEnd w:id="8"/>
      <w:bookmarkEnd w:id="9"/>
      <w:bookmarkEnd w:id="10"/>
    </w:p>
    <w:p w:rsidR="00E948F7" w:rsidRPr="00022C5A" w:rsidRDefault="00786664" w:rsidP="009E3804">
      <w:pPr>
        <w:pStyle w:val="Heading1"/>
        <w:numPr>
          <w:ilvl w:val="0"/>
          <w:numId w:val="10"/>
        </w:numPr>
        <w:spacing w:before="120" w:after="120"/>
        <w:jc w:val="left"/>
        <w:rPr>
          <w:rFonts w:asciiTheme="majorHAnsi" w:hAnsiTheme="majorHAnsi" w:cs="Calibri"/>
        </w:rPr>
      </w:pPr>
      <w:bookmarkStart w:id="11" w:name="_Toc286753573"/>
      <w:r w:rsidRPr="00022C5A">
        <w:rPr>
          <w:rFonts w:asciiTheme="majorHAnsi" w:hAnsiTheme="majorHAnsi" w:cs="Calibri"/>
        </w:rPr>
        <w:t>Introduction</w:t>
      </w:r>
      <w:bookmarkEnd w:id="11"/>
    </w:p>
    <w:p w:rsidR="00581FD3" w:rsidRPr="00561D8B" w:rsidRDefault="00583A5F" w:rsidP="00DA1C63">
      <w:pPr>
        <w:spacing w:after="120"/>
        <w:ind w:left="0" w:firstLine="0"/>
        <w:jc w:val="left"/>
        <w:rPr>
          <w:sz w:val="22"/>
          <w:szCs w:val="24"/>
        </w:rPr>
      </w:pPr>
      <w:r>
        <w:rPr>
          <w:noProof/>
          <w:sz w:val="22"/>
        </w:rPr>
        <w:drawing>
          <wp:anchor distT="0" distB="0" distL="114300" distR="114300" simplePos="0" relativeHeight="251710464" behindDoc="0" locked="0" layoutInCell="1" allowOverlap="1">
            <wp:simplePos x="0" y="0"/>
            <wp:positionH relativeFrom="margin">
              <wp:posOffset>3409950</wp:posOffset>
            </wp:positionH>
            <wp:positionV relativeFrom="margin">
              <wp:posOffset>466725</wp:posOffset>
            </wp:positionV>
            <wp:extent cx="2333625" cy="2752725"/>
            <wp:effectExtent l="0" t="0" r="0" b="0"/>
            <wp:wrapSquare wrapText="bothSides"/>
            <wp:docPr id="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333625" cy="2752725"/>
                    </a:xfrm>
                    <a:prstGeom prst="rect">
                      <a:avLst/>
                    </a:prstGeom>
                    <a:noFill/>
                    <a:ln w="9525">
                      <a:noFill/>
                      <a:miter lim="800000"/>
                      <a:headEnd/>
                      <a:tailEnd/>
                    </a:ln>
                  </pic:spPr>
                </pic:pic>
              </a:graphicData>
            </a:graphic>
          </wp:anchor>
        </w:drawing>
      </w:r>
      <w:r w:rsidR="00C1069A" w:rsidRPr="00561D8B">
        <w:rPr>
          <w:sz w:val="22"/>
        </w:rPr>
        <w:t>DOE’s EA</w:t>
      </w:r>
      <w:r w:rsidR="00F5131C" w:rsidRPr="00561D8B">
        <w:rPr>
          <w:sz w:val="22"/>
        </w:rPr>
        <w:t xml:space="preserve"> </w:t>
      </w:r>
      <w:r w:rsidR="006C68BA" w:rsidRPr="00561D8B">
        <w:rPr>
          <w:sz w:val="22"/>
        </w:rPr>
        <w:t>describes the interrelation of business processes, performance, data, information, services, and technolo</w:t>
      </w:r>
      <w:r w:rsidR="001A483E">
        <w:rPr>
          <w:sz w:val="22"/>
        </w:rPr>
        <w:t>gy necessary to accomplish the Department</w:t>
      </w:r>
      <w:r w:rsidR="006C68BA" w:rsidRPr="00561D8B">
        <w:rPr>
          <w:sz w:val="22"/>
        </w:rPr>
        <w:t>’s mission.</w:t>
      </w:r>
      <w:r w:rsidR="00C3456B">
        <w:rPr>
          <w:sz w:val="22"/>
        </w:rPr>
        <w:t xml:space="preserve"> </w:t>
      </w:r>
      <w:r w:rsidR="00581FD3" w:rsidRPr="00561D8B">
        <w:rPr>
          <w:sz w:val="22"/>
          <w:szCs w:val="24"/>
        </w:rPr>
        <w:t xml:space="preserve">The mission of the </w:t>
      </w:r>
      <w:r w:rsidR="00680362" w:rsidRPr="00561D8B">
        <w:rPr>
          <w:sz w:val="22"/>
          <w:szCs w:val="24"/>
        </w:rPr>
        <w:t>DOE</w:t>
      </w:r>
      <w:r w:rsidR="00581FD3" w:rsidRPr="00561D8B">
        <w:rPr>
          <w:sz w:val="22"/>
          <w:szCs w:val="24"/>
        </w:rPr>
        <w:t xml:space="preserve"> is to ensure America’s security and prosperity by addressing the country’s scientific, energy, environmental, and nuclear challenges through transformative science </w:t>
      </w:r>
      <w:r w:rsidR="001A483E">
        <w:rPr>
          <w:sz w:val="22"/>
          <w:szCs w:val="24"/>
        </w:rPr>
        <w:t>and technology solutions.</w:t>
      </w:r>
      <w:r w:rsidR="00C3456B">
        <w:rPr>
          <w:sz w:val="22"/>
          <w:szCs w:val="24"/>
        </w:rPr>
        <w:t xml:space="preserve"> </w:t>
      </w:r>
      <w:r w:rsidR="001A483E">
        <w:rPr>
          <w:sz w:val="22"/>
          <w:szCs w:val="24"/>
        </w:rPr>
        <w:t>The Department</w:t>
      </w:r>
      <w:r w:rsidR="00581FD3" w:rsidRPr="00561D8B">
        <w:rPr>
          <w:sz w:val="22"/>
          <w:szCs w:val="24"/>
        </w:rPr>
        <w:t xml:space="preserve"> ensures mission success by establishing an effective and efficient operation as well as </w:t>
      </w:r>
      <w:r w:rsidR="0060513B">
        <w:rPr>
          <w:sz w:val="22"/>
          <w:szCs w:val="24"/>
        </w:rPr>
        <w:t xml:space="preserve">an </w:t>
      </w:r>
      <w:r w:rsidR="00581FD3" w:rsidRPr="00561D8B">
        <w:rPr>
          <w:sz w:val="22"/>
          <w:szCs w:val="24"/>
        </w:rPr>
        <w:t>adaptable management team.</w:t>
      </w:r>
    </w:p>
    <w:p w:rsidR="004B2617" w:rsidRDefault="007054BD" w:rsidP="00294CD6">
      <w:pPr>
        <w:spacing w:after="120"/>
        <w:ind w:left="0" w:firstLine="0"/>
        <w:jc w:val="left"/>
        <w:rPr>
          <w:color w:val="000000"/>
          <w:sz w:val="22"/>
          <w:szCs w:val="24"/>
        </w:rPr>
      </w:pPr>
      <w:r w:rsidRPr="00561D8B">
        <w:rPr>
          <w:color w:val="000000"/>
          <w:sz w:val="22"/>
          <w:szCs w:val="24"/>
        </w:rPr>
        <w:t xml:space="preserve">The Secretary of Energy identified </w:t>
      </w:r>
      <w:r w:rsidR="00B11032">
        <w:rPr>
          <w:color w:val="000000"/>
          <w:sz w:val="22"/>
          <w:szCs w:val="24"/>
        </w:rPr>
        <w:t>three</w:t>
      </w:r>
      <w:r w:rsidRPr="00561D8B">
        <w:rPr>
          <w:color w:val="000000"/>
          <w:sz w:val="22"/>
          <w:szCs w:val="24"/>
        </w:rPr>
        <w:t xml:space="preserve"> enterprise-wi</w:t>
      </w:r>
      <w:r w:rsidR="001A483E">
        <w:rPr>
          <w:color w:val="000000"/>
          <w:sz w:val="22"/>
          <w:szCs w:val="24"/>
        </w:rPr>
        <w:t>de strategic goals through the Department</w:t>
      </w:r>
      <w:r w:rsidRPr="00561D8B">
        <w:rPr>
          <w:color w:val="000000"/>
          <w:sz w:val="22"/>
          <w:szCs w:val="24"/>
        </w:rPr>
        <w:t>’s revised strategic plan</w:t>
      </w:r>
      <w:r w:rsidR="00680362" w:rsidRPr="00561D8B">
        <w:rPr>
          <w:color w:val="000000"/>
          <w:sz w:val="22"/>
          <w:szCs w:val="24"/>
        </w:rPr>
        <w:t xml:space="preserve"> that drives the development of the EA</w:t>
      </w:r>
      <w:r w:rsidRPr="00561D8B">
        <w:rPr>
          <w:color w:val="000000"/>
          <w:sz w:val="22"/>
          <w:szCs w:val="24"/>
        </w:rPr>
        <w:t>.</w:t>
      </w:r>
      <w:r w:rsidR="00C3456B">
        <w:rPr>
          <w:color w:val="000000"/>
          <w:sz w:val="22"/>
          <w:szCs w:val="24"/>
        </w:rPr>
        <w:t xml:space="preserve"> </w:t>
      </w:r>
      <w:r w:rsidRPr="00561D8B">
        <w:rPr>
          <w:color w:val="000000"/>
          <w:sz w:val="22"/>
          <w:szCs w:val="24"/>
        </w:rPr>
        <w:t xml:space="preserve">All DOE mission-related initiatives, programs, and investments are driven by one or more of these goals as well as the </w:t>
      </w:r>
      <w:r w:rsidR="001A483E">
        <w:rPr>
          <w:color w:val="000000"/>
          <w:sz w:val="22"/>
          <w:szCs w:val="24"/>
        </w:rPr>
        <w:t>Department</w:t>
      </w:r>
      <w:r w:rsidR="00680362" w:rsidRPr="00561D8B">
        <w:rPr>
          <w:color w:val="000000"/>
          <w:sz w:val="22"/>
          <w:szCs w:val="24"/>
        </w:rPr>
        <w:t xml:space="preserve">’s </w:t>
      </w:r>
      <w:r w:rsidRPr="00561D8B">
        <w:rPr>
          <w:color w:val="000000"/>
          <w:sz w:val="22"/>
          <w:szCs w:val="24"/>
        </w:rPr>
        <w:t>prioritization and resource allocation</w:t>
      </w:r>
      <w:r w:rsidR="00680362" w:rsidRPr="00561D8B">
        <w:rPr>
          <w:color w:val="000000"/>
          <w:sz w:val="22"/>
          <w:szCs w:val="24"/>
        </w:rPr>
        <w:t xml:space="preserve"> processes</w:t>
      </w:r>
      <w:r w:rsidRPr="00561D8B">
        <w:rPr>
          <w:color w:val="000000"/>
          <w:sz w:val="22"/>
          <w:szCs w:val="24"/>
        </w:rPr>
        <w:t>.</w:t>
      </w:r>
    </w:p>
    <w:p w:rsidR="00972FA9" w:rsidRPr="00022C5A" w:rsidRDefault="00C3456B" w:rsidP="00ED3FB1">
      <w:pPr>
        <w:pStyle w:val="Heading2"/>
        <w:numPr>
          <w:ilvl w:val="1"/>
          <w:numId w:val="10"/>
        </w:numPr>
        <w:spacing w:before="120" w:after="120"/>
        <w:ind w:left="540" w:hanging="540"/>
        <w:jc w:val="left"/>
        <w:rPr>
          <w:rFonts w:asciiTheme="majorHAnsi" w:hAnsiTheme="majorHAnsi" w:cs="Calibri"/>
          <w:color w:val="365F91"/>
          <w:sz w:val="28"/>
        </w:rPr>
      </w:pPr>
      <w:r w:rsidRPr="00022C5A">
        <w:rPr>
          <w:rFonts w:asciiTheme="majorHAnsi" w:hAnsiTheme="majorHAnsi" w:cs="Calibri"/>
          <w:color w:val="365F91"/>
          <w:sz w:val="28"/>
        </w:rPr>
        <w:t xml:space="preserve"> </w:t>
      </w:r>
      <w:bookmarkStart w:id="12" w:name="_Toc286753574"/>
      <w:r w:rsidR="003156DD">
        <w:rPr>
          <w:rFonts w:asciiTheme="majorHAnsi" w:hAnsiTheme="majorHAnsi" w:cs="Calibri"/>
          <w:color w:val="365F91"/>
          <w:sz w:val="28"/>
        </w:rPr>
        <w:t>DOE Organization</w:t>
      </w:r>
      <w:bookmarkEnd w:id="12"/>
    </w:p>
    <w:p w:rsidR="001A5C79" w:rsidRPr="00561D8B" w:rsidRDefault="003156DD" w:rsidP="00DA1C63">
      <w:pPr>
        <w:ind w:left="0" w:firstLine="0"/>
        <w:jc w:val="left"/>
      </w:pPr>
      <w:r>
        <w:rPr>
          <w:noProof/>
        </w:rPr>
        <w:drawing>
          <wp:anchor distT="0" distB="0" distL="274320" distR="274320" simplePos="0" relativeHeight="251717632" behindDoc="0" locked="0" layoutInCell="1" allowOverlap="1">
            <wp:simplePos x="0" y="0"/>
            <wp:positionH relativeFrom="margin">
              <wp:posOffset>1914525</wp:posOffset>
            </wp:positionH>
            <wp:positionV relativeFrom="margin">
              <wp:posOffset>3990975</wp:posOffset>
            </wp:positionV>
            <wp:extent cx="4057650" cy="3276600"/>
            <wp:effectExtent l="19050" t="0" r="0" b="0"/>
            <wp:wrapSquare wrapText="bothSides"/>
            <wp:docPr id="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4057650" cy="3276600"/>
                    </a:xfrm>
                    <a:prstGeom prst="rect">
                      <a:avLst/>
                    </a:prstGeom>
                    <a:noFill/>
                    <a:ln w="9525">
                      <a:noFill/>
                      <a:miter lim="800000"/>
                      <a:headEnd/>
                      <a:tailEnd/>
                    </a:ln>
                  </pic:spPr>
                </pic:pic>
              </a:graphicData>
            </a:graphic>
          </wp:anchor>
        </w:drawing>
      </w:r>
      <w:r w:rsidR="001A5C79" w:rsidRPr="00561D8B">
        <w:rPr>
          <w:sz w:val="22"/>
        </w:rPr>
        <w:t>DOE has historically supported both civilia</w:t>
      </w:r>
      <w:r w:rsidR="001A483E">
        <w:rPr>
          <w:sz w:val="22"/>
        </w:rPr>
        <w:t>n and defense activities</w:t>
      </w:r>
      <w:r w:rsidR="0078267F">
        <w:rPr>
          <w:sz w:val="22"/>
        </w:rPr>
        <w:t xml:space="preserve"> as </w:t>
      </w:r>
      <w:r w:rsidR="00583A5F">
        <w:rPr>
          <w:sz w:val="22"/>
        </w:rPr>
        <w:t>illustrated in Figure 1</w:t>
      </w:r>
      <w:r w:rsidR="001A483E">
        <w:rPr>
          <w:sz w:val="22"/>
        </w:rPr>
        <w:t>.</w:t>
      </w:r>
      <w:r w:rsidR="00C3456B">
        <w:rPr>
          <w:sz w:val="22"/>
        </w:rPr>
        <w:t xml:space="preserve"> </w:t>
      </w:r>
      <w:r w:rsidR="001A483E">
        <w:rPr>
          <w:sz w:val="22"/>
        </w:rPr>
        <w:t>The Department</w:t>
      </w:r>
      <w:r w:rsidR="001A5C79" w:rsidRPr="00561D8B">
        <w:rPr>
          <w:sz w:val="22"/>
        </w:rPr>
        <w:t xml:space="preserve">’s civilian mission encompasses major scientific, energy and environmental programs, while </w:t>
      </w:r>
      <w:r w:rsidR="0060513B">
        <w:rPr>
          <w:sz w:val="22"/>
        </w:rPr>
        <w:t xml:space="preserve">the </w:t>
      </w:r>
      <w:r w:rsidR="001A5C79" w:rsidRPr="00561D8B">
        <w:rPr>
          <w:sz w:val="22"/>
        </w:rPr>
        <w:t xml:space="preserve">defense </w:t>
      </w:r>
      <w:r w:rsidR="0060513B">
        <w:rPr>
          <w:sz w:val="22"/>
        </w:rPr>
        <w:t xml:space="preserve">mission </w:t>
      </w:r>
      <w:r w:rsidR="001A5C79" w:rsidRPr="00561D8B">
        <w:rPr>
          <w:sz w:val="22"/>
        </w:rPr>
        <w:t>include</w:t>
      </w:r>
      <w:r w:rsidR="0060513B">
        <w:rPr>
          <w:sz w:val="22"/>
        </w:rPr>
        <w:t>s</w:t>
      </w:r>
      <w:r w:rsidR="001A5C79" w:rsidRPr="00561D8B">
        <w:rPr>
          <w:sz w:val="22"/>
        </w:rPr>
        <w:t xml:space="preserve"> programs necessary to ensure nuclear security through nuclear deterrence, nuclear non-proliferation, and maintenance of naval nuclear reactor</w:t>
      </w:r>
      <w:r w:rsidR="0060513B">
        <w:rPr>
          <w:sz w:val="22"/>
        </w:rPr>
        <w:t>s</w:t>
      </w:r>
      <w:r w:rsidR="001A5C79" w:rsidRPr="00561D8B">
        <w:rPr>
          <w:sz w:val="22"/>
        </w:rPr>
        <w:t>.</w:t>
      </w:r>
    </w:p>
    <w:p w:rsidR="00BD2C96" w:rsidRDefault="00BD2C96" w:rsidP="00DA1C63">
      <w:pPr>
        <w:ind w:left="0" w:firstLine="0"/>
        <w:jc w:val="left"/>
      </w:pPr>
    </w:p>
    <w:p w:rsidR="00581FD3" w:rsidRDefault="00D52312" w:rsidP="00DA1C63">
      <w:pPr>
        <w:ind w:left="0" w:firstLine="0"/>
        <w:jc w:val="left"/>
        <w:rPr>
          <w:sz w:val="22"/>
        </w:rPr>
      </w:pPr>
      <w:r w:rsidRPr="00D52312">
        <w:rPr>
          <w:noProof/>
        </w:rPr>
        <w:pict>
          <v:shapetype id="_x0000_t202" coordsize="21600,21600" o:spt="202" path="m,l,21600r21600,l21600,xe">
            <v:stroke joinstyle="miter"/>
            <v:path gradientshapeok="t" o:connecttype="rect"/>
          </v:shapetype>
          <v:shape id="_x0000_s1219" type="#_x0000_t202" style="position:absolute;margin-left:147.2pt;margin-top:8.6pt;width:331.65pt;height:14.05pt;z-index:251735040" stroked="f">
            <v:textbox style="mso-next-textbox:#_x0000_s1219;mso-fit-shape-to-text:t" inset="0,0,0,0">
              <w:txbxContent>
                <w:p w:rsidR="00F929E8" w:rsidRPr="006B3E6D" w:rsidRDefault="00F929E8" w:rsidP="0078267F">
                  <w:pPr>
                    <w:pStyle w:val="Caption"/>
                    <w:jc w:val="center"/>
                    <w:rPr>
                      <w:rFonts w:eastAsia="Calibri" w:cs="Calibri"/>
                      <w:noProof/>
                    </w:rPr>
                  </w:pPr>
                  <w:bookmarkStart w:id="13" w:name="_Toc286762559"/>
                  <w:r>
                    <w:t xml:space="preserve">Figure </w:t>
                  </w:r>
                  <w:fldSimple w:instr=" SEQ Figure \* ARABIC ">
                    <w:r w:rsidR="00C068AF">
                      <w:rPr>
                        <w:noProof/>
                      </w:rPr>
                      <w:t>1</w:t>
                    </w:r>
                  </w:fldSimple>
                  <w:r>
                    <w:t xml:space="preserve"> - DOE Organization Overview</w:t>
                  </w:r>
                  <w:bookmarkEnd w:id="13"/>
                </w:p>
              </w:txbxContent>
            </v:textbox>
            <w10:wrap type="square"/>
          </v:shape>
        </w:pict>
      </w:r>
      <w:r w:rsidR="00442EEC" w:rsidRPr="00561D8B">
        <w:rPr>
          <w:sz w:val="22"/>
        </w:rPr>
        <w:t>In addition to civilian and defense activities, DOE’s work is also divided between government-only versus public/private resources.</w:t>
      </w:r>
      <w:r w:rsidR="00C3456B">
        <w:rPr>
          <w:sz w:val="22"/>
        </w:rPr>
        <w:t xml:space="preserve"> </w:t>
      </w:r>
      <w:r w:rsidR="00442EEC" w:rsidRPr="00561D8B">
        <w:rPr>
          <w:sz w:val="22"/>
        </w:rPr>
        <w:t>These hybrid entities include the national security laboratories, such as Los Alamos National Laboratory, Lawrence Livermore National Laboratory and Sandia National Laboratory, which support defense, energy security, and other scientific discovery and innovation work at DOE.</w:t>
      </w:r>
      <w:r w:rsidR="00C3456B">
        <w:rPr>
          <w:sz w:val="22"/>
        </w:rPr>
        <w:t xml:space="preserve"> </w:t>
      </w:r>
      <w:r w:rsidR="00442EEC" w:rsidRPr="00561D8B">
        <w:rPr>
          <w:sz w:val="22"/>
        </w:rPr>
        <w:t>Additionally, Power Marketing Administrations (PMAs), such as Hoover Dam and Columbia River Basin, and facilities managed by the Southeastern and Southwestern Power Administrations, support the energy security and environmental management mission.</w:t>
      </w:r>
      <w:r w:rsidR="00C3456B">
        <w:rPr>
          <w:sz w:val="22"/>
        </w:rPr>
        <w:t xml:space="preserve"> </w:t>
      </w:r>
    </w:p>
    <w:p w:rsidR="003156DD" w:rsidRPr="003156DD" w:rsidRDefault="003156DD" w:rsidP="007F2EC4">
      <w:pPr>
        <w:pStyle w:val="ListParagraph"/>
        <w:keepNext/>
        <w:keepLines/>
        <w:numPr>
          <w:ilvl w:val="0"/>
          <w:numId w:val="33"/>
        </w:numPr>
        <w:spacing w:before="120" w:after="120"/>
        <w:contextualSpacing w:val="0"/>
        <w:jc w:val="left"/>
        <w:outlineLvl w:val="1"/>
        <w:rPr>
          <w:rFonts w:asciiTheme="majorHAnsi" w:hAnsiTheme="majorHAnsi" w:cs="Calibri"/>
          <w:b/>
          <w:bCs/>
          <w:vanish/>
          <w:color w:val="365F91"/>
          <w:sz w:val="28"/>
          <w:szCs w:val="26"/>
        </w:rPr>
      </w:pPr>
      <w:bookmarkStart w:id="14" w:name="_Toc286729168"/>
      <w:bookmarkStart w:id="15" w:name="_Toc286729283"/>
      <w:bookmarkStart w:id="16" w:name="_Toc286737775"/>
      <w:bookmarkStart w:id="17" w:name="_Toc286737882"/>
      <w:bookmarkStart w:id="18" w:name="_Toc286752683"/>
      <w:bookmarkStart w:id="19" w:name="_Toc286752791"/>
      <w:bookmarkStart w:id="20" w:name="_Toc286753575"/>
      <w:bookmarkStart w:id="21" w:name="_Toc285522878"/>
      <w:bookmarkStart w:id="22" w:name="_Toc285603404"/>
      <w:bookmarkEnd w:id="14"/>
      <w:bookmarkEnd w:id="15"/>
      <w:bookmarkEnd w:id="16"/>
      <w:bookmarkEnd w:id="17"/>
      <w:bookmarkEnd w:id="18"/>
      <w:bookmarkEnd w:id="19"/>
      <w:bookmarkEnd w:id="20"/>
    </w:p>
    <w:p w:rsidR="003156DD" w:rsidRPr="003156DD" w:rsidRDefault="003156DD" w:rsidP="007F2EC4">
      <w:pPr>
        <w:pStyle w:val="ListParagraph"/>
        <w:keepNext/>
        <w:keepLines/>
        <w:numPr>
          <w:ilvl w:val="0"/>
          <w:numId w:val="33"/>
        </w:numPr>
        <w:spacing w:before="120" w:after="120"/>
        <w:contextualSpacing w:val="0"/>
        <w:jc w:val="left"/>
        <w:outlineLvl w:val="1"/>
        <w:rPr>
          <w:rFonts w:asciiTheme="majorHAnsi" w:hAnsiTheme="majorHAnsi" w:cs="Calibri"/>
          <w:b/>
          <w:bCs/>
          <w:vanish/>
          <w:color w:val="365F91"/>
          <w:sz w:val="28"/>
          <w:szCs w:val="26"/>
        </w:rPr>
      </w:pPr>
      <w:bookmarkStart w:id="23" w:name="_Toc286729169"/>
      <w:bookmarkStart w:id="24" w:name="_Toc286729284"/>
      <w:bookmarkStart w:id="25" w:name="_Toc286737776"/>
      <w:bookmarkStart w:id="26" w:name="_Toc286737883"/>
      <w:bookmarkStart w:id="27" w:name="_Toc286752684"/>
      <w:bookmarkStart w:id="28" w:name="_Toc286752792"/>
      <w:bookmarkStart w:id="29" w:name="_Toc286753576"/>
      <w:bookmarkEnd w:id="23"/>
      <w:bookmarkEnd w:id="24"/>
      <w:bookmarkEnd w:id="25"/>
      <w:bookmarkEnd w:id="26"/>
      <w:bookmarkEnd w:id="27"/>
      <w:bookmarkEnd w:id="28"/>
      <w:bookmarkEnd w:id="29"/>
    </w:p>
    <w:p w:rsidR="003156DD" w:rsidRPr="003156DD" w:rsidRDefault="003156DD" w:rsidP="007F2EC4">
      <w:pPr>
        <w:pStyle w:val="ListParagraph"/>
        <w:keepNext/>
        <w:keepLines/>
        <w:numPr>
          <w:ilvl w:val="1"/>
          <w:numId w:val="33"/>
        </w:numPr>
        <w:spacing w:before="120" w:after="120"/>
        <w:contextualSpacing w:val="0"/>
        <w:jc w:val="left"/>
        <w:outlineLvl w:val="1"/>
        <w:rPr>
          <w:rFonts w:asciiTheme="majorHAnsi" w:hAnsiTheme="majorHAnsi" w:cs="Calibri"/>
          <w:b/>
          <w:bCs/>
          <w:vanish/>
          <w:color w:val="365F91"/>
          <w:sz w:val="28"/>
          <w:szCs w:val="26"/>
        </w:rPr>
      </w:pPr>
      <w:bookmarkStart w:id="30" w:name="_Toc286729170"/>
      <w:bookmarkStart w:id="31" w:name="_Toc286729285"/>
      <w:bookmarkStart w:id="32" w:name="_Toc286737777"/>
      <w:bookmarkStart w:id="33" w:name="_Toc286737884"/>
      <w:bookmarkStart w:id="34" w:name="_Toc286752685"/>
      <w:bookmarkStart w:id="35" w:name="_Toc286752793"/>
      <w:bookmarkStart w:id="36" w:name="_Toc286753577"/>
      <w:bookmarkEnd w:id="30"/>
      <w:bookmarkEnd w:id="31"/>
      <w:bookmarkEnd w:id="32"/>
      <w:bookmarkEnd w:id="33"/>
      <w:bookmarkEnd w:id="34"/>
      <w:bookmarkEnd w:id="35"/>
      <w:bookmarkEnd w:id="36"/>
    </w:p>
    <w:p w:rsidR="00F2642C" w:rsidRPr="00F2642C" w:rsidRDefault="00F2642C" w:rsidP="007F2EC4">
      <w:pPr>
        <w:pStyle w:val="ListParagraph"/>
        <w:keepNext/>
        <w:keepLines/>
        <w:numPr>
          <w:ilvl w:val="0"/>
          <w:numId w:val="40"/>
        </w:numPr>
        <w:spacing w:before="120" w:after="120"/>
        <w:contextualSpacing w:val="0"/>
        <w:jc w:val="left"/>
        <w:outlineLvl w:val="1"/>
        <w:rPr>
          <w:rFonts w:asciiTheme="majorHAnsi" w:hAnsiTheme="majorHAnsi" w:cs="Calibri"/>
          <w:b/>
          <w:bCs/>
          <w:vanish/>
          <w:color w:val="365F91"/>
          <w:sz w:val="28"/>
          <w:szCs w:val="26"/>
        </w:rPr>
      </w:pPr>
      <w:bookmarkStart w:id="37" w:name="_Toc286752686"/>
      <w:bookmarkStart w:id="38" w:name="_Toc286752794"/>
      <w:bookmarkStart w:id="39" w:name="_Toc286753578"/>
      <w:bookmarkEnd w:id="37"/>
      <w:bookmarkEnd w:id="38"/>
      <w:bookmarkEnd w:id="39"/>
    </w:p>
    <w:p w:rsidR="00F2642C" w:rsidRPr="00F2642C" w:rsidRDefault="00F2642C" w:rsidP="007F2EC4">
      <w:pPr>
        <w:pStyle w:val="ListParagraph"/>
        <w:keepNext/>
        <w:keepLines/>
        <w:numPr>
          <w:ilvl w:val="1"/>
          <w:numId w:val="40"/>
        </w:numPr>
        <w:spacing w:before="120" w:after="120"/>
        <w:contextualSpacing w:val="0"/>
        <w:jc w:val="left"/>
        <w:outlineLvl w:val="1"/>
        <w:rPr>
          <w:rFonts w:asciiTheme="majorHAnsi" w:hAnsiTheme="majorHAnsi" w:cs="Calibri"/>
          <w:b/>
          <w:bCs/>
          <w:vanish/>
          <w:color w:val="365F91"/>
          <w:sz w:val="28"/>
          <w:szCs w:val="26"/>
        </w:rPr>
      </w:pPr>
      <w:bookmarkStart w:id="40" w:name="_Toc286752687"/>
      <w:bookmarkStart w:id="41" w:name="_Toc286752795"/>
      <w:bookmarkStart w:id="42" w:name="_Toc286753579"/>
      <w:bookmarkEnd w:id="40"/>
      <w:bookmarkEnd w:id="41"/>
      <w:bookmarkEnd w:id="42"/>
    </w:p>
    <w:p w:rsidR="003156DD" w:rsidRPr="001772BE" w:rsidRDefault="003156DD" w:rsidP="007F2EC4">
      <w:pPr>
        <w:pStyle w:val="Heading2"/>
        <w:numPr>
          <w:ilvl w:val="1"/>
          <w:numId w:val="40"/>
        </w:numPr>
        <w:spacing w:before="120" w:after="120"/>
        <w:ind w:left="540" w:hanging="522"/>
        <w:jc w:val="left"/>
        <w:rPr>
          <w:rFonts w:asciiTheme="majorHAnsi" w:hAnsiTheme="majorHAnsi" w:cs="Calibri"/>
          <w:color w:val="365F91"/>
          <w:sz w:val="28"/>
        </w:rPr>
      </w:pPr>
      <w:bookmarkStart w:id="43" w:name="_Toc286753580"/>
      <w:r w:rsidRPr="001772BE">
        <w:rPr>
          <w:rFonts w:asciiTheme="majorHAnsi" w:hAnsiTheme="majorHAnsi" w:cs="Calibri"/>
          <w:color w:val="365F91"/>
          <w:sz w:val="28"/>
        </w:rPr>
        <w:t xml:space="preserve">Federated </w:t>
      </w:r>
      <w:r w:rsidRPr="009A0772">
        <w:rPr>
          <w:rFonts w:asciiTheme="majorHAnsi" w:hAnsiTheme="majorHAnsi" w:cs="Calibri"/>
          <w:color w:val="365F91"/>
          <w:sz w:val="28"/>
        </w:rPr>
        <w:t>Nature</w:t>
      </w:r>
      <w:r w:rsidRPr="001772BE">
        <w:rPr>
          <w:rFonts w:asciiTheme="majorHAnsi" w:hAnsiTheme="majorHAnsi" w:cs="Calibri"/>
          <w:color w:val="365F91"/>
          <w:sz w:val="28"/>
        </w:rPr>
        <w:t xml:space="preserve"> of </w:t>
      </w:r>
      <w:bookmarkEnd w:id="21"/>
      <w:bookmarkEnd w:id="22"/>
      <w:r w:rsidR="00783C9F" w:rsidRPr="001772BE">
        <w:rPr>
          <w:rFonts w:asciiTheme="majorHAnsi" w:hAnsiTheme="majorHAnsi" w:cs="Calibri"/>
          <w:color w:val="365F91"/>
          <w:sz w:val="28"/>
        </w:rPr>
        <w:t xml:space="preserve">DOE </w:t>
      </w:r>
      <w:r w:rsidR="00783C9F">
        <w:rPr>
          <w:rFonts w:asciiTheme="majorHAnsi" w:hAnsiTheme="majorHAnsi" w:cs="Calibri"/>
          <w:color w:val="365F91"/>
          <w:sz w:val="28"/>
        </w:rPr>
        <w:t>and</w:t>
      </w:r>
      <w:r>
        <w:rPr>
          <w:rFonts w:asciiTheme="majorHAnsi" w:hAnsiTheme="majorHAnsi" w:cs="Calibri"/>
          <w:color w:val="365F91"/>
          <w:sz w:val="28"/>
        </w:rPr>
        <w:t xml:space="preserve"> its EA</w:t>
      </w:r>
      <w:bookmarkEnd w:id="43"/>
    </w:p>
    <w:p w:rsidR="009A0772" w:rsidRPr="00561D8B" w:rsidRDefault="00D52312" w:rsidP="00583A5F">
      <w:pPr>
        <w:spacing w:before="120" w:after="120"/>
        <w:ind w:left="0" w:firstLine="0"/>
        <w:jc w:val="left"/>
        <w:rPr>
          <w:sz w:val="22"/>
          <w:szCs w:val="24"/>
        </w:rPr>
      </w:pPr>
      <w:r w:rsidRPr="00D52312">
        <w:rPr>
          <w:noProof/>
        </w:rPr>
        <w:pict>
          <v:shape id="_x0000_s1220" type="#_x0000_t202" style="position:absolute;margin-left:185.25pt;margin-top:247.85pt;width:284.25pt;height:14.05pt;z-index:251737088" stroked="f">
            <v:textbox style="mso-next-textbox:#_x0000_s1220;mso-fit-shape-to-text:t" inset="0,0,0,0">
              <w:txbxContent>
                <w:p w:rsidR="00F929E8" w:rsidRPr="00DC02F8" w:rsidRDefault="00F929E8" w:rsidP="003156DD">
                  <w:pPr>
                    <w:pStyle w:val="Caption"/>
                    <w:jc w:val="center"/>
                    <w:rPr>
                      <w:rFonts w:eastAsia="Calibri" w:cs="Calibri"/>
                      <w:noProof/>
                      <w:szCs w:val="24"/>
                    </w:rPr>
                  </w:pPr>
                  <w:bookmarkStart w:id="44" w:name="_Toc286762560"/>
                  <w:r>
                    <w:t xml:space="preserve">Figure </w:t>
                  </w:r>
                  <w:fldSimple w:instr=" SEQ Figure \* ARABIC ">
                    <w:r w:rsidR="00C068AF">
                      <w:rPr>
                        <w:noProof/>
                      </w:rPr>
                      <w:t>2</w:t>
                    </w:r>
                  </w:fldSimple>
                  <w:r>
                    <w:t xml:space="preserve"> - Federated Approach to the DOE EA</w:t>
                  </w:r>
                  <w:bookmarkEnd w:id="44"/>
                </w:p>
              </w:txbxContent>
            </v:textbox>
            <w10:wrap type="square"/>
          </v:shape>
        </w:pict>
      </w:r>
      <w:r w:rsidR="00583A5F">
        <w:rPr>
          <w:noProof/>
        </w:rPr>
        <w:drawing>
          <wp:anchor distT="0" distB="0" distL="114300" distR="114300" simplePos="0" relativeHeight="251687936" behindDoc="0" locked="0" layoutInCell="1" allowOverlap="1">
            <wp:simplePos x="0" y="0"/>
            <wp:positionH relativeFrom="margin">
              <wp:posOffset>2076450</wp:posOffset>
            </wp:positionH>
            <wp:positionV relativeFrom="margin">
              <wp:posOffset>1228725</wp:posOffset>
            </wp:positionV>
            <wp:extent cx="4112895" cy="2771775"/>
            <wp:effectExtent l="19050" t="0" r="1905" b="0"/>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112895" cy="2771775"/>
                    </a:xfrm>
                    <a:prstGeom prst="rect">
                      <a:avLst/>
                    </a:prstGeom>
                    <a:noFill/>
                    <a:ln w="9525">
                      <a:noFill/>
                      <a:miter lim="800000"/>
                      <a:headEnd/>
                      <a:tailEnd/>
                    </a:ln>
                  </pic:spPr>
                </pic:pic>
              </a:graphicData>
            </a:graphic>
          </wp:anchor>
        </w:drawing>
      </w:r>
      <w:r w:rsidR="003156DD">
        <w:rPr>
          <w:sz w:val="22"/>
          <w:szCs w:val="24"/>
        </w:rPr>
        <w:t>The Department</w:t>
      </w:r>
      <w:r w:rsidR="003156DD" w:rsidRPr="00561D8B">
        <w:rPr>
          <w:sz w:val="22"/>
          <w:szCs w:val="24"/>
        </w:rPr>
        <w:t xml:space="preserve"> takes a federated approach to EA that addresses the unique composition of the elements that comprise DOE.</w:t>
      </w:r>
      <w:r w:rsidR="003156DD">
        <w:rPr>
          <w:sz w:val="22"/>
          <w:szCs w:val="24"/>
        </w:rPr>
        <w:t xml:space="preserve"> </w:t>
      </w:r>
      <w:r w:rsidR="003156DD" w:rsidRPr="00561D8B">
        <w:rPr>
          <w:sz w:val="22"/>
          <w:szCs w:val="24"/>
        </w:rPr>
        <w:t>This federated EA framework allows for the development of mission-specific programmatic architectures that roll up to a central</w:t>
      </w:r>
      <w:r w:rsidR="003156DD">
        <w:rPr>
          <w:sz w:val="22"/>
          <w:szCs w:val="24"/>
        </w:rPr>
        <w:t>ly-guided EA maintained at the Department</w:t>
      </w:r>
      <w:r w:rsidR="003156DD" w:rsidRPr="00561D8B">
        <w:rPr>
          <w:sz w:val="22"/>
          <w:szCs w:val="24"/>
        </w:rPr>
        <w:t>’s corporate l</w:t>
      </w:r>
      <w:r w:rsidR="003156DD">
        <w:rPr>
          <w:sz w:val="22"/>
          <w:szCs w:val="24"/>
        </w:rPr>
        <w:t>evel. DOE headquarters issues Department</w:t>
      </w:r>
      <w:r w:rsidR="003156DD" w:rsidRPr="00561D8B">
        <w:rPr>
          <w:sz w:val="22"/>
          <w:szCs w:val="24"/>
        </w:rPr>
        <w:t>-wide guidance, frameworks and reference models that are used at the program and site level to develop applicable EAs specifically suited to the respective mission.</w:t>
      </w:r>
      <w:r w:rsidR="003156DD">
        <w:rPr>
          <w:sz w:val="22"/>
          <w:szCs w:val="24"/>
        </w:rPr>
        <w:t xml:space="preserve"> </w:t>
      </w:r>
      <w:r w:rsidR="003156DD" w:rsidRPr="00561D8B">
        <w:rPr>
          <w:sz w:val="22"/>
          <w:szCs w:val="24"/>
        </w:rPr>
        <w:t xml:space="preserve">Figure </w:t>
      </w:r>
      <w:r w:rsidR="00583A5F">
        <w:rPr>
          <w:sz w:val="22"/>
          <w:szCs w:val="24"/>
        </w:rPr>
        <w:t>2</w:t>
      </w:r>
      <w:r w:rsidR="003156DD">
        <w:rPr>
          <w:sz w:val="22"/>
          <w:szCs w:val="24"/>
        </w:rPr>
        <w:t xml:space="preserve"> </w:t>
      </w:r>
      <w:r w:rsidR="003156DD" w:rsidRPr="00561D8B">
        <w:rPr>
          <w:sz w:val="22"/>
          <w:szCs w:val="24"/>
        </w:rPr>
        <w:t xml:space="preserve">illustrates </w:t>
      </w:r>
      <w:r w:rsidR="003156DD">
        <w:rPr>
          <w:sz w:val="22"/>
          <w:szCs w:val="24"/>
        </w:rPr>
        <w:t>this federated approach to the Department</w:t>
      </w:r>
      <w:r w:rsidR="003156DD" w:rsidRPr="00561D8B">
        <w:rPr>
          <w:sz w:val="22"/>
          <w:szCs w:val="24"/>
        </w:rPr>
        <w:t xml:space="preserve">’s EA. </w:t>
      </w:r>
    </w:p>
    <w:p w:rsidR="009A0772" w:rsidRPr="009A0772" w:rsidRDefault="009A0772" w:rsidP="007F2EC4">
      <w:pPr>
        <w:pStyle w:val="ListParagraph"/>
        <w:keepNext/>
        <w:keepLines/>
        <w:numPr>
          <w:ilvl w:val="0"/>
          <w:numId w:val="44"/>
        </w:numPr>
        <w:spacing w:before="120"/>
        <w:contextualSpacing w:val="0"/>
        <w:outlineLvl w:val="1"/>
        <w:rPr>
          <w:rFonts w:asciiTheme="majorHAnsi" w:hAnsiTheme="majorHAnsi"/>
          <w:b/>
          <w:bCs/>
          <w:vanish/>
          <w:color w:val="365F91"/>
          <w:sz w:val="28"/>
          <w:szCs w:val="26"/>
        </w:rPr>
      </w:pPr>
      <w:bookmarkStart w:id="45" w:name="_Toc286752689"/>
      <w:bookmarkStart w:id="46" w:name="_Toc286752797"/>
      <w:bookmarkStart w:id="47" w:name="_Toc286753581"/>
      <w:bookmarkEnd w:id="45"/>
      <w:bookmarkEnd w:id="46"/>
      <w:bookmarkEnd w:id="47"/>
    </w:p>
    <w:p w:rsidR="009A0772" w:rsidRPr="009A0772" w:rsidRDefault="009A0772" w:rsidP="007F2EC4">
      <w:pPr>
        <w:pStyle w:val="ListParagraph"/>
        <w:keepNext/>
        <w:keepLines/>
        <w:numPr>
          <w:ilvl w:val="1"/>
          <w:numId w:val="44"/>
        </w:numPr>
        <w:spacing w:before="120"/>
        <w:contextualSpacing w:val="0"/>
        <w:outlineLvl w:val="1"/>
        <w:rPr>
          <w:rFonts w:asciiTheme="majorHAnsi" w:hAnsiTheme="majorHAnsi"/>
          <w:b/>
          <w:bCs/>
          <w:vanish/>
          <w:color w:val="365F91"/>
          <w:sz w:val="28"/>
          <w:szCs w:val="26"/>
        </w:rPr>
      </w:pPr>
      <w:bookmarkStart w:id="48" w:name="_Toc286752690"/>
      <w:bookmarkStart w:id="49" w:name="_Toc286752798"/>
      <w:bookmarkStart w:id="50" w:name="_Toc286753582"/>
      <w:bookmarkEnd w:id="48"/>
      <w:bookmarkEnd w:id="49"/>
      <w:bookmarkEnd w:id="50"/>
    </w:p>
    <w:p w:rsidR="009A0772" w:rsidRPr="009A0772" w:rsidRDefault="009A0772" w:rsidP="007F2EC4">
      <w:pPr>
        <w:pStyle w:val="ListParagraph"/>
        <w:keepNext/>
        <w:keepLines/>
        <w:numPr>
          <w:ilvl w:val="1"/>
          <w:numId w:val="44"/>
        </w:numPr>
        <w:spacing w:before="120"/>
        <w:contextualSpacing w:val="0"/>
        <w:outlineLvl w:val="1"/>
        <w:rPr>
          <w:rFonts w:asciiTheme="majorHAnsi" w:hAnsiTheme="majorHAnsi"/>
          <w:b/>
          <w:bCs/>
          <w:vanish/>
          <w:color w:val="365F91"/>
          <w:sz w:val="28"/>
          <w:szCs w:val="26"/>
        </w:rPr>
      </w:pPr>
      <w:bookmarkStart w:id="51" w:name="_Toc286752691"/>
      <w:bookmarkStart w:id="52" w:name="_Toc286752799"/>
      <w:bookmarkStart w:id="53" w:name="_Toc286753583"/>
      <w:bookmarkEnd w:id="51"/>
      <w:bookmarkEnd w:id="52"/>
      <w:bookmarkEnd w:id="53"/>
    </w:p>
    <w:p w:rsidR="009A0772" w:rsidRPr="00FF457C" w:rsidRDefault="009A0772" w:rsidP="007F2EC4">
      <w:pPr>
        <w:pStyle w:val="ListParagraph"/>
        <w:numPr>
          <w:ilvl w:val="1"/>
          <w:numId w:val="44"/>
        </w:numPr>
        <w:spacing w:before="120" w:after="120"/>
        <w:ind w:left="547" w:hanging="547"/>
        <w:jc w:val="left"/>
        <w:rPr>
          <w:rFonts w:asciiTheme="majorHAnsi" w:hAnsiTheme="majorHAnsi"/>
          <w:b/>
          <w:color w:val="365F91"/>
          <w:sz w:val="28"/>
        </w:rPr>
      </w:pPr>
      <w:r w:rsidRPr="00FF457C">
        <w:rPr>
          <w:rFonts w:asciiTheme="majorHAnsi" w:hAnsiTheme="majorHAnsi"/>
          <w:b/>
          <w:color w:val="365F91"/>
          <w:sz w:val="28"/>
        </w:rPr>
        <w:t>Purpose and Value of DOE’s EA and ETP</w:t>
      </w:r>
    </w:p>
    <w:p w:rsidR="003156DD" w:rsidRPr="00561D8B" w:rsidRDefault="00806886" w:rsidP="00806886">
      <w:pPr>
        <w:spacing w:before="240" w:after="240"/>
        <w:ind w:left="0" w:firstLine="0"/>
        <w:jc w:val="left"/>
        <w:rPr>
          <w:sz w:val="22"/>
        </w:rPr>
      </w:pPr>
      <w:r>
        <w:rPr>
          <w:sz w:val="22"/>
        </w:rPr>
        <w:t>T</w:t>
      </w:r>
      <w:r w:rsidR="003156DD" w:rsidRPr="00561D8B">
        <w:rPr>
          <w:sz w:val="22"/>
        </w:rPr>
        <w:t>h</w:t>
      </w:r>
      <w:r w:rsidR="003156DD">
        <w:rPr>
          <w:sz w:val="22"/>
        </w:rPr>
        <w:t>e DOE ETP</w:t>
      </w:r>
      <w:r w:rsidR="003156DD" w:rsidRPr="00561D8B">
        <w:rPr>
          <w:sz w:val="22"/>
        </w:rPr>
        <w:t xml:space="preserve"> </w:t>
      </w:r>
      <w:r w:rsidR="003156DD">
        <w:rPr>
          <w:sz w:val="22"/>
        </w:rPr>
        <w:t>is the plan to implement the DOE EA</w:t>
      </w:r>
      <w:r w:rsidR="00E22AE4">
        <w:rPr>
          <w:sz w:val="22"/>
        </w:rPr>
        <w:t xml:space="preserve">. </w:t>
      </w:r>
      <w:r>
        <w:rPr>
          <w:sz w:val="22"/>
        </w:rPr>
        <w:t xml:space="preserve"> I</w:t>
      </w:r>
      <w:r w:rsidR="003156DD">
        <w:rPr>
          <w:sz w:val="22"/>
        </w:rPr>
        <w:t>t</w:t>
      </w:r>
      <w:r w:rsidR="003156DD" w:rsidRPr="00561D8B">
        <w:rPr>
          <w:sz w:val="22"/>
        </w:rPr>
        <w:t xml:space="preserve"> document</w:t>
      </w:r>
      <w:r w:rsidR="003156DD">
        <w:rPr>
          <w:sz w:val="22"/>
        </w:rPr>
        <w:t>s</w:t>
      </w:r>
      <w:r w:rsidR="003156DD" w:rsidRPr="00561D8B">
        <w:rPr>
          <w:sz w:val="22"/>
        </w:rPr>
        <w:t xml:space="preserve"> the ways in which the organization plans to transform from a baseline environment to a targeted end-state to meet </w:t>
      </w:r>
      <w:r w:rsidR="003156DD">
        <w:rPr>
          <w:sz w:val="22"/>
        </w:rPr>
        <w:t xml:space="preserve">DOE’s </w:t>
      </w:r>
      <w:r w:rsidR="003156DD" w:rsidRPr="00561D8B">
        <w:rPr>
          <w:sz w:val="22"/>
        </w:rPr>
        <w:t>current strategic priorities.</w:t>
      </w:r>
      <w:r w:rsidR="003156DD">
        <w:rPr>
          <w:sz w:val="22"/>
        </w:rPr>
        <w:t xml:space="preserve"> </w:t>
      </w:r>
      <w:r w:rsidR="003156DD" w:rsidRPr="00561D8B">
        <w:rPr>
          <w:sz w:val="22"/>
        </w:rPr>
        <w:t>Specifically, the ETP is a key planning and decision-making tool used to guide</w:t>
      </w:r>
      <w:r w:rsidR="003156DD">
        <w:rPr>
          <w:sz w:val="22"/>
        </w:rPr>
        <w:t xml:space="preserve"> the Department</w:t>
      </w:r>
      <w:r w:rsidR="003156DD" w:rsidRPr="00561D8B">
        <w:rPr>
          <w:sz w:val="22"/>
        </w:rPr>
        <w:t xml:space="preserve"> in funding allocation, initiative prioritization, and project implementation al</w:t>
      </w:r>
      <w:r w:rsidR="006F6C48">
        <w:rPr>
          <w:sz w:val="22"/>
        </w:rPr>
        <w:t>igned with DOE’s strategic plan</w:t>
      </w:r>
      <w:r w:rsidR="003156DD" w:rsidRPr="00561D8B">
        <w:rPr>
          <w:sz w:val="22"/>
        </w:rPr>
        <w:t>.</w:t>
      </w:r>
      <w:r w:rsidR="003156DD">
        <w:rPr>
          <w:sz w:val="22"/>
        </w:rPr>
        <w:t xml:space="preserve"> </w:t>
      </w:r>
      <w:r w:rsidR="003156DD" w:rsidRPr="00561D8B">
        <w:rPr>
          <w:sz w:val="22"/>
        </w:rPr>
        <w:t>In this manner, the ETP:</w:t>
      </w:r>
    </w:p>
    <w:p w:rsidR="003156DD" w:rsidRPr="00561D8B" w:rsidRDefault="003156DD" w:rsidP="003156DD">
      <w:pPr>
        <w:pStyle w:val="ListParagraph"/>
        <w:numPr>
          <w:ilvl w:val="0"/>
          <w:numId w:val="1"/>
        </w:numPr>
        <w:ind w:left="720"/>
        <w:jc w:val="left"/>
        <w:rPr>
          <w:rFonts w:cs="Calibri"/>
          <w:sz w:val="22"/>
        </w:rPr>
      </w:pPr>
      <w:r w:rsidRPr="00561D8B">
        <w:rPr>
          <w:rFonts w:cs="Calibri"/>
          <w:sz w:val="22"/>
        </w:rPr>
        <w:t>Helps senior executives visualize strategic direction and intent, identify and plan to resolve performance gaps, and define new</w:t>
      </w:r>
      <w:r>
        <w:rPr>
          <w:rFonts w:cs="Calibri"/>
          <w:sz w:val="22"/>
        </w:rPr>
        <w:t xml:space="preserve"> and enhanced capabilities the Department</w:t>
      </w:r>
      <w:r w:rsidRPr="00561D8B">
        <w:rPr>
          <w:rFonts w:cs="Calibri"/>
          <w:sz w:val="22"/>
        </w:rPr>
        <w:t xml:space="preserve"> may gain over</w:t>
      </w:r>
      <w:r>
        <w:rPr>
          <w:rFonts w:cs="Calibri"/>
          <w:sz w:val="22"/>
        </w:rPr>
        <w:t xml:space="preserve"> time to improve its operations.</w:t>
      </w:r>
    </w:p>
    <w:p w:rsidR="003156DD" w:rsidRPr="00561D8B" w:rsidRDefault="003156DD" w:rsidP="003156DD">
      <w:pPr>
        <w:pStyle w:val="ListParagraph"/>
        <w:numPr>
          <w:ilvl w:val="0"/>
          <w:numId w:val="1"/>
        </w:numPr>
        <w:ind w:left="720"/>
        <w:jc w:val="left"/>
        <w:rPr>
          <w:rFonts w:cs="Calibri"/>
          <w:sz w:val="22"/>
        </w:rPr>
      </w:pPr>
      <w:r w:rsidRPr="00561D8B">
        <w:rPr>
          <w:rFonts w:cs="Calibri"/>
          <w:sz w:val="22"/>
        </w:rPr>
        <w:t>Demonstrates alignment of projects and programs to the ove</w:t>
      </w:r>
      <w:r>
        <w:rPr>
          <w:rFonts w:cs="Calibri"/>
          <w:sz w:val="22"/>
        </w:rPr>
        <w:t>rall goals and outcomes of the Department</w:t>
      </w:r>
      <w:r w:rsidRPr="00561D8B">
        <w:rPr>
          <w:rFonts w:cs="Calibri"/>
          <w:sz w:val="22"/>
        </w:rPr>
        <w:t>, and provides a line-of-sight between initiatives a</w:t>
      </w:r>
      <w:r>
        <w:rPr>
          <w:rFonts w:cs="Calibri"/>
          <w:sz w:val="22"/>
        </w:rPr>
        <w:t>nd the needs of the Department.</w:t>
      </w:r>
    </w:p>
    <w:p w:rsidR="003156DD" w:rsidRPr="00561D8B" w:rsidRDefault="003156DD" w:rsidP="003156DD">
      <w:pPr>
        <w:pStyle w:val="ListParagraph"/>
        <w:numPr>
          <w:ilvl w:val="0"/>
          <w:numId w:val="1"/>
        </w:numPr>
        <w:ind w:left="720"/>
        <w:jc w:val="left"/>
        <w:rPr>
          <w:rFonts w:cs="Calibri"/>
          <w:sz w:val="22"/>
        </w:rPr>
      </w:pPr>
      <w:r w:rsidRPr="00561D8B">
        <w:rPr>
          <w:rFonts w:cs="Calibri"/>
          <w:sz w:val="22"/>
        </w:rPr>
        <w:t>Supports key DOE decision makers and governing bodies in choosing, prioritizing, and measuring the success of IT investments, in supp</w:t>
      </w:r>
      <w:r>
        <w:rPr>
          <w:rFonts w:cs="Calibri"/>
          <w:sz w:val="22"/>
        </w:rPr>
        <w:t>ort of DOE’s Lines of Business and Government solutions.</w:t>
      </w:r>
    </w:p>
    <w:p w:rsidR="003156DD" w:rsidRPr="00561D8B" w:rsidRDefault="003156DD" w:rsidP="003156DD">
      <w:pPr>
        <w:pStyle w:val="ListParagraph"/>
        <w:numPr>
          <w:ilvl w:val="0"/>
          <w:numId w:val="1"/>
        </w:numPr>
        <w:ind w:left="720"/>
        <w:jc w:val="left"/>
        <w:rPr>
          <w:rFonts w:cs="Calibri"/>
          <w:sz w:val="22"/>
        </w:rPr>
      </w:pPr>
      <w:r w:rsidRPr="00561D8B">
        <w:rPr>
          <w:rFonts w:cs="Calibri"/>
          <w:sz w:val="22"/>
        </w:rPr>
        <w:t>Provides a means to be able to more effectively respond to changing internal and external priorities, and provides insight to DOE leadership on impacts of change</w:t>
      </w:r>
      <w:r>
        <w:rPr>
          <w:rFonts w:cs="Calibri"/>
          <w:sz w:val="22"/>
        </w:rPr>
        <w:t>.</w:t>
      </w:r>
    </w:p>
    <w:p w:rsidR="003156DD" w:rsidRPr="00561D8B" w:rsidRDefault="003156DD" w:rsidP="003156DD">
      <w:pPr>
        <w:pStyle w:val="ListParagraph"/>
        <w:numPr>
          <w:ilvl w:val="0"/>
          <w:numId w:val="1"/>
        </w:numPr>
        <w:ind w:left="720"/>
        <w:jc w:val="left"/>
        <w:rPr>
          <w:rFonts w:cs="Calibri"/>
          <w:sz w:val="22"/>
        </w:rPr>
      </w:pPr>
      <w:r w:rsidRPr="00561D8B">
        <w:rPr>
          <w:rFonts w:cs="Calibri"/>
          <w:sz w:val="22"/>
        </w:rPr>
        <w:t>Drives the overall value to DOE through minimizing portfolio risk, reducing portfolio complexity, reducing duplication and redundancy, identifying and leveraging opportunities for reuse and collaboration, and fostering a more complete and comprehensi</w:t>
      </w:r>
      <w:r>
        <w:rPr>
          <w:rFonts w:cs="Calibri"/>
          <w:sz w:val="22"/>
        </w:rPr>
        <w:t>ve view of DOE as an enterprise</w:t>
      </w:r>
    </w:p>
    <w:p w:rsidR="003156DD" w:rsidRPr="00561D8B" w:rsidRDefault="003156DD" w:rsidP="003156DD">
      <w:pPr>
        <w:pStyle w:val="ListParagraph"/>
        <w:numPr>
          <w:ilvl w:val="0"/>
          <w:numId w:val="1"/>
        </w:numPr>
        <w:ind w:left="720"/>
        <w:jc w:val="left"/>
        <w:rPr>
          <w:rFonts w:cs="Calibri"/>
          <w:sz w:val="22"/>
          <w:szCs w:val="24"/>
        </w:rPr>
      </w:pPr>
      <w:r w:rsidRPr="00561D8B">
        <w:rPr>
          <w:rFonts w:cs="Calibri"/>
          <w:sz w:val="22"/>
          <w:szCs w:val="24"/>
        </w:rPr>
        <w:t>Addresses how outcomes will be achieved through EA, such as performance improvements, cos</w:t>
      </w:r>
      <w:r>
        <w:rPr>
          <w:rFonts w:cs="Calibri"/>
          <w:sz w:val="22"/>
          <w:szCs w:val="24"/>
        </w:rPr>
        <w:t>t savings, and cost avoidance.</w:t>
      </w:r>
    </w:p>
    <w:p w:rsidR="003156DD" w:rsidRPr="00561D8B" w:rsidRDefault="003156DD" w:rsidP="003156DD">
      <w:pPr>
        <w:pStyle w:val="ListParagraph"/>
        <w:numPr>
          <w:ilvl w:val="0"/>
          <w:numId w:val="1"/>
        </w:numPr>
        <w:ind w:left="720"/>
        <w:jc w:val="left"/>
        <w:rPr>
          <w:rFonts w:cs="Calibri"/>
          <w:sz w:val="22"/>
          <w:szCs w:val="24"/>
        </w:rPr>
      </w:pPr>
      <w:r>
        <w:rPr>
          <w:rFonts w:cs="Calibri"/>
          <w:sz w:val="22"/>
          <w:szCs w:val="24"/>
        </w:rPr>
        <w:t xml:space="preserve">Describes the </w:t>
      </w:r>
      <w:r w:rsidRPr="00561D8B">
        <w:rPr>
          <w:rFonts w:cs="Calibri"/>
          <w:sz w:val="22"/>
          <w:szCs w:val="24"/>
        </w:rPr>
        <w:t xml:space="preserve">DOE EA Program and </w:t>
      </w:r>
      <w:r>
        <w:rPr>
          <w:rFonts w:cs="Calibri"/>
          <w:sz w:val="22"/>
          <w:szCs w:val="24"/>
        </w:rPr>
        <w:t>how EA g</w:t>
      </w:r>
      <w:r w:rsidRPr="00561D8B">
        <w:rPr>
          <w:rFonts w:cs="Calibri"/>
          <w:sz w:val="22"/>
          <w:szCs w:val="24"/>
        </w:rPr>
        <w:t>overnance</w:t>
      </w:r>
      <w:r>
        <w:rPr>
          <w:rFonts w:cs="Calibri"/>
          <w:sz w:val="22"/>
          <w:szCs w:val="24"/>
        </w:rPr>
        <w:t xml:space="preserve"> helps mature the EA and the segment architectures.</w:t>
      </w:r>
    </w:p>
    <w:p w:rsidR="00163D01" w:rsidRPr="00163D01" w:rsidRDefault="00163D01" w:rsidP="007F2EC4">
      <w:pPr>
        <w:pStyle w:val="ListParagraph"/>
        <w:keepNext/>
        <w:keepLines/>
        <w:numPr>
          <w:ilvl w:val="0"/>
          <w:numId w:val="41"/>
        </w:numPr>
        <w:spacing w:before="120" w:after="120"/>
        <w:contextualSpacing w:val="0"/>
        <w:jc w:val="left"/>
        <w:outlineLvl w:val="1"/>
        <w:rPr>
          <w:rFonts w:asciiTheme="majorHAnsi" w:hAnsiTheme="majorHAnsi" w:cs="Calibri"/>
          <w:b/>
          <w:bCs/>
          <w:vanish/>
          <w:color w:val="365F91"/>
          <w:sz w:val="28"/>
          <w:szCs w:val="26"/>
        </w:rPr>
      </w:pPr>
      <w:bookmarkStart w:id="54" w:name="_Toc286752692"/>
      <w:bookmarkStart w:id="55" w:name="_Toc286752800"/>
      <w:bookmarkStart w:id="56" w:name="_Toc286753584"/>
      <w:bookmarkStart w:id="57" w:name="_Toc285522885"/>
      <w:bookmarkStart w:id="58" w:name="_Toc285603405"/>
      <w:bookmarkEnd w:id="54"/>
      <w:bookmarkEnd w:id="55"/>
      <w:bookmarkEnd w:id="56"/>
    </w:p>
    <w:p w:rsidR="00163D01" w:rsidRPr="00163D01" w:rsidRDefault="00163D01" w:rsidP="007F2EC4">
      <w:pPr>
        <w:pStyle w:val="ListParagraph"/>
        <w:keepNext/>
        <w:keepLines/>
        <w:numPr>
          <w:ilvl w:val="1"/>
          <w:numId w:val="41"/>
        </w:numPr>
        <w:spacing w:before="120" w:after="120"/>
        <w:contextualSpacing w:val="0"/>
        <w:jc w:val="left"/>
        <w:outlineLvl w:val="1"/>
        <w:rPr>
          <w:rFonts w:asciiTheme="majorHAnsi" w:hAnsiTheme="majorHAnsi" w:cs="Calibri"/>
          <w:b/>
          <w:bCs/>
          <w:vanish/>
          <w:color w:val="365F91"/>
          <w:sz w:val="28"/>
          <w:szCs w:val="26"/>
        </w:rPr>
      </w:pPr>
      <w:bookmarkStart w:id="59" w:name="_Toc286752693"/>
      <w:bookmarkStart w:id="60" w:name="_Toc286752801"/>
      <w:bookmarkStart w:id="61" w:name="_Toc286753585"/>
      <w:bookmarkEnd w:id="59"/>
      <w:bookmarkEnd w:id="60"/>
      <w:bookmarkEnd w:id="61"/>
    </w:p>
    <w:p w:rsidR="00163D01" w:rsidRPr="00163D01" w:rsidRDefault="00163D01" w:rsidP="007F2EC4">
      <w:pPr>
        <w:pStyle w:val="ListParagraph"/>
        <w:keepNext/>
        <w:keepLines/>
        <w:numPr>
          <w:ilvl w:val="1"/>
          <w:numId w:val="41"/>
        </w:numPr>
        <w:spacing w:before="120" w:after="120"/>
        <w:contextualSpacing w:val="0"/>
        <w:jc w:val="left"/>
        <w:outlineLvl w:val="1"/>
        <w:rPr>
          <w:rFonts w:asciiTheme="majorHAnsi" w:hAnsiTheme="majorHAnsi" w:cs="Calibri"/>
          <w:b/>
          <w:bCs/>
          <w:vanish/>
          <w:color w:val="365F91"/>
          <w:sz w:val="28"/>
          <w:szCs w:val="26"/>
        </w:rPr>
      </w:pPr>
      <w:bookmarkStart w:id="62" w:name="_Toc286752694"/>
      <w:bookmarkStart w:id="63" w:name="_Toc286752802"/>
      <w:bookmarkStart w:id="64" w:name="_Toc286753586"/>
      <w:bookmarkEnd w:id="62"/>
      <w:bookmarkEnd w:id="63"/>
      <w:bookmarkEnd w:id="64"/>
    </w:p>
    <w:p w:rsidR="00163D01" w:rsidRPr="00163D01" w:rsidRDefault="00163D01" w:rsidP="007F2EC4">
      <w:pPr>
        <w:pStyle w:val="ListParagraph"/>
        <w:keepNext/>
        <w:keepLines/>
        <w:numPr>
          <w:ilvl w:val="1"/>
          <w:numId w:val="41"/>
        </w:numPr>
        <w:spacing w:before="120" w:after="120"/>
        <w:contextualSpacing w:val="0"/>
        <w:jc w:val="left"/>
        <w:outlineLvl w:val="1"/>
        <w:rPr>
          <w:rFonts w:asciiTheme="majorHAnsi" w:hAnsiTheme="majorHAnsi" w:cs="Calibri"/>
          <w:b/>
          <w:bCs/>
          <w:vanish/>
          <w:color w:val="365F91"/>
          <w:sz w:val="28"/>
          <w:szCs w:val="26"/>
        </w:rPr>
      </w:pPr>
      <w:bookmarkStart w:id="65" w:name="_Toc286752695"/>
      <w:bookmarkStart w:id="66" w:name="_Toc286752803"/>
      <w:bookmarkStart w:id="67" w:name="_Toc286753587"/>
      <w:bookmarkEnd w:id="65"/>
      <w:bookmarkEnd w:id="66"/>
      <w:bookmarkEnd w:id="67"/>
    </w:p>
    <w:p w:rsidR="004627B4" w:rsidRPr="001772BE" w:rsidRDefault="004627B4" w:rsidP="007F2EC4">
      <w:pPr>
        <w:pStyle w:val="Heading2"/>
        <w:numPr>
          <w:ilvl w:val="1"/>
          <w:numId w:val="41"/>
        </w:numPr>
        <w:spacing w:before="120" w:after="120"/>
        <w:ind w:left="450"/>
        <w:jc w:val="left"/>
        <w:rPr>
          <w:rFonts w:asciiTheme="majorHAnsi" w:hAnsiTheme="majorHAnsi" w:cs="Calibri"/>
          <w:color w:val="365F91"/>
          <w:sz w:val="28"/>
        </w:rPr>
      </w:pPr>
      <w:bookmarkStart w:id="68" w:name="_Toc286753588"/>
      <w:r w:rsidRPr="001772BE">
        <w:rPr>
          <w:rFonts w:asciiTheme="majorHAnsi" w:hAnsiTheme="majorHAnsi" w:cs="Calibri"/>
          <w:color w:val="365F91"/>
          <w:sz w:val="28"/>
        </w:rPr>
        <w:t xml:space="preserve">Key </w:t>
      </w:r>
      <w:r w:rsidR="003156DD">
        <w:rPr>
          <w:rFonts w:asciiTheme="majorHAnsi" w:hAnsiTheme="majorHAnsi" w:cs="Calibri"/>
          <w:color w:val="365F91"/>
          <w:sz w:val="28"/>
        </w:rPr>
        <w:t xml:space="preserve">DOE </w:t>
      </w:r>
      <w:r w:rsidRPr="001772BE">
        <w:rPr>
          <w:rFonts w:asciiTheme="majorHAnsi" w:hAnsiTheme="majorHAnsi" w:cs="Calibri"/>
          <w:color w:val="365F91"/>
          <w:sz w:val="28"/>
        </w:rPr>
        <w:t>EA Focus Areas</w:t>
      </w:r>
      <w:bookmarkEnd w:id="57"/>
      <w:bookmarkEnd w:id="58"/>
      <w:bookmarkEnd w:id="68"/>
      <w:r w:rsidR="00C3456B" w:rsidRPr="001772BE">
        <w:rPr>
          <w:rFonts w:asciiTheme="majorHAnsi" w:hAnsiTheme="majorHAnsi" w:cs="Calibri"/>
          <w:color w:val="365F91"/>
          <w:sz w:val="28"/>
        </w:rPr>
        <w:t xml:space="preserve"> </w:t>
      </w:r>
    </w:p>
    <w:p w:rsidR="00E208CB" w:rsidRDefault="00E208CB" w:rsidP="00DA1C63">
      <w:pPr>
        <w:ind w:left="0" w:firstLine="0"/>
        <w:jc w:val="left"/>
        <w:rPr>
          <w:sz w:val="22"/>
          <w:szCs w:val="24"/>
        </w:rPr>
      </w:pPr>
      <w:r w:rsidRPr="00561D8B">
        <w:rPr>
          <w:sz w:val="22"/>
          <w:szCs w:val="24"/>
        </w:rPr>
        <w:t xml:space="preserve">Within DOE’s EA Program, several focus areas have been identified to assist in the creation of an actionable architecture that demonstrates valuable results to the </w:t>
      </w:r>
      <w:r w:rsidR="001A483E">
        <w:rPr>
          <w:sz w:val="22"/>
          <w:szCs w:val="24"/>
        </w:rPr>
        <w:t>Department</w:t>
      </w:r>
      <w:r w:rsidRPr="00561D8B">
        <w:rPr>
          <w:sz w:val="22"/>
          <w:szCs w:val="24"/>
        </w:rPr>
        <w:t>.</w:t>
      </w:r>
      <w:r w:rsidR="00C3456B">
        <w:rPr>
          <w:sz w:val="22"/>
          <w:szCs w:val="24"/>
        </w:rPr>
        <w:t xml:space="preserve"> </w:t>
      </w:r>
      <w:r w:rsidR="00F929E8">
        <w:rPr>
          <w:sz w:val="22"/>
          <w:szCs w:val="24"/>
        </w:rPr>
        <w:t xml:space="preserve"> The focus areas are discussed in further detail in the following sections.</w:t>
      </w:r>
    </w:p>
    <w:p w:rsidR="00E208CB" w:rsidRPr="00ED3FB1" w:rsidRDefault="00E208CB" w:rsidP="007F2EC4">
      <w:pPr>
        <w:pStyle w:val="ListParagraph"/>
        <w:numPr>
          <w:ilvl w:val="2"/>
          <w:numId w:val="41"/>
        </w:numPr>
        <w:spacing w:before="120" w:after="120" w:line="240" w:lineRule="auto"/>
        <w:ind w:left="900" w:hanging="864"/>
        <w:jc w:val="left"/>
        <w:rPr>
          <w:rStyle w:val="Heading3Char"/>
          <w:rFonts w:asciiTheme="majorHAnsi" w:eastAsia="Calibri" w:hAnsiTheme="majorHAnsi" w:cs="Calibri"/>
          <w:color w:val="365F91"/>
          <w:sz w:val="28"/>
        </w:rPr>
      </w:pPr>
      <w:bookmarkStart w:id="69" w:name="_Toc285522887"/>
      <w:bookmarkStart w:id="70" w:name="_Toc285603406"/>
      <w:bookmarkStart w:id="71" w:name="_Toc285720167"/>
      <w:bookmarkStart w:id="72" w:name="_Toc286753589"/>
      <w:r w:rsidRPr="00ED3FB1">
        <w:rPr>
          <w:rStyle w:val="Heading3Char"/>
          <w:rFonts w:asciiTheme="majorHAnsi" w:eastAsia="Calibri" w:hAnsiTheme="majorHAnsi" w:cs="Calibri"/>
          <w:color w:val="365F91"/>
          <w:sz w:val="28"/>
        </w:rPr>
        <w:t xml:space="preserve">EA Governance </w:t>
      </w:r>
      <w:bookmarkEnd w:id="69"/>
      <w:bookmarkEnd w:id="70"/>
      <w:bookmarkEnd w:id="71"/>
      <w:r w:rsidR="007E6561" w:rsidRPr="00ED3FB1">
        <w:rPr>
          <w:rStyle w:val="Heading3Char"/>
          <w:rFonts w:asciiTheme="majorHAnsi" w:eastAsia="Calibri" w:hAnsiTheme="majorHAnsi" w:cs="Calibri"/>
          <w:color w:val="365F91"/>
          <w:sz w:val="28"/>
        </w:rPr>
        <w:t>Framework</w:t>
      </w:r>
      <w:bookmarkEnd w:id="72"/>
    </w:p>
    <w:p w:rsidR="00E208CB" w:rsidRPr="00745FB2" w:rsidRDefault="00583A5F" w:rsidP="00745FB2">
      <w:pPr>
        <w:spacing w:before="120" w:after="120"/>
        <w:ind w:left="0" w:firstLine="0"/>
        <w:jc w:val="left"/>
        <w:rPr>
          <w:rFonts w:asciiTheme="majorHAnsi" w:hAnsiTheme="majorHAnsi"/>
          <w:b/>
          <w:bCs/>
          <w:color w:val="365F91"/>
          <w:sz w:val="28"/>
          <w:szCs w:val="26"/>
        </w:rPr>
      </w:pPr>
      <w:r>
        <w:rPr>
          <w:noProof/>
        </w:rPr>
        <w:drawing>
          <wp:anchor distT="0" distB="0" distL="114300" distR="114300" simplePos="0" relativeHeight="251764736" behindDoc="0" locked="0" layoutInCell="1" allowOverlap="1">
            <wp:simplePos x="0" y="0"/>
            <wp:positionH relativeFrom="margin">
              <wp:posOffset>2981325</wp:posOffset>
            </wp:positionH>
            <wp:positionV relativeFrom="margin">
              <wp:posOffset>2743200</wp:posOffset>
            </wp:positionV>
            <wp:extent cx="3314700" cy="4219575"/>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314700" cy="4219575"/>
                    </a:xfrm>
                    <a:prstGeom prst="rect">
                      <a:avLst/>
                    </a:prstGeom>
                    <a:noFill/>
                    <a:ln w="9525">
                      <a:noFill/>
                      <a:miter lim="800000"/>
                      <a:headEnd/>
                      <a:tailEnd/>
                    </a:ln>
                  </pic:spPr>
                </pic:pic>
              </a:graphicData>
            </a:graphic>
          </wp:anchor>
        </w:drawing>
      </w:r>
      <w:r w:rsidR="00D52312" w:rsidRPr="00D52312">
        <w:rPr>
          <w:noProof/>
        </w:rPr>
        <w:pict>
          <v:shape id="_x0000_s1221" type="#_x0000_t202" style="position:absolute;margin-left:232.5pt;margin-top:180.7pt;width:259.5pt;height:14.05pt;z-index:251739136;mso-position-horizontal-relative:text;mso-position-vertical-relative:text" stroked="f">
            <v:textbox style="mso-next-textbox:#_x0000_s1221;mso-fit-shape-to-text:t" inset="0,0,0,0">
              <w:txbxContent>
                <w:p w:rsidR="00F929E8" w:rsidRPr="00031EEE" w:rsidRDefault="00F929E8" w:rsidP="007E6561">
                  <w:pPr>
                    <w:pStyle w:val="Caption"/>
                    <w:jc w:val="center"/>
                    <w:rPr>
                      <w:rFonts w:eastAsia="Calibri" w:cs="Calibri"/>
                      <w:noProof/>
                      <w:szCs w:val="24"/>
                    </w:rPr>
                  </w:pPr>
                  <w:bookmarkStart w:id="73" w:name="_Toc286762561"/>
                  <w:r>
                    <w:t xml:space="preserve">Figure </w:t>
                  </w:r>
                  <w:fldSimple w:instr=" SEQ Figure \* ARABIC ">
                    <w:r w:rsidR="00C068AF">
                      <w:rPr>
                        <w:noProof/>
                      </w:rPr>
                      <w:t>3</w:t>
                    </w:r>
                  </w:fldSimple>
                  <w:r>
                    <w:t xml:space="preserve"> - DOE EA Governance Framework</w:t>
                  </w:r>
                  <w:bookmarkEnd w:id="73"/>
                </w:p>
              </w:txbxContent>
            </v:textbox>
            <w10:wrap type="square"/>
          </v:shape>
        </w:pict>
      </w:r>
      <w:r w:rsidR="00507487" w:rsidRPr="00561D8B">
        <w:rPr>
          <w:sz w:val="22"/>
          <w:szCs w:val="24"/>
        </w:rPr>
        <w:t xml:space="preserve">The DOE EA governance is a composition of processes and oversight elements at the </w:t>
      </w:r>
      <w:r w:rsidR="00507487">
        <w:rPr>
          <w:sz w:val="22"/>
          <w:szCs w:val="24"/>
        </w:rPr>
        <w:t>Department</w:t>
      </w:r>
      <w:r w:rsidR="00507487" w:rsidRPr="00561D8B">
        <w:rPr>
          <w:sz w:val="22"/>
          <w:szCs w:val="24"/>
        </w:rPr>
        <w:t>al and staff office-levels</w:t>
      </w:r>
      <w:r w:rsidR="00783C9F">
        <w:rPr>
          <w:sz w:val="22"/>
          <w:szCs w:val="24"/>
        </w:rPr>
        <w:t xml:space="preserve">.  </w:t>
      </w:r>
      <w:r w:rsidR="00592BD3">
        <w:rPr>
          <w:sz w:val="22"/>
          <w:szCs w:val="24"/>
        </w:rPr>
        <w:t xml:space="preserve">They </w:t>
      </w:r>
      <w:r w:rsidR="00507487" w:rsidRPr="00561D8B">
        <w:rPr>
          <w:sz w:val="22"/>
          <w:szCs w:val="24"/>
        </w:rPr>
        <w:t xml:space="preserve">collectively participate to ensure IT and architecture decisions are made in </w:t>
      </w:r>
      <w:r w:rsidR="00507487">
        <w:rPr>
          <w:sz w:val="22"/>
          <w:szCs w:val="24"/>
        </w:rPr>
        <w:t xml:space="preserve">the </w:t>
      </w:r>
      <w:r w:rsidR="00507487" w:rsidRPr="00561D8B">
        <w:rPr>
          <w:sz w:val="22"/>
          <w:szCs w:val="24"/>
        </w:rPr>
        <w:t>strategic interests of DOE</w:t>
      </w:r>
      <w:r w:rsidR="00177587">
        <w:rPr>
          <w:sz w:val="22"/>
          <w:szCs w:val="24"/>
        </w:rPr>
        <w:t>.  The</w:t>
      </w:r>
      <w:r w:rsidR="00507487" w:rsidRPr="00561D8B">
        <w:rPr>
          <w:sz w:val="22"/>
          <w:szCs w:val="24"/>
        </w:rPr>
        <w:t xml:space="preserve"> Office of IT Planning, Architecture, and E-Government created this structure to mature and integrate EA </w:t>
      </w:r>
      <w:r w:rsidR="00507487">
        <w:rPr>
          <w:sz w:val="22"/>
          <w:szCs w:val="24"/>
        </w:rPr>
        <w:t>lifecycle processes across the Department</w:t>
      </w:r>
      <w:r w:rsidR="00783C9F">
        <w:rPr>
          <w:sz w:val="22"/>
          <w:szCs w:val="24"/>
        </w:rPr>
        <w:t>.</w:t>
      </w:r>
      <w:r w:rsidR="00507487">
        <w:rPr>
          <w:sz w:val="22"/>
          <w:szCs w:val="24"/>
        </w:rPr>
        <w:t xml:space="preserve"> </w:t>
      </w:r>
      <w:r w:rsidR="00507487" w:rsidRPr="00561D8B">
        <w:rPr>
          <w:sz w:val="22"/>
          <w:szCs w:val="24"/>
        </w:rPr>
        <w:t xml:space="preserve">This provides the appropriate flexibility to identify needs, architect for target capabilities, invest in the identified capability, and </w:t>
      </w:r>
      <w:r w:rsidR="000B4C3D">
        <w:rPr>
          <w:sz w:val="22"/>
          <w:szCs w:val="24"/>
        </w:rPr>
        <w:t xml:space="preserve">implement </w:t>
      </w:r>
      <w:r w:rsidR="00507487" w:rsidRPr="00561D8B">
        <w:rPr>
          <w:sz w:val="22"/>
          <w:szCs w:val="24"/>
        </w:rPr>
        <w:t>and monitor the progress and performance of projects that bring about the future capabilities</w:t>
      </w:r>
      <w:r w:rsidR="00494031">
        <w:rPr>
          <w:sz w:val="22"/>
          <w:szCs w:val="24"/>
        </w:rPr>
        <w:t>.</w:t>
      </w:r>
    </w:p>
    <w:p w:rsidR="00C1069A" w:rsidRDefault="00D52312" w:rsidP="00DA1C63">
      <w:pPr>
        <w:ind w:left="0" w:firstLine="0"/>
        <w:jc w:val="left"/>
        <w:rPr>
          <w:sz w:val="22"/>
          <w:szCs w:val="24"/>
        </w:rPr>
      </w:pPr>
      <w:r>
        <w:rPr>
          <w:noProof/>
          <w:sz w:val="22"/>
          <w:szCs w:val="24"/>
        </w:rPr>
        <w:pict>
          <v:shape id="_x0000_s1233" type="#_x0000_t202" style="position:absolute;margin-left:222pt;margin-top:121.85pt;width:284.25pt;height:14.05pt;z-index:251772928" stroked="f">
            <v:textbox style="mso-next-textbox:#_x0000_s1233;mso-fit-shape-to-text:t" inset="0,0,0,0">
              <w:txbxContent>
                <w:p w:rsidR="00F929E8" w:rsidRPr="00DC02F8" w:rsidRDefault="00F929E8" w:rsidP="00583A5F">
                  <w:pPr>
                    <w:pStyle w:val="Caption"/>
                    <w:jc w:val="center"/>
                    <w:rPr>
                      <w:rFonts w:eastAsia="Calibri" w:cs="Calibri"/>
                      <w:noProof/>
                      <w:szCs w:val="24"/>
                    </w:rPr>
                  </w:pPr>
                  <w:r>
                    <w:t>Figure 3 - Federated Approach to the DOE EA</w:t>
                  </w:r>
                </w:p>
              </w:txbxContent>
            </v:textbox>
            <w10:wrap type="square"/>
          </v:shape>
        </w:pict>
      </w:r>
      <w:r w:rsidR="00526E94" w:rsidRPr="00526E94">
        <w:rPr>
          <w:sz w:val="22"/>
          <w:szCs w:val="24"/>
        </w:rPr>
        <w:t xml:space="preserve"> </w:t>
      </w:r>
      <w:r w:rsidR="00E208CB" w:rsidRPr="00561D8B">
        <w:rPr>
          <w:sz w:val="22"/>
          <w:szCs w:val="24"/>
        </w:rPr>
        <w:t xml:space="preserve">The key elements of the EA governance </w:t>
      </w:r>
      <w:r w:rsidR="007E6561">
        <w:rPr>
          <w:sz w:val="22"/>
          <w:szCs w:val="24"/>
        </w:rPr>
        <w:t xml:space="preserve">framework are shown in Figure </w:t>
      </w:r>
      <w:r w:rsidR="00583A5F">
        <w:rPr>
          <w:sz w:val="22"/>
          <w:szCs w:val="24"/>
        </w:rPr>
        <w:t>3</w:t>
      </w:r>
      <w:r w:rsidR="007E6561">
        <w:rPr>
          <w:sz w:val="22"/>
          <w:szCs w:val="24"/>
        </w:rPr>
        <w:t>.  They provide</w:t>
      </w:r>
      <w:r w:rsidR="00327DE1">
        <w:rPr>
          <w:sz w:val="22"/>
          <w:szCs w:val="24"/>
        </w:rPr>
        <w:t xml:space="preserve"> </w:t>
      </w:r>
      <w:r w:rsidR="007E6561">
        <w:rPr>
          <w:sz w:val="22"/>
          <w:szCs w:val="24"/>
        </w:rPr>
        <w:t xml:space="preserve">DOE </w:t>
      </w:r>
      <w:r w:rsidR="00783C9F">
        <w:rPr>
          <w:sz w:val="22"/>
          <w:szCs w:val="24"/>
        </w:rPr>
        <w:t>m</w:t>
      </w:r>
      <w:r w:rsidR="00327DE1">
        <w:rPr>
          <w:sz w:val="22"/>
          <w:szCs w:val="24"/>
        </w:rPr>
        <w:t xml:space="preserve">anagement </w:t>
      </w:r>
      <w:r w:rsidR="007E6561">
        <w:rPr>
          <w:sz w:val="22"/>
        </w:rPr>
        <w:t>with</w:t>
      </w:r>
      <w:r w:rsidR="00E208CB" w:rsidRPr="00561D8B">
        <w:rPr>
          <w:sz w:val="22"/>
        </w:rPr>
        <w:t xml:space="preserve"> advisory and oversight </w:t>
      </w:r>
      <w:r w:rsidR="007E6561">
        <w:rPr>
          <w:sz w:val="22"/>
        </w:rPr>
        <w:t>participation and collaboration with respect to the development and sustainment of the DOE EA.</w:t>
      </w:r>
      <w:r w:rsidR="00E208CB" w:rsidRPr="00561D8B">
        <w:rPr>
          <w:sz w:val="22"/>
        </w:rPr>
        <w:t xml:space="preserve"> </w:t>
      </w:r>
      <w:r w:rsidR="007E6561">
        <w:rPr>
          <w:sz w:val="22"/>
        </w:rPr>
        <w:t>This</w:t>
      </w:r>
      <w:r w:rsidR="00E208CB" w:rsidRPr="00561D8B">
        <w:rPr>
          <w:sz w:val="22"/>
        </w:rPr>
        <w:t xml:space="preserve"> </w:t>
      </w:r>
      <w:r w:rsidR="00E208CB" w:rsidRPr="00561D8B">
        <w:rPr>
          <w:sz w:val="22"/>
          <w:szCs w:val="24"/>
        </w:rPr>
        <w:t>ensure</w:t>
      </w:r>
      <w:r w:rsidR="007E6561">
        <w:rPr>
          <w:sz w:val="22"/>
          <w:szCs w:val="24"/>
        </w:rPr>
        <w:t>s</w:t>
      </w:r>
      <w:r w:rsidR="00E208CB" w:rsidRPr="00561D8B">
        <w:rPr>
          <w:sz w:val="22"/>
          <w:szCs w:val="24"/>
        </w:rPr>
        <w:t xml:space="preserve"> business owner buy-in, transparency across DOE lines-of business, and accountability of DOE</w:t>
      </w:r>
      <w:r w:rsidR="006F7E57">
        <w:rPr>
          <w:sz w:val="22"/>
          <w:szCs w:val="24"/>
        </w:rPr>
        <w:t>’</w:t>
      </w:r>
      <w:r w:rsidR="00E208CB" w:rsidRPr="00561D8B">
        <w:rPr>
          <w:sz w:val="22"/>
          <w:szCs w:val="24"/>
        </w:rPr>
        <w:t>s EA program.</w:t>
      </w:r>
      <w:r w:rsidR="00C3456B">
        <w:rPr>
          <w:sz w:val="22"/>
          <w:szCs w:val="24"/>
        </w:rPr>
        <w:t xml:space="preserve"> </w:t>
      </w:r>
      <w:r w:rsidR="00E208CB" w:rsidRPr="00561D8B">
        <w:rPr>
          <w:sz w:val="22"/>
        </w:rPr>
        <w:t xml:space="preserve">The </w:t>
      </w:r>
      <w:r w:rsidR="00783C9F">
        <w:rPr>
          <w:sz w:val="22"/>
        </w:rPr>
        <w:t>governing bodies primarily involved in overseeing the development of the EA are</w:t>
      </w:r>
      <w:r w:rsidR="00E208CB" w:rsidRPr="00561D8B">
        <w:rPr>
          <w:sz w:val="22"/>
        </w:rPr>
        <w:t xml:space="preserve"> the </w:t>
      </w:r>
      <w:r w:rsidR="001A483E">
        <w:rPr>
          <w:sz w:val="22"/>
        </w:rPr>
        <w:t>Department</w:t>
      </w:r>
      <w:r w:rsidR="00327DE1">
        <w:rPr>
          <w:sz w:val="22"/>
        </w:rPr>
        <w:t>’s IT Council</w:t>
      </w:r>
      <w:r w:rsidR="00311535">
        <w:rPr>
          <w:sz w:val="22"/>
        </w:rPr>
        <w:t xml:space="preserve"> </w:t>
      </w:r>
      <w:r w:rsidR="00783C9F">
        <w:rPr>
          <w:sz w:val="22"/>
        </w:rPr>
        <w:t xml:space="preserve">(ITC) </w:t>
      </w:r>
      <w:r w:rsidR="00311535">
        <w:rPr>
          <w:sz w:val="22"/>
        </w:rPr>
        <w:t>a</w:t>
      </w:r>
      <w:r w:rsidR="00327DE1">
        <w:rPr>
          <w:sz w:val="22"/>
          <w:szCs w:val="24"/>
        </w:rPr>
        <w:t>nd the</w:t>
      </w:r>
      <w:r w:rsidR="00E208CB" w:rsidRPr="00561D8B">
        <w:rPr>
          <w:sz w:val="22"/>
          <w:szCs w:val="24"/>
        </w:rPr>
        <w:t xml:space="preserve"> </w:t>
      </w:r>
      <w:r w:rsidR="00E208CB" w:rsidRPr="00561D8B">
        <w:rPr>
          <w:sz w:val="22"/>
        </w:rPr>
        <w:t>Architecture Review Board (ARB)</w:t>
      </w:r>
      <w:r w:rsidR="00433B53" w:rsidRPr="00561D8B">
        <w:rPr>
          <w:sz w:val="22"/>
        </w:rPr>
        <w:t>.</w:t>
      </w:r>
      <w:r w:rsidR="00C3456B">
        <w:rPr>
          <w:sz w:val="22"/>
        </w:rPr>
        <w:t xml:space="preserve"> </w:t>
      </w:r>
      <w:r w:rsidR="009E3317" w:rsidRPr="00561D8B">
        <w:rPr>
          <w:sz w:val="22"/>
        </w:rPr>
        <w:t>The ARB consists of senior architects from each of the Program and Staff Offices (PSOs) and plays a central role by overseein</w:t>
      </w:r>
      <w:r w:rsidR="006F7E57">
        <w:rPr>
          <w:sz w:val="22"/>
        </w:rPr>
        <w:t>g EA work groups as well as making</w:t>
      </w:r>
      <w:r w:rsidR="009E3317" w:rsidRPr="00561D8B">
        <w:rPr>
          <w:sz w:val="22"/>
        </w:rPr>
        <w:t xml:space="preserve"> recommendations to the IT Council.</w:t>
      </w:r>
      <w:r w:rsidR="00C3456B">
        <w:rPr>
          <w:sz w:val="22"/>
        </w:rPr>
        <w:t xml:space="preserve"> </w:t>
      </w:r>
      <w:r w:rsidR="009E3317" w:rsidRPr="00561D8B">
        <w:rPr>
          <w:sz w:val="22"/>
          <w:szCs w:val="24"/>
        </w:rPr>
        <w:t xml:space="preserve">The ARB capitalizes on the knowledge </w:t>
      </w:r>
      <w:r w:rsidR="009E3317" w:rsidRPr="00B07B21">
        <w:rPr>
          <w:sz w:val="22"/>
          <w:szCs w:val="24"/>
        </w:rPr>
        <w:t>of the enterprise, which improves the quality, feasibility, and successful implementation of key EA decisions.</w:t>
      </w:r>
      <w:r w:rsidR="00C3456B" w:rsidRPr="00B07B21">
        <w:rPr>
          <w:sz w:val="22"/>
          <w:szCs w:val="24"/>
        </w:rPr>
        <w:t xml:space="preserve"> </w:t>
      </w:r>
      <w:r w:rsidR="00E208CB" w:rsidRPr="00B07B21">
        <w:rPr>
          <w:sz w:val="22"/>
          <w:szCs w:val="24"/>
        </w:rPr>
        <w:t>The</w:t>
      </w:r>
      <w:r w:rsidR="00E208CB" w:rsidRPr="00561D8B">
        <w:rPr>
          <w:sz w:val="22"/>
          <w:szCs w:val="24"/>
        </w:rPr>
        <w:t xml:space="preserve"> </w:t>
      </w:r>
      <w:r w:rsidR="001A483E">
        <w:rPr>
          <w:sz w:val="22"/>
          <w:szCs w:val="24"/>
        </w:rPr>
        <w:t>Department</w:t>
      </w:r>
      <w:r w:rsidR="00E208CB" w:rsidRPr="00561D8B">
        <w:rPr>
          <w:sz w:val="22"/>
          <w:szCs w:val="24"/>
        </w:rPr>
        <w:t xml:space="preserve"> has established a directive (DOE O</w:t>
      </w:r>
      <w:r w:rsidR="00F929E8">
        <w:rPr>
          <w:sz w:val="22"/>
          <w:szCs w:val="24"/>
        </w:rPr>
        <w:t>rder</w:t>
      </w:r>
      <w:r w:rsidR="00E208CB" w:rsidRPr="00561D8B">
        <w:rPr>
          <w:sz w:val="22"/>
          <w:szCs w:val="24"/>
        </w:rPr>
        <w:t xml:space="preserve"> 200.1A) that formalizes the DOE EA Program, governing framework, and key governing entities.</w:t>
      </w:r>
      <w:r w:rsidR="00C3456B">
        <w:rPr>
          <w:sz w:val="22"/>
          <w:szCs w:val="24"/>
        </w:rPr>
        <w:t xml:space="preserve">  </w:t>
      </w:r>
    </w:p>
    <w:p w:rsidR="00ED3FB1" w:rsidRDefault="00ED3FB1" w:rsidP="00DA1C63">
      <w:pPr>
        <w:ind w:left="0" w:firstLine="0"/>
        <w:jc w:val="left"/>
        <w:rPr>
          <w:sz w:val="22"/>
          <w:szCs w:val="24"/>
        </w:rPr>
      </w:pPr>
    </w:p>
    <w:p w:rsidR="007F2EC4" w:rsidRPr="007F2EC4" w:rsidRDefault="007F2EC4" w:rsidP="007F2EC4">
      <w:pPr>
        <w:pStyle w:val="ListParagraph"/>
        <w:numPr>
          <w:ilvl w:val="0"/>
          <w:numId w:val="42"/>
        </w:numPr>
        <w:spacing w:before="120" w:after="120" w:line="240" w:lineRule="auto"/>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2"/>
        </w:numPr>
        <w:spacing w:before="120" w:after="120" w:line="240" w:lineRule="auto"/>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2"/>
        </w:numPr>
        <w:spacing w:before="120" w:after="120" w:line="240" w:lineRule="auto"/>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2"/>
        </w:numPr>
        <w:spacing w:before="120" w:after="120" w:line="240" w:lineRule="auto"/>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2"/>
        </w:numPr>
        <w:spacing w:before="120" w:after="120" w:line="240" w:lineRule="auto"/>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2"/>
          <w:numId w:val="42"/>
        </w:numPr>
        <w:spacing w:before="120" w:after="120" w:line="240" w:lineRule="auto"/>
        <w:jc w:val="left"/>
        <w:rPr>
          <w:rStyle w:val="Heading3Char"/>
          <w:rFonts w:asciiTheme="majorHAnsi" w:eastAsia="Calibri" w:hAnsiTheme="majorHAnsi" w:cs="Calibri"/>
          <w:vanish/>
          <w:color w:val="365F91"/>
          <w:sz w:val="28"/>
        </w:rPr>
      </w:pPr>
    </w:p>
    <w:p w:rsidR="00ED3FB1" w:rsidRPr="00ED3FB1" w:rsidRDefault="00ED3FB1" w:rsidP="007F2EC4">
      <w:pPr>
        <w:pStyle w:val="ListParagraph"/>
        <w:numPr>
          <w:ilvl w:val="2"/>
          <w:numId w:val="42"/>
        </w:numPr>
        <w:spacing w:before="120" w:after="120" w:line="240" w:lineRule="auto"/>
        <w:ind w:left="900" w:hanging="864"/>
        <w:jc w:val="left"/>
        <w:rPr>
          <w:rStyle w:val="Heading3Char"/>
          <w:rFonts w:asciiTheme="majorHAnsi" w:eastAsia="Calibri" w:hAnsiTheme="majorHAnsi" w:cs="Calibri"/>
          <w:color w:val="365F91"/>
          <w:sz w:val="28"/>
        </w:rPr>
      </w:pPr>
      <w:bookmarkStart w:id="74" w:name="_Toc286753590"/>
      <w:r w:rsidRPr="00ED3FB1">
        <w:rPr>
          <w:rStyle w:val="Heading3Char"/>
          <w:rFonts w:asciiTheme="majorHAnsi" w:eastAsia="Calibri" w:hAnsiTheme="majorHAnsi" w:cs="Calibri"/>
          <w:color w:val="365F91"/>
          <w:sz w:val="28"/>
        </w:rPr>
        <w:t>DOE EA Segment Maturation</w:t>
      </w:r>
      <w:bookmarkEnd w:id="74"/>
    </w:p>
    <w:p w:rsidR="00DB607F" w:rsidRPr="00561D8B" w:rsidRDefault="00DB607F" w:rsidP="00DA1C63">
      <w:pPr>
        <w:spacing w:after="200"/>
        <w:ind w:left="0" w:firstLine="0"/>
        <w:jc w:val="left"/>
        <w:rPr>
          <w:sz w:val="22"/>
        </w:rPr>
      </w:pPr>
      <w:r w:rsidRPr="00561D8B">
        <w:rPr>
          <w:sz w:val="22"/>
        </w:rPr>
        <w:t>DOE has progressively evolved this segment architecture foundation to improve business capabilities across the DOE enterprise as well as within the individual PSOs.</w:t>
      </w:r>
      <w:r w:rsidR="00C3456B">
        <w:rPr>
          <w:sz w:val="22"/>
        </w:rPr>
        <w:t xml:space="preserve"> </w:t>
      </w:r>
      <w:r w:rsidRPr="00561D8B">
        <w:rPr>
          <w:sz w:val="22"/>
        </w:rPr>
        <w:t xml:space="preserve">The </w:t>
      </w:r>
      <w:r w:rsidR="001A483E">
        <w:rPr>
          <w:sz w:val="22"/>
        </w:rPr>
        <w:t>Department</w:t>
      </w:r>
      <w:r w:rsidRPr="00561D8B">
        <w:rPr>
          <w:sz w:val="22"/>
        </w:rPr>
        <w:t xml:space="preserve"> has established an iterative and cyclical methodol</w:t>
      </w:r>
      <w:r w:rsidR="006F7E57">
        <w:rPr>
          <w:sz w:val="22"/>
        </w:rPr>
        <w:t xml:space="preserve">ogy to mature these segments and accomplish </w:t>
      </w:r>
      <w:r w:rsidRPr="00561D8B">
        <w:rPr>
          <w:sz w:val="22"/>
        </w:rPr>
        <w:t xml:space="preserve">the following key objectives for each </w:t>
      </w:r>
      <w:r w:rsidR="003963E5">
        <w:rPr>
          <w:sz w:val="22"/>
        </w:rPr>
        <w:t xml:space="preserve">of the </w:t>
      </w:r>
      <w:r w:rsidRPr="00561D8B">
        <w:rPr>
          <w:sz w:val="22"/>
        </w:rPr>
        <w:t>target architecture</w:t>
      </w:r>
      <w:r w:rsidR="003963E5">
        <w:rPr>
          <w:sz w:val="22"/>
        </w:rPr>
        <w:t>s</w:t>
      </w:r>
      <w:r w:rsidRPr="00561D8B">
        <w:rPr>
          <w:sz w:val="22"/>
        </w:rPr>
        <w:t>:</w:t>
      </w:r>
      <w:r w:rsidR="00C3456B">
        <w:rPr>
          <w:sz w:val="22"/>
        </w:rPr>
        <w:t xml:space="preserve"> </w:t>
      </w:r>
    </w:p>
    <w:p w:rsidR="00E208CB" w:rsidRPr="00561D8B" w:rsidRDefault="00E208CB" w:rsidP="009E3804">
      <w:pPr>
        <w:pStyle w:val="ListParagraph"/>
        <w:numPr>
          <w:ilvl w:val="0"/>
          <w:numId w:val="9"/>
        </w:numPr>
        <w:spacing w:before="200" w:after="200"/>
        <w:jc w:val="left"/>
        <w:rPr>
          <w:rFonts w:cs="Calibri"/>
          <w:sz w:val="22"/>
        </w:rPr>
      </w:pPr>
      <w:r w:rsidRPr="00561D8B">
        <w:rPr>
          <w:rFonts w:cs="Calibri"/>
          <w:sz w:val="22"/>
        </w:rPr>
        <w:t>Effective</w:t>
      </w:r>
      <w:r w:rsidR="006F7E57">
        <w:rPr>
          <w:rFonts w:cs="Calibri"/>
          <w:sz w:val="22"/>
        </w:rPr>
        <w:t>ly support the overarching DOE mission and strategic plan</w:t>
      </w:r>
    </w:p>
    <w:p w:rsidR="00E208CB" w:rsidRPr="00561D8B" w:rsidRDefault="00E208CB" w:rsidP="009E3804">
      <w:pPr>
        <w:pStyle w:val="ListParagraph"/>
        <w:numPr>
          <w:ilvl w:val="0"/>
          <w:numId w:val="9"/>
        </w:numPr>
        <w:spacing w:after="200"/>
        <w:jc w:val="left"/>
        <w:rPr>
          <w:rFonts w:cs="Calibri"/>
          <w:sz w:val="22"/>
        </w:rPr>
      </w:pPr>
      <w:r w:rsidRPr="00561D8B">
        <w:rPr>
          <w:rFonts w:cs="Calibri"/>
          <w:sz w:val="22"/>
        </w:rPr>
        <w:t>Accurately represent the business of the organizations an</w:t>
      </w:r>
      <w:r w:rsidR="006F7E57">
        <w:rPr>
          <w:rFonts w:cs="Calibri"/>
          <w:sz w:val="22"/>
        </w:rPr>
        <w:t>d initiatives participating in segment architecture development</w:t>
      </w:r>
    </w:p>
    <w:p w:rsidR="00E208CB" w:rsidRPr="00561D8B" w:rsidRDefault="00E208CB" w:rsidP="009E3804">
      <w:pPr>
        <w:pStyle w:val="ListParagraph"/>
        <w:numPr>
          <w:ilvl w:val="0"/>
          <w:numId w:val="9"/>
        </w:numPr>
        <w:spacing w:after="200"/>
        <w:jc w:val="left"/>
        <w:rPr>
          <w:rFonts w:cs="Calibri"/>
          <w:sz w:val="22"/>
        </w:rPr>
      </w:pPr>
      <w:r w:rsidRPr="00561D8B">
        <w:rPr>
          <w:rFonts w:cs="Calibri"/>
          <w:sz w:val="22"/>
        </w:rPr>
        <w:t>Follow a similar high-level structure and timeline for devel</w:t>
      </w:r>
      <w:r w:rsidR="006F7E57">
        <w:rPr>
          <w:rFonts w:cs="Calibri"/>
          <w:sz w:val="22"/>
        </w:rPr>
        <w:t xml:space="preserve">opment activities that can </w:t>
      </w:r>
      <w:r w:rsidRPr="00561D8B">
        <w:rPr>
          <w:rFonts w:cs="Calibri"/>
          <w:sz w:val="22"/>
        </w:rPr>
        <w:t>be customized in order to meet segmen</w:t>
      </w:r>
      <w:r w:rsidR="006F7E57">
        <w:rPr>
          <w:rFonts w:cs="Calibri"/>
          <w:sz w:val="22"/>
        </w:rPr>
        <w:t>t specific goals and objectives</w:t>
      </w:r>
    </w:p>
    <w:p w:rsidR="00E208CB" w:rsidRPr="00561D8B" w:rsidRDefault="00E208CB" w:rsidP="009E3804">
      <w:pPr>
        <w:pStyle w:val="ListParagraph"/>
        <w:numPr>
          <w:ilvl w:val="0"/>
          <w:numId w:val="9"/>
        </w:numPr>
        <w:spacing w:after="200"/>
        <w:jc w:val="left"/>
        <w:rPr>
          <w:rFonts w:cs="Calibri"/>
          <w:sz w:val="22"/>
        </w:rPr>
      </w:pPr>
      <w:r w:rsidRPr="00561D8B">
        <w:rPr>
          <w:rFonts w:cs="Calibri"/>
          <w:sz w:val="22"/>
        </w:rPr>
        <w:t xml:space="preserve">Demonstrate </w:t>
      </w:r>
      <w:r w:rsidR="000706E7" w:rsidRPr="00561D8B">
        <w:rPr>
          <w:rFonts w:cs="Calibri"/>
          <w:sz w:val="22"/>
        </w:rPr>
        <w:t>c</w:t>
      </w:r>
      <w:r w:rsidRPr="00561D8B">
        <w:rPr>
          <w:rFonts w:cs="Calibri"/>
          <w:sz w:val="22"/>
        </w:rPr>
        <w:t>ross-</w:t>
      </w:r>
      <w:r w:rsidR="000706E7" w:rsidRPr="00561D8B">
        <w:rPr>
          <w:rFonts w:cs="Calibri"/>
          <w:sz w:val="22"/>
        </w:rPr>
        <w:t>s</w:t>
      </w:r>
      <w:r w:rsidRPr="00561D8B">
        <w:rPr>
          <w:rFonts w:cs="Calibri"/>
          <w:sz w:val="22"/>
        </w:rPr>
        <w:t>egment transparency through effective communication</w:t>
      </w:r>
      <w:r w:rsidR="006F7E57">
        <w:rPr>
          <w:rFonts w:cs="Calibri"/>
          <w:sz w:val="22"/>
        </w:rPr>
        <w:t xml:space="preserve"> and governance via the </w:t>
      </w:r>
      <w:r w:rsidRPr="00561D8B">
        <w:rPr>
          <w:rFonts w:cs="Calibri"/>
          <w:sz w:val="22"/>
        </w:rPr>
        <w:t xml:space="preserve">DOE </w:t>
      </w:r>
      <w:r w:rsidR="001C2D77">
        <w:rPr>
          <w:rFonts w:cs="Calibri"/>
          <w:sz w:val="22"/>
        </w:rPr>
        <w:t xml:space="preserve">EA </w:t>
      </w:r>
      <w:r w:rsidR="00526E94">
        <w:rPr>
          <w:rFonts w:cs="Calibri"/>
          <w:sz w:val="22"/>
        </w:rPr>
        <w:t>p</w:t>
      </w:r>
      <w:r w:rsidR="001C2D77">
        <w:rPr>
          <w:rFonts w:cs="Calibri"/>
          <w:sz w:val="22"/>
        </w:rPr>
        <w:t>rogram</w:t>
      </w:r>
      <w:r w:rsidRPr="00561D8B">
        <w:rPr>
          <w:rFonts w:cs="Calibri"/>
          <w:sz w:val="22"/>
        </w:rPr>
        <w:t xml:space="preserve"> and</w:t>
      </w:r>
      <w:r w:rsidR="006F7E57">
        <w:rPr>
          <w:rFonts w:cs="Calibri"/>
          <w:sz w:val="22"/>
        </w:rPr>
        <w:t xml:space="preserve"> associated governance bodies</w:t>
      </w:r>
    </w:p>
    <w:p w:rsidR="00E208CB" w:rsidRPr="00561D8B" w:rsidRDefault="006F7E57" w:rsidP="009E3804">
      <w:pPr>
        <w:pStyle w:val="ListParagraph"/>
        <w:numPr>
          <w:ilvl w:val="0"/>
          <w:numId w:val="9"/>
        </w:numPr>
        <w:spacing w:after="200"/>
        <w:jc w:val="left"/>
        <w:rPr>
          <w:rFonts w:cs="Calibri"/>
          <w:sz w:val="22"/>
        </w:rPr>
      </w:pPr>
      <w:r>
        <w:rPr>
          <w:rFonts w:cs="Calibri"/>
          <w:sz w:val="22"/>
        </w:rPr>
        <w:t>Plan, measure, and realize tangible results from segment architecture activities</w:t>
      </w:r>
    </w:p>
    <w:p w:rsidR="00E208CB" w:rsidRDefault="00F929E8" w:rsidP="00583A5F">
      <w:pPr>
        <w:spacing w:after="120"/>
        <w:ind w:left="0" w:firstLine="0"/>
        <w:jc w:val="left"/>
        <w:rPr>
          <w:sz w:val="22"/>
          <w:szCs w:val="24"/>
        </w:rPr>
      </w:pPr>
      <w:r>
        <w:rPr>
          <w:sz w:val="22"/>
        </w:rPr>
        <w:t>DOE continues to mature its EA s</w:t>
      </w:r>
      <w:r w:rsidR="00526E94">
        <w:rPr>
          <w:sz w:val="22"/>
        </w:rPr>
        <w:t>egments</w:t>
      </w:r>
      <w:r w:rsidR="00E208CB" w:rsidRPr="00561D8B">
        <w:rPr>
          <w:sz w:val="22"/>
        </w:rPr>
        <w:t>.</w:t>
      </w:r>
      <w:r w:rsidR="00C3456B">
        <w:rPr>
          <w:sz w:val="22"/>
        </w:rPr>
        <w:t xml:space="preserve"> </w:t>
      </w:r>
      <w:r w:rsidR="00526E94">
        <w:rPr>
          <w:sz w:val="22"/>
        </w:rPr>
        <w:t xml:space="preserve"> The Department</w:t>
      </w:r>
      <w:r w:rsidR="00E208CB" w:rsidRPr="00561D8B">
        <w:rPr>
          <w:sz w:val="22"/>
        </w:rPr>
        <w:t xml:space="preserve"> applies repeatable processes to segment review and refinement that aligns to the Federal Segment Architecture Methodology (FSAM) and targets specific segments.</w:t>
      </w:r>
      <w:r w:rsidR="00C3456B">
        <w:rPr>
          <w:sz w:val="22"/>
        </w:rPr>
        <w:t xml:space="preserve"> </w:t>
      </w:r>
      <w:r w:rsidR="00E208CB" w:rsidRPr="00561D8B">
        <w:rPr>
          <w:sz w:val="22"/>
        </w:rPr>
        <w:t xml:space="preserve">This allows the </w:t>
      </w:r>
      <w:r w:rsidR="001A483E">
        <w:rPr>
          <w:sz w:val="22"/>
        </w:rPr>
        <w:t>Department</w:t>
      </w:r>
      <w:r w:rsidR="00E208CB" w:rsidRPr="00561D8B">
        <w:rPr>
          <w:sz w:val="22"/>
        </w:rPr>
        <w:t xml:space="preserve"> to conduct standard and repeatable reviews of critical segments and ensures </w:t>
      </w:r>
      <w:r w:rsidR="00E208CB" w:rsidRPr="00561D8B">
        <w:rPr>
          <w:sz w:val="22"/>
          <w:szCs w:val="24"/>
        </w:rPr>
        <w:t>consistent use of maturation tools and processes.</w:t>
      </w:r>
      <w:r w:rsidR="00C3456B">
        <w:rPr>
          <w:sz w:val="22"/>
        </w:rPr>
        <w:t xml:space="preserve"> </w:t>
      </w:r>
      <w:r w:rsidR="00526E94">
        <w:rPr>
          <w:sz w:val="22"/>
        </w:rPr>
        <w:t>T</w:t>
      </w:r>
      <w:r w:rsidR="00E208CB" w:rsidRPr="00561D8B">
        <w:rPr>
          <w:sz w:val="22"/>
        </w:rPr>
        <w:t xml:space="preserve">argeted segments are reviewed throughout the EA and budget cycles </w:t>
      </w:r>
      <w:r w:rsidR="00E208CB" w:rsidRPr="00561D8B">
        <w:rPr>
          <w:sz w:val="22"/>
          <w:szCs w:val="24"/>
        </w:rPr>
        <w:t>to ensure alignment with DOE strategic goals, objectives, and core business functions.</w:t>
      </w:r>
      <w:r w:rsidR="00C3456B">
        <w:rPr>
          <w:sz w:val="22"/>
          <w:szCs w:val="24"/>
        </w:rPr>
        <w:t xml:space="preserve"> </w:t>
      </w:r>
      <w:r w:rsidR="00E208CB" w:rsidRPr="00561D8B">
        <w:rPr>
          <w:sz w:val="22"/>
          <w:szCs w:val="24"/>
        </w:rPr>
        <w:t>Segments may then be consolidated or defined to allow the EA program to develop improved segment architectures for optimized organizational assets, relationships, opportunities, and risks for improved decision-making.</w:t>
      </w:r>
      <w:r w:rsidR="00C3456B">
        <w:rPr>
          <w:sz w:val="22"/>
          <w:szCs w:val="24"/>
        </w:rPr>
        <w:t xml:space="preserve"> </w:t>
      </w:r>
    </w:p>
    <w:p w:rsidR="007F2EC4" w:rsidRPr="007F2EC4" w:rsidRDefault="007F2EC4" w:rsidP="007F2EC4">
      <w:p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1"/>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2"/>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7F2EC4" w:rsidRPr="007F2EC4" w:rsidRDefault="007F2EC4" w:rsidP="007F2EC4">
      <w:pPr>
        <w:pStyle w:val="ListParagraph"/>
        <w:numPr>
          <w:ilvl w:val="2"/>
          <w:numId w:val="43"/>
        </w:numPr>
        <w:spacing w:before="120" w:after="120" w:line="240" w:lineRule="auto"/>
        <w:ind w:left="907" w:hanging="907"/>
        <w:jc w:val="left"/>
        <w:rPr>
          <w:rStyle w:val="Heading3Char"/>
          <w:rFonts w:asciiTheme="majorHAnsi" w:eastAsia="Calibri" w:hAnsiTheme="majorHAnsi" w:cs="Calibri"/>
          <w:vanish/>
          <w:color w:val="365F91"/>
          <w:sz w:val="28"/>
        </w:rPr>
      </w:pPr>
    </w:p>
    <w:p w:rsidR="00583A5F" w:rsidRPr="00583A5F" w:rsidRDefault="00C179FD" w:rsidP="00583A5F">
      <w:pPr>
        <w:pStyle w:val="ListParagraph"/>
        <w:numPr>
          <w:ilvl w:val="2"/>
          <w:numId w:val="43"/>
        </w:numPr>
        <w:spacing w:after="120" w:line="240" w:lineRule="auto"/>
        <w:ind w:left="907" w:hanging="907"/>
        <w:jc w:val="left"/>
        <w:rPr>
          <w:rStyle w:val="Heading3Char"/>
          <w:rFonts w:asciiTheme="majorHAnsi" w:eastAsia="Calibri" w:hAnsiTheme="majorHAnsi" w:cs="Calibri"/>
          <w:color w:val="365F91"/>
          <w:sz w:val="28"/>
        </w:rPr>
      </w:pPr>
      <w:bookmarkStart w:id="75" w:name="_Toc286753591"/>
      <w:r w:rsidRPr="00BF066C">
        <w:rPr>
          <w:rStyle w:val="Heading3Char"/>
          <w:rFonts w:asciiTheme="majorHAnsi" w:eastAsia="Calibri" w:hAnsiTheme="majorHAnsi" w:cs="Calibri"/>
          <w:color w:val="365F91"/>
          <w:sz w:val="28"/>
        </w:rPr>
        <w:t>Improved Segment-to-Investment Alignment</w:t>
      </w:r>
      <w:bookmarkEnd w:id="75"/>
    </w:p>
    <w:p w:rsidR="00C179FD" w:rsidRPr="00C179FD" w:rsidRDefault="00C179FD" w:rsidP="007F2EC4">
      <w:pPr>
        <w:pStyle w:val="ListParagraph"/>
        <w:keepNext/>
        <w:numPr>
          <w:ilvl w:val="1"/>
          <w:numId w:val="33"/>
        </w:numPr>
        <w:spacing w:before="120" w:after="120"/>
        <w:contextualSpacing w:val="0"/>
        <w:jc w:val="left"/>
        <w:outlineLvl w:val="2"/>
        <w:rPr>
          <w:rFonts w:asciiTheme="majorHAnsi" w:eastAsia="Calibri" w:hAnsiTheme="majorHAnsi" w:cs="Calibri"/>
          <w:b/>
          <w:bCs/>
          <w:vanish/>
          <w:color w:val="365F91"/>
          <w:sz w:val="28"/>
          <w:szCs w:val="26"/>
        </w:rPr>
      </w:pPr>
      <w:bookmarkStart w:id="76" w:name="_Toc286752700"/>
      <w:bookmarkStart w:id="77" w:name="_Toc286752808"/>
      <w:bookmarkStart w:id="78" w:name="_Toc286753592"/>
      <w:bookmarkEnd w:id="76"/>
      <w:bookmarkEnd w:id="77"/>
      <w:bookmarkEnd w:id="78"/>
    </w:p>
    <w:p w:rsidR="00C179FD" w:rsidRPr="00C179FD" w:rsidRDefault="00C179FD" w:rsidP="007F2EC4">
      <w:pPr>
        <w:pStyle w:val="ListParagraph"/>
        <w:keepNext/>
        <w:numPr>
          <w:ilvl w:val="1"/>
          <w:numId w:val="33"/>
        </w:numPr>
        <w:spacing w:before="120" w:after="120"/>
        <w:contextualSpacing w:val="0"/>
        <w:jc w:val="left"/>
        <w:outlineLvl w:val="2"/>
        <w:rPr>
          <w:rFonts w:asciiTheme="majorHAnsi" w:eastAsia="Calibri" w:hAnsiTheme="majorHAnsi" w:cs="Calibri"/>
          <w:b/>
          <w:bCs/>
          <w:vanish/>
          <w:color w:val="365F91"/>
          <w:sz w:val="28"/>
          <w:szCs w:val="26"/>
        </w:rPr>
      </w:pPr>
      <w:bookmarkStart w:id="79" w:name="_Toc286752701"/>
      <w:bookmarkStart w:id="80" w:name="_Toc286752809"/>
      <w:bookmarkStart w:id="81" w:name="_Toc286753593"/>
      <w:bookmarkEnd w:id="79"/>
      <w:bookmarkEnd w:id="80"/>
      <w:bookmarkEnd w:id="81"/>
    </w:p>
    <w:p w:rsidR="00C179FD" w:rsidRPr="00C179FD" w:rsidRDefault="00C179FD" w:rsidP="007F2EC4">
      <w:pPr>
        <w:pStyle w:val="ListParagraph"/>
        <w:keepNext/>
        <w:numPr>
          <w:ilvl w:val="1"/>
          <w:numId w:val="33"/>
        </w:numPr>
        <w:spacing w:before="120" w:after="120"/>
        <w:contextualSpacing w:val="0"/>
        <w:jc w:val="left"/>
        <w:outlineLvl w:val="2"/>
        <w:rPr>
          <w:rFonts w:asciiTheme="majorHAnsi" w:eastAsia="Calibri" w:hAnsiTheme="majorHAnsi" w:cs="Calibri"/>
          <w:b/>
          <w:bCs/>
          <w:vanish/>
          <w:color w:val="365F91"/>
          <w:sz w:val="28"/>
          <w:szCs w:val="26"/>
        </w:rPr>
      </w:pPr>
      <w:bookmarkStart w:id="82" w:name="_Toc286752702"/>
      <w:bookmarkStart w:id="83" w:name="_Toc286752810"/>
      <w:bookmarkStart w:id="84" w:name="_Toc286753594"/>
      <w:bookmarkEnd w:id="82"/>
      <w:bookmarkEnd w:id="83"/>
      <w:bookmarkEnd w:id="84"/>
    </w:p>
    <w:p w:rsidR="00C179FD" w:rsidRPr="00C179FD" w:rsidRDefault="00C179FD" w:rsidP="007F2EC4">
      <w:pPr>
        <w:pStyle w:val="ListParagraph"/>
        <w:keepNext/>
        <w:numPr>
          <w:ilvl w:val="1"/>
          <w:numId w:val="33"/>
        </w:numPr>
        <w:spacing w:before="120" w:after="120"/>
        <w:contextualSpacing w:val="0"/>
        <w:jc w:val="left"/>
        <w:outlineLvl w:val="2"/>
        <w:rPr>
          <w:rFonts w:asciiTheme="majorHAnsi" w:eastAsia="Calibri" w:hAnsiTheme="majorHAnsi" w:cs="Calibri"/>
          <w:b/>
          <w:bCs/>
          <w:vanish/>
          <w:color w:val="365F91"/>
          <w:sz w:val="28"/>
          <w:szCs w:val="26"/>
        </w:rPr>
      </w:pPr>
      <w:bookmarkStart w:id="85" w:name="_Toc286752703"/>
      <w:bookmarkStart w:id="86" w:name="_Toc286752811"/>
      <w:bookmarkStart w:id="87" w:name="_Toc286753595"/>
      <w:bookmarkEnd w:id="85"/>
      <w:bookmarkEnd w:id="86"/>
      <w:bookmarkEnd w:id="87"/>
    </w:p>
    <w:p w:rsidR="00C179FD" w:rsidRPr="00C179FD" w:rsidRDefault="00C179FD" w:rsidP="007F2EC4">
      <w:pPr>
        <w:pStyle w:val="ListParagraph"/>
        <w:keepNext/>
        <w:numPr>
          <w:ilvl w:val="2"/>
          <w:numId w:val="33"/>
        </w:numPr>
        <w:spacing w:before="120" w:after="120"/>
        <w:contextualSpacing w:val="0"/>
        <w:jc w:val="left"/>
        <w:outlineLvl w:val="2"/>
        <w:rPr>
          <w:rFonts w:asciiTheme="majorHAnsi" w:eastAsia="Calibri" w:hAnsiTheme="majorHAnsi" w:cs="Calibri"/>
          <w:b/>
          <w:bCs/>
          <w:vanish/>
          <w:color w:val="365F91"/>
          <w:sz w:val="28"/>
          <w:szCs w:val="26"/>
        </w:rPr>
      </w:pPr>
      <w:bookmarkStart w:id="88" w:name="_Toc286752704"/>
      <w:bookmarkStart w:id="89" w:name="_Toc286752812"/>
      <w:bookmarkStart w:id="90" w:name="_Toc286753596"/>
      <w:bookmarkEnd w:id="88"/>
      <w:bookmarkEnd w:id="89"/>
      <w:bookmarkEnd w:id="90"/>
    </w:p>
    <w:p w:rsidR="00C179FD" w:rsidRPr="00C179FD" w:rsidRDefault="00C179FD" w:rsidP="007F2EC4">
      <w:pPr>
        <w:pStyle w:val="ListParagraph"/>
        <w:keepNext/>
        <w:numPr>
          <w:ilvl w:val="2"/>
          <w:numId w:val="33"/>
        </w:numPr>
        <w:spacing w:before="120" w:after="120"/>
        <w:contextualSpacing w:val="0"/>
        <w:jc w:val="left"/>
        <w:outlineLvl w:val="2"/>
        <w:rPr>
          <w:rFonts w:asciiTheme="majorHAnsi" w:eastAsia="Calibri" w:hAnsiTheme="majorHAnsi" w:cs="Calibri"/>
          <w:b/>
          <w:bCs/>
          <w:vanish/>
          <w:color w:val="365F91"/>
          <w:sz w:val="28"/>
          <w:szCs w:val="26"/>
        </w:rPr>
      </w:pPr>
      <w:bookmarkStart w:id="91" w:name="_Toc286752705"/>
      <w:bookmarkStart w:id="92" w:name="_Toc286752813"/>
      <w:bookmarkStart w:id="93" w:name="_Toc286753597"/>
      <w:bookmarkEnd w:id="91"/>
      <w:bookmarkEnd w:id="92"/>
      <w:bookmarkEnd w:id="93"/>
    </w:p>
    <w:p w:rsidR="00E557D1" w:rsidRDefault="007E6561" w:rsidP="00583A5F">
      <w:pPr>
        <w:spacing w:before="240"/>
        <w:ind w:left="0" w:firstLine="0"/>
        <w:jc w:val="left"/>
        <w:rPr>
          <w:sz w:val="22"/>
        </w:rPr>
      </w:pPr>
      <w:r>
        <w:rPr>
          <w:sz w:val="22"/>
        </w:rPr>
        <w:t xml:space="preserve">DOE continues to </w:t>
      </w:r>
      <w:r w:rsidR="00526E94">
        <w:rPr>
          <w:sz w:val="22"/>
        </w:rPr>
        <w:t>ensure</w:t>
      </w:r>
      <w:r>
        <w:rPr>
          <w:sz w:val="22"/>
        </w:rPr>
        <w:t xml:space="preserve"> </w:t>
      </w:r>
      <w:r w:rsidR="00DB607F" w:rsidRPr="00561D8B">
        <w:rPr>
          <w:sz w:val="22"/>
        </w:rPr>
        <w:t>the alignment of DOE</w:t>
      </w:r>
      <w:r>
        <w:rPr>
          <w:sz w:val="22"/>
        </w:rPr>
        <w:t xml:space="preserve"> </w:t>
      </w:r>
      <w:r w:rsidR="00B01E49">
        <w:rPr>
          <w:sz w:val="22"/>
        </w:rPr>
        <w:t xml:space="preserve">IT </w:t>
      </w:r>
      <w:r w:rsidR="00B01E49" w:rsidRPr="00561D8B">
        <w:rPr>
          <w:sz w:val="22"/>
        </w:rPr>
        <w:t>investments</w:t>
      </w:r>
      <w:r w:rsidR="00DB607F" w:rsidRPr="00561D8B">
        <w:rPr>
          <w:sz w:val="22"/>
        </w:rPr>
        <w:t xml:space="preserve"> </w:t>
      </w:r>
      <w:r>
        <w:rPr>
          <w:sz w:val="22"/>
        </w:rPr>
        <w:t xml:space="preserve">with the EA </w:t>
      </w:r>
      <w:r w:rsidR="00DB607F" w:rsidRPr="00561D8B">
        <w:rPr>
          <w:sz w:val="22"/>
        </w:rPr>
        <w:t xml:space="preserve">segments across </w:t>
      </w:r>
      <w:r w:rsidR="00F929E8">
        <w:rPr>
          <w:sz w:val="22"/>
        </w:rPr>
        <w:t xml:space="preserve">the </w:t>
      </w:r>
      <w:r w:rsidR="001A483E">
        <w:rPr>
          <w:sz w:val="22"/>
        </w:rPr>
        <w:t>Department</w:t>
      </w:r>
      <w:r w:rsidR="00DB607F" w:rsidRPr="00561D8B">
        <w:rPr>
          <w:sz w:val="22"/>
        </w:rPr>
        <w:t>.</w:t>
      </w:r>
      <w:r>
        <w:rPr>
          <w:sz w:val="22"/>
        </w:rPr>
        <w:t xml:space="preserve"> </w:t>
      </w:r>
      <w:r w:rsidR="00DB607F" w:rsidRPr="00561D8B">
        <w:rPr>
          <w:sz w:val="22"/>
        </w:rPr>
        <w:t xml:space="preserve"> DOE</w:t>
      </w:r>
      <w:r>
        <w:rPr>
          <w:sz w:val="22"/>
        </w:rPr>
        <w:t xml:space="preserve"> has </w:t>
      </w:r>
      <w:r w:rsidR="00DB607F" w:rsidRPr="00561D8B">
        <w:rPr>
          <w:sz w:val="22"/>
          <w:szCs w:val="24"/>
        </w:rPr>
        <w:t xml:space="preserve">integrated </w:t>
      </w:r>
      <w:r w:rsidR="00363856">
        <w:rPr>
          <w:sz w:val="22"/>
          <w:szCs w:val="24"/>
        </w:rPr>
        <w:t xml:space="preserve">its </w:t>
      </w:r>
      <w:r w:rsidR="00DB607F" w:rsidRPr="00561D8B">
        <w:rPr>
          <w:sz w:val="22"/>
          <w:szCs w:val="24"/>
        </w:rPr>
        <w:t xml:space="preserve">annual EA and CPIC processes by including architectural reviews </w:t>
      </w:r>
      <w:r w:rsidR="006F7E57">
        <w:rPr>
          <w:sz w:val="22"/>
          <w:szCs w:val="24"/>
        </w:rPr>
        <w:t>to</w:t>
      </w:r>
      <w:r w:rsidR="00DB607F" w:rsidRPr="00561D8B">
        <w:rPr>
          <w:sz w:val="22"/>
          <w:szCs w:val="24"/>
        </w:rPr>
        <w:t xml:space="preserve"> ensure investments align to the DOE Target Architecture.</w:t>
      </w:r>
      <w:r w:rsidR="00C3456B">
        <w:rPr>
          <w:sz w:val="22"/>
          <w:szCs w:val="24"/>
        </w:rPr>
        <w:t xml:space="preserve"> </w:t>
      </w:r>
      <w:r w:rsidR="00DB607F" w:rsidRPr="00561D8B">
        <w:rPr>
          <w:sz w:val="22"/>
          <w:szCs w:val="24"/>
        </w:rPr>
        <w:t xml:space="preserve">This allows </w:t>
      </w:r>
      <w:r w:rsidR="00CA52BC" w:rsidRPr="00561D8B">
        <w:rPr>
          <w:sz w:val="22"/>
          <w:szCs w:val="24"/>
        </w:rPr>
        <w:t>segment and</w:t>
      </w:r>
      <w:r w:rsidR="00DB607F" w:rsidRPr="00561D8B">
        <w:rPr>
          <w:sz w:val="22"/>
          <w:szCs w:val="24"/>
        </w:rPr>
        <w:t xml:space="preserve"> investment owners to collaborate and communicate about the needed capabilities, and discuss how and whether investments are consistent with t</w:t>
      </w:r>
      <w:r w:rsidR="006F7E57">
        <w:rPr>
          <w:sz w:val="22"/>
          <w:szCs w:val="24"/>
        </w:rPr>
        <w:t>he Target Architecture.</w:t>
      </w:r>
      <w:r w:rsidR="00C3456B">
        <w:rPr>
          <w:sz w:val="22"/>
          <w:szCs w:val="24"/>
        </w:rPr>
        <w:t xml:space="preserve"> </w:t>
      </w:r>
      <w:r w:rsidR="006F7E57">
        <w:rPr>
          <w:sz w:val="22"/>
          <w:szCs w:val="24"/>
        </w:rPr>
        <w:t xml:space="preserve">As </w:t>
      </w:r>
      <w:r w:rsidR="00DB607F" w:rsidRPr="00561D8B">
        <w:rPr>
          <w:sz w:val="22"/>
          <w:szCs w:val="24"/>
        </w:rPr>
        <w:t xml:space="preserve">investments progress through the budget cycle, the integration of </w:t>
      </w:r>
      <w:r>
        <w:rPr>
          <w:sz w:val="22"/>
          <w:szCs w:val="24"/>
        </w:rPr>
        <w:t>the EA and CPIC</w:t>
      </w:r>
      <w:r w:rsidR="00DB607F" w:rsidRPr="00561D8B">
        <w:rPr>
          <w:sz w:val="22"/>
          <w:szCs w:val="24"/>
        </w:rPr>
        <w:t xml:space="preserve"> processes </w:t>
      </w:r>
      <w:r w:rsidR="00DB607F" w:rsidRPr="00561D8B">
        <w:rPr>
          <w:sz w:val="22"/>
        </w:rPr>
        <w:t>dramatically improves investment-to-segment alignment and ultimately leads to efficient progress toward the Target Architecture</w:t>
      </w:r>
      <w:r w:rsidR="006000CA">
        <w:rPr>
          <w:sz w:val="22"/>
        </w:rPr>
        <w:t>.</w:t>
      </w:r>
      <w:r w:rsidR="0014720A">
        <w:rPr>
          <w:sz w:val="22"/>
        </w:rPr>
        <w:t xml:space="preserve">  </w:t>
      </w:r>
      <w:r w:rsidR="00526E94" w:rsidRPr="00561D8B">
        <w:rPr>
          <w:sz w:val="22"/>
          <w:szCs w:val="22"/>
        </w:rPr>
        <w:t>The reviews provide better alignment, transparency, and line-of-sight between an investment and its benefits to the organization.</w:t>
      </w:r>
      <w:r w:rsidR="00526E94">
        <w:rPr>
          <w:sz w:val="22"/>
          <w:szCs w:val="22"/>
        </w:rPr>
        <w:t xml:space="preserve"> </w:t>
      </w:r>
      <w:r w:rsidR="00526E94" w:rsidRPr="00561D8B">
        <w:rPr>
          <w:sz w:val="22"/>
          <w:szCs w:val="22"/>
        </w:rPr>
        <w:t>These reviews are also the key mechanism by which DOE identifies collaboration and reuse</w:t>
      </w:r>
      <w:r w:rsidR="00526E94">
        <w:rPr>
          <w:sz w:val="22"/>
          <w:szCs w:val="22"/>
        </w:rPr>
        <w:t>/repurposing</w:t>
      </w:r>
      <w:r w:rsidR="00526E94" w:rsidRPr="00561D8B">
        <w:rPr>
          <w:sz w:val="22"/>
          <w:szCs w:val="22"/>
        </w:rPr>
        <w:t xml:space="preserve"> opportunities as business and investment stakeholders communicate common objectives and capabilities.</w:t>
      </w:r>
      <w:r w:rsidR="00526E94">
        <w:rPr>
          <w:sz w:val="22"/>
          <w:szCs w:val="22"/>
        </w:rPr>
        <w:t xml:space="preserve"> </w:t>
      </w:r>
      <w:r w:rsidR="0014720A">
        <w:rPr>
          <w:sz w:val="22"/>
        </w:rPr>
        <w:t xml:space="preserve">The details of this alignment are provided for each EA </w:t>
      </w:r>
      <w:r w:rsidR="00F929E8">
        <w:rPr>
          <w:sz w:val="22"/>
        </w:rPr>
        <w:t>s</w:t>
      </w:r>
      <w:r w:rsidR="0014720A">
        <w:rPr>
          <w:sz w:val="22"/>
        </w:rPr>
        <w:t xml:space="preserve">egment in Appendix </w:t>
      </w:r>
      <w:r w:rsidR="00526E94">
        <w:rPr>
          <w:sz w:val="22"/>
        </w:rPr>
        <w:t>D</w:t>
      </w:r>
      <w:r w:rsidR="0014720A">
        <w:rPr>
          <w:sz w:val="22"/>
        </w:rPr>
        <w:t>.</w:t>
      </w:r>
    </w:p>
    <w:p w:rsidR="00C51780" w:rsidRPr="00C51780" w:rsidRDefault="00C51780" w:rsidP="007F2EC4">
      <w:pPr>
        <w:pStyle w:val="ListParagraph"/>
        <w:keepNext/>
        <w:numPr>
          <w:ilvl w:val="0"/>
          <w:numId w:val="32"/>
        </w:numPr>
        <w:spacing w:before="120" w:after="120"/>
        <w:contextualSpacing w:val="0"/>
        <w:jc w:val="left"/>
        <w:outlineLvl w:val="2"/>
        <w:rPr>
          <w:rFonts w:eastAsia="Calibri" w:cs="Calibri"/>
          <w:b/>
          <w:bCs/>
          <w:vanish/>
          <w:color w:val="365F91"/>
          <w:sz w:val="28"/>
          <w:szCs w:val="26"/>
        </w:rPr>
      </w:pPr>
      <w:bookmarkStart w:id="94" w:name="_Toc286714936"/>
      <w:bookmarkStart w:id="95" w:name="_Toc286715044"/>
      <w:bookmarkStart w:id="96" w:name="_Toc286729178"/>
      <w:bookmarkStart w:id="97" w:name="_Toc286729293"/>
      <w:bookmarkStart w:id="98" w:name="_Toc286737785"/>
      <w:bookmarkStart w:id="99" w:name="_Toc286737892"/>
      <w:bookmarkStart w:id="100" w:name="_Toc286752706"/>
      <w:bookmarkStart w:id="101" w:name="_Toc286752814"/>
      <w:bookmarkStart w:id="102" w:name="_Toc286753598"/>
      <w:bookmarkEnd w:id="94"/>
      <w:bookmarkEnd w:id="95"/>
      <w:bookmarkEnd w:id="96"/>
      <w:bookmarkEnd w:id="97"/>
      <w:bookmarkEnd w:id="98"/>
      <w:bookmarkEnd w:id="99"/>
      <w:bookmarkEnd w:id="100"/>
      <w:bookmarkEnd w:id="101"/>
      <w:bookmarkEnd w:id="102"/>
    </w:p>
    <w:p w:rsidR="00C51780" w:rsidRPr="00C51780" w:rsidRDefault="00C51780" w:rsidP="007F2EC4">
      <w:pPr>
        <w:pStyle w:val="ListParagraph"/>
        <w:keepNext/>
        <w:numPr>
          <w:ilvl w:val="0"/>
          <w:numId w:val="32"/>
        </w:numPr>
        <w:spacing w:before="120" w:after="120"/>
        <w:contextualSpacing w:val="0"/>
        <w:jc w:val="left"/>
        <w:outlineLvl w:val="2"/>
        <w:rPr>
          <w:rFonts w:eastAsia="Calibri" w:cs="Calibri"/>
          <w:b/>
          <w:bCs/>
          <w:vanish/>
          <w:color w:val="365F91"/>
          <w:sz w:val="28"/>
          <w:szCs w:val="26"/>
        </w:rPr>
      </w:pPr>
      <w:bookmarkStart w:id="103" w:name="_Toc286714937"/>
      <w:bookmarkStart w:id="104" w:name="_Toc286715045"/>
      <w:bookmarkStart w:id="105" w:name="_Toc286729179"/>
      <w:bookmarkStart w:id="106" w:name="_Toc286729294"/>
      <w:bookmarkStart w:id="107" w:name="_Toc286737786"/>
      <w:bookmarkStart w:id="108" w:name="_Toc286737893"/>
      <w:bookmarkStart w:id="109" w:name="_Toc286752707"/>
      <w:bookmarkStart w:id="110" w:name="_Toc286752815"/>
      <w:bookmarkStart w:id="111" w:name="_Toc286753599"/>
      <w:bookmarkEnd w:id="103"/>
      <w:bookmarkEnd w:id="104"/>
      <w:bookmarkEnd w:id="105"/>
      <w:bookmarkEnd w:id="106"/>
      <w:bookmarkEnd w:id="107"/>
      <w:bookmarkEnd w:id="108"/>
      <w:bookmarkEnd w:id="109"/>
      <w:bookmarkEnd w:id="110"/>
      <w:bookmarkEnd w:id="111"/>
    </w:p>
    <w:p w:rsidR="00C51780" w:rsidRPr="00C51780" w:rsidRDefault="00C51780" w:rsidP="007F2EC4">
      <w:pPr>
        <w:pStyle w:val="ListParagraph"/>
        <w:keepNext/>
        <w:numPr>
          <w:ilvl w:val="1"/>
          <w:numId w:val="32"/>
        </w:numPr>
        <w:spacing w:before="120" w:after="120"/>
        <w:contextualSpacing w:val="0"/>
        <w:jc w:val="left"/>
        <w:outlineLvl w:val="2"/>
        <w:rPr>
          <w:rFonts w:eastAsia="Calibri" w:cs="Calibri"/>
          <w:b/>
          <w:bCs/>
          <w:vanish/>
          <w:color w:val="365F91"/>
          <w:sz w:val="28"/>
          <w:szCs w:val="26"/>
        </w:rPr>
      </w:pPr>
      <w:bookmarkStart w:id="112" w:name="_Toc286714938"/>
      <w:bookmarkStart w:id="113" w:name="_Toc286715046"/>
      <w:bookmarkStart w:id="114" w:name="_Toc286729180"/>
      <w:bookmarkStart w:id="115" w:name="_Toc286729295"/>
      <w:bookmarkStart w:id="116" w:name="_Toc286737787"/>
      <w:bookmarkStart w:id="117" w:name="_Toc286737894"/>
      <w:bookmarkStart w:id="118" w:name="_Toc286752708"/>
      <w:bookmarkStart w:id="119" w:name="_Toc286752816"/>
      <w:bookmarkStart w:id="120" w:name="_Toc286753600"/>
      <w:bookmarkEnd w:id="112"/>
      <w:bookmarkEnd w:id="113"/>
      <w:bookmarkEnd w:id="114"/>
      <w:bookmarkEnd w:id="115"/>
      <w:bookmarkEnd w:id="116"/>
      <w:bookmarkEnd w:id="117"/>
      <w:bookmarkEnd w:id="118"/>
      <w:bookmarkEnd w:id="119"/>
      <w:bookmarkEnd w:id="120"/>
    </w:p>
    <w:p w:rsidR="00C51780" w:rsidRPr="00C51780" w:rsidRDefault="00C51780" w:rsidP="007F2EC4">
      <w:pPr>
        <w:pStyle w:val="ListParagraph"/>
        <w:keepNext/>
        <w:numPr>
          <w:ilvl w:val="1"/>
          <w:numId w:val="32"/>
        </w:numPr>
        <w:spacing w:before="120" w:after="120"/>
        <w:contextualSpacing w:val="0"/>
        <w:jc w:val="left"/>
        <w:outlineLvl w:val="2"/>
        <w:rPr>
          <w:rFonts w:eastAsia="Calibri" w:cs="Calibri"/>
          <w:b/>
          <w:bCs/>
          <w:vanish/>
          <w:color w:val="365F91"/>
          <w:sz w:val="28"/>
          <w:szCs w:val="26"/>
        </w:rPr>
      </w:pPr>
      <w:bookmarkStart w:id="121" w:name="_Toc286714939"/>
      <w:bookmarkStart w:id="122" w:name="_Toc286715047"/>
      <w:bookmarkStart w:id="123" w:name="_Toc286729181"/>
      <w:bookmarkStart w:id="124" w:name="_Toc286729296"/>
      <w:bookmarkStart w:id="125" w:name="_Toc286737788"/>
      <w:bookmarkStart w:id="126" w:name="_Toc286737895"/>
      <w:bookmarkStart w:id="127" w:name="_Toc286752709"/>
      <w:bookmarkStart w:id="128" w:name="_Toc286752817"/>
      <w:bookmarkStart w:id="129" w:name="_Toc286753601"/>
      <w:bookmarkEnd w:id="121"/>
      <w:bookmarkEnd w:id="122"/>
      <w:bookmarkEnd w:id="123"/>
      <w:bookmarkEnd w:id="124"/>
      <w:bookmarkEnd w:id="125"/>
      <w:bookmarkEnd w:id="126"/>
      <w:bookmarkEnd w:id="127"/>
      <w:bookmarkEnd w:id="128"/>
      <w:bookmarkEnd w:id="129"/>
    </w:p>
    <w:p w:rsidR="00C51780" w:rsidRPr="00C51780" w:rsidRDefault="00C51780" w:rsidP="007F2EC4">
      <w:pPr>
        <w:pStyle w:val="ListParagraph"/>
        <w:keepNext/>
        <w:numPr>
          <w:ilvl w:val="1"/>
          <w:numId w:val="32"/>
        </w:numPr>
        <w:spacing w:before="120" w:after="120"/>
        <w:contextualSpacing w:val="0"/>
        <w:jc w:val="left"/>
        <w:outlineLvl w:val="2"/>
        <w:rPr>
          <w:rFonts w:eastAsia="Calibri" w:cs="Calibri"/>
          <w:b/>
          <w:bCs/>
          <w:vanish/>
          <w:color w:val="365F91"/>
          <w:sz w:val="28"/>
          <w:szCs w:val="26"/>
        </w:rPr>
      </w:pPr>
      <w:bookmarkStart w:id="130" w:name="_Toc286714940"/>
      <w:bookmarkStart w:id="131" w:name="_Toc286715048"/>
      <w:bookmarkStart w:id="132" w:name="_Toc286729182"/>
      <w:bookmarkStart w:id="133" w:name="_Toc286729297"/>
      <w:bookmarkStart w:id="134" w:name="_Toc286737789"/>
      <w:bookmarkStart w:id="135" w:name="_Toc286737896"/>
      <w:bookmarkStart w:id="136" w:name="_Toc286752710"/>
      <w:bookmarkStart w:id="137" w:name="_Toc286752818"/>
      <w:bookmarkStart w:id="138" w:name="_Toc286753602"/>
      <w:bookmarkEnd w:id="130"/>
      <w:bookmarkEnd w:id="131"/>
      <w:bookmarkEnd w:id="132"/>
      <w:bookmarkEnd w:id="133"/>
      <w:bookmarkEnd w:id="134"/>
      <w:bookmarkEnd w:id="135"/>
      <w:bookmarkEnd w:id="136"/>
      <w:bookmarkEnd w:id="137"/>
      <w:bookmarkEnd w:id="138"/>
    </w:p>
    <w:p w:rsidR="00C51780" w:rsidRPr="00C51780" w:rsidRDefault="00C51780" w:rsidP="007F2EC4">
      <w:pPr>
        <w:pStyle w:val="ListParagraph"/>
        <w:keepNext/>
        <w:numPr>
          <w:ilvl w:val="1"/>
          <w:numId w:val="32"/>
        </w:numPr>
        <w:spacing w:before="120" w:after="120"/>
        <w:contextualSpacing w:val="0"/>
        <w:jc w:val="left"/>
        <w:outlineLvl w:val="2"/>
        <w:rPr>
          <w:rFonts w:eastAsia="Calibri" w:cs="Calibri"/>
          <w:b/>
          <w:bCs/>
          <w:vanish/>
          <w:color w:val="365F91"/>
          <w:sz w:val="28"/>
          <w:szCs w:val="26"/>
        </w:rPr>
      </w:pPr>
      <w:bookmarkStart w:id="139" w:name="_Toc286714941"/>
      <w:bookmarkStart w:id="140" w:name="_Toc286715049"/>
      <w:bookmarkStart w:id="141" w:name="_Toc286729183"/>
      <w:bookmarkStart w:id="142" w:name="_Toc286729298"/>
      <w:bookmarkStart w:id="143" w:name="_Toc286737790"/>
      <w:bookmarkStart w:id="144" w:name="_Toc286737897"/>
      <w:bookmarkStart w:id="145" w:name="_Toc286752711"/>
      <w:bookmarkStart w:id="146" w:name="_Toc286752819"/>
      <w:bookmarkStart w:id="147" w:name="_Toc286753603"/>
      <w:bookmarkEnd w:id="139"/>
      <w:bookmarkEnd w:id="140"/>
      <w:bookmarkEnd w:id="141"/>
      <w:bookmarkEnd w:id="142"/>
      <w:bookmarkEnd w:id="143"/>
      <w:bookmarkEnd w:id="144"/>
      <w:bookmarkEnd w:id="145"/>
      <w:bookmarkEnd w:id="146"/>
      <w:bookmarkEnd w:id="147"/>
    </w:p>
    <w:p w:rsidR="00C51780" w:rsidRPr="00C51780" w:rsidRDefault="00C51780" w:rsidP="007F2EC4">
      <w:pPr>
        <w:pStyle w:val="ListParagraph"/>
        <w:keepNext/>
        <w:numPr>
          <w:ilvl w:val="1"/>
          <w:numId w:val="32"/>
        </w:numPr>
        <w:spacing w:before="120" w:after="120"/>
        <w:contextualSpacing w:val="0"/>
        <w:jc w:val="left"/>
        <w:outlineLvl w:val="2"/>
        <w:rPr>
          <w:rFonts w:eastAsia="Calibri" w:cs="Calibri"/>
          <w:b/>
          <w:bCs/>
          <w:vanish/>
          <w:color w:val="365F91"/>
          <w:sz w:val="28"/>
          <w:szCs w:val="26"/>
        </w:rPr>
      </w:pPr>
      <w:bookmarkStart w:id="148" w:name="_Toc286714942"/>
      <w:bookmarkStart w:id="149" w:name="_Toc286715050"/>
      <w:bookmarkStart w:id="150" w:name="_Toc286729184"/>
      <w:bookmarkStart w:id="151" w:name="_Toc286729299"/>
      <w:bookmarkStart w:id="152" w:name="_Toc286737791"/>
      <w:bookmarkStart w:id="153" w:name="_Toc286737898"/>
      <w:bookmarkStart w:id="154" w:name="_Toc286752712"/>
      <w:bookmarkStart w:id="155" w:name="_Toc286752820"/>
      <w:bookmarkStart w:id="156" w:name="_Toc286753604"/>
      <w:bookmarkEnd w:id="148"/>
      <w:bookmarkEnd w:id="149"/>
      <w:bookmarkEnd w:id="150"/>
      <w:bookmarkEnd w:id="151"/>
      <w:bookmarkEnd w:id="152"/>
      <w:bookmarkEnd w:id="153"/>
      <w:bookmarkEnd w:id="154"/>
      <w:bookmarkEnd w:id="155"/>
      <w:bookmarkEnd w:id="156"/>
    </w:p>
    <w:p w:rsidR="00C51780" w:rsidRPr="00C51780" w:rsidRDefault="00C51780" w:rsidP="007F2EC4">
      <w:pPr>
        <w:pStyle w:val="ListParagraph"/>
        <w:keepNext/>
        <w:numPr>
          <w:ilvl w:val="2"/>
          <w:numId w:val="32"/>
        </w:numPr>
        <w:spacing w:before="120" w:after="120"/>
        <w:contextualSpacing w:val="0"/>
        <w:jc w:val="left"/>
        <w:outlineLvl w:val="2"/>
        <w:rPr>
          <w:rFonts w:eastAsia="Calibri" w:cs="Calibri"/>
          <w:b/>
          <w:bCs/>
          <w:vanish/>
          <w:color w:val="365F91"/>
          <w:sz w:val="28"/>
          <w:szCs w:val="26"/>
        </w:rPr>
      </w:pPr>
      <w:bookmarkStart w:id="157" w:name="_Toc286714943"/>
      <w:bookmarkStart w:id="158" w:name="_Toc286715051"/>
      <w:bookmarkStart w:id="159" w:name="_Toc286729185"/>
      <w:bookmarkStart w:id="160" w:name="_Toc286729300"/>
      <w:bookmarkStart w:id="161" w:name="_Toc286737792"/>
      <w:bookmarkStart w:id="162" w:name="_Toc286737899"/>
      <w:bookmarkStart w:id="163" w:name="_Toc286752713"/>
      <w:bookmarkStart w:id="164" w:name="_Toc286752821"/>
      <w:bookmarkStart w:id="165" w:name="_Toc286753605"/>
      <w:bookmarkEnd w:id="157"/>
      <w:bookmarkEnd w:id="158"/>
      <w:bookmarkEnd w:id="159"/>
      <w:bookmarkEnd w:id="160"/>
      <w:bookmarkEnd w:id="161"/>
      <w:bookmarkEnd w:id="162"/>
      <w:bookmarkEnd w:id="163"/>
      <w:bookmarkEnd w:id="164"/>
      <w:bookmarkEnd w:id="165"/>
    </w:p>
    <w:p w:rsidR="00C51780" w:rsidRPr="00C51780" w:rsidRDefault="00C51780" w:rsidP="007F2EC4">
      <w:pPr>
        <w:pStyle w:val="ListParagraph"/>
        <w:keepNext/>
        <w:numPr>
          <w:ilvl w:val="2"/>
          <w:numId w:val="32"/>
        </w:numPr>
        <w:spacing w:before="120" w:after="120"/>
        <w:contextualSpacing w:val="0"/>
        <w:jc w:val="left"/>
        <w:outlineLvl w:val="2"/>
        <w:rPr>
          <w:rFonts w:eastAsia="Calibri" w:cs="Calibri"/>
          <w:b/>
          <w:bCs/>
          <w:vanish/>
          <w:color w:val="365F91"/>
          <w:sz w:val="28"/>
          <w:szCs w:val="26"/>
        </w:rPr>
      </w:pPr>
      <w:bookmarkStart w:id="166" w:name="_Toc286714944"/>
      <w:bookmarkStart w:id="167" w:name="_Toc286715052"/>
      <w:bookmarkStart w:id="168" w:name="_Toc286729186"/>
      <w:bookmarkStart w:id="169" w:name="_Toc286729301"/>
      <w:bookmarkStart w:id="170" w:name="_Toc286737793"/>
      <w:bookmarkStart w:id="171" w:name="_Toc286737900"/>
      <w:bookmarkStart w:id="172" w:name="_Toc286752714"/>
      <w:bookmarkStart w:id="173" w:name="_Toc286752822"/>
      <w:bookmarkStart w:id="174" w:name="_Toc286753606"/>
      <w:bookmarkEnd w:id="166"/>
      <w:bookmarkEnd w:id="167"/>
      <w:bookmarkEnd w:id="168"/>
      <w:bookmarkEnd w:id="169"/>
      <w:bookmarkEnd w:id="170"/>
      <w:bookmarkEnd w:id="171"/>
      <w:bookmarkEnd w:id="172"/>
      <w:bookmarkEnd w:id="173"/>
      <w:bookmarkEnd w:id="174"/>
    </w:p>
    <w:p w:rsidR="00C51780" w:rsidRPr="00C51780" w:rsidRDefault="00C51780" w:rsidP="007F2EC4">
      <w:pPr>
        <w:pStyle w:val="ListParagraph"/>
        <w:keepNext/>
        <w:numPr>
          <w:ilvl w:val="2"/>
          <w:numId w:val="32"/>
        </w:numPr>
        <w:spacing w:before="120" w:after="120"/>
        <w:contextualSpacing w:val="0"/>
        <w:jc w:val="left"/>
        <w:outlineLvl w:val="2"/>
        <w:rPr>
          <w:rFonts w:eastAsia="Calibri" w:cs="Calibri"/>
          <w:b/>
          <w:bCs/>
          <w:vanish/>
          <w:color w:val="365F91"/>
          <w:sz w:val="28"/>
          <w:szCs w:val="26"/>
        </w:rPr>
      </w:pPr>
      <w:bookmarkStart w:id="175" w:name="_Toc286714945"/>
      <w:bookmarkStart w:id="176" w:name="_Toc286715053"/>
      <w:bookmarkStart w:id="177" w:name="_Toc286729187"/>
      <w:bookmarkStart w:id="178" w:name="_Toc286729302"/>
      <w:bookmarkStart w:id="179" w:name="_Toc286737794"/>
      <w:bookmarkStart w:id="180" w:name="_Toc286737901"/>
      <w:bookmarkStart w:id="181" w:name="_Toc286752715"/>
      <w:bookmarkStart w:id="182" w:name="_Toc286752823"/>
      <w:bookmarkStart w:id="183" w:name="_Toc286753607"/>
      <w:bookmarkEnd w:id="175"/>
      <w:bookmarkEnd w:id="176"/>
      <w:bookmarkEnd w:id="177"/>
      <w:bookmarkEnd w:id="178"/>
      <w:bookmarkEnd w:id="179"/>
      <w:bookmarkEnd w:id="180"/>
      <w:bookmarkEnd w:id="181"/>
      <w:bookmarkEnd w:id="182"/>
      <w:bookmarkEnd w:id="183"/>
    </w:p>
    <w:p w:rsidR="007F2EC4" w:rsidRPr="007F2EC4" w:rsidRDefault="007F2EC4" w:rsidP="007F2EC4">
      <w:pPr>
        <w:pStyle w:val="ListParagraph"/>
        <w:keepNext/>
        <w:keepLines/>
        <w:numPr>
          <w:ilvl w:val="0"/>
          <w:numId w:val="4"/>
        </w:numPr>
        <w:spacing w:before="120" w:after="120"/>
        <w:contextualSpacing w:val="0"/>
        <w:jc w:val="left"/>
        <w:outlineLvl w:val="1"/>
        <w:rPr>
          <w:rFonts w:asciiTheme="majorHAnsi" w:hAnsiTheme="majorHAnsi" w:cs="Calibri"/>
          <w:b/>
          <w:bCs/>
          <w:vanish/>
          <w:color w:val="365F91"/>
          <w:sz w:val="28"/>
          <w:szCs w:val="26"/>
        </w:rPr>
      </w:pPr>
      <w:bookmarkStart w:id="184" w:name="_GoBack"/>
      <w:bookmarkStart w:id="185" w:name="_Toc286714947"/>
      <w:bookmarkStart w:id="186" w:name="_Toc286715055"/>
      <w:bookmarkStart w:id="187" w:name="_Toc286729189"/>
      <w:bookmarkStart w:id="188" w:name="_Toc286729304"/>
      <w:bookmarkStart w:id="189" w:name="_Toc286737795"/>
      <w:bookmarkStart w:id="190" w:name="_Toc286737902"/>
      <w:bookmarkStart w:id="191" w:name="_Toc286752716"/>
      <w:bookmarkStart w:id="192" w:name="_Toc286752824"/>
      <w:bookmarkStart w:id="193" w:name="_Toc286753608"/>
      <w:bookmarkStart w:id="194" w:name="_Toc285603415"/>
      <w:bookmarkEnd w:id="184"/>
      <w:bookmarkEnd w:id="185"/>
      <w:bookmarkEnd w:id="186"/>
      <w:bookmarkEnd w:id="187"/>
      <w:bookmarkEnd w:id="188"/>
      <w:bookmarkEnd w:id="189"/>
      <w:bookmarkEnd w:id="190"/>
      <w:bookmarkEnd w:id="191"/>
      <w:bookmarkEnd w:id="192"/>
      <w:bookmarkEnd w:id="193"/>
    </w:p>
    <w:p w:rsidR="007F2EC4" w:rsidRPr="007F2EC4" w:rsidRDefault="007F2EC4" w:rsidP="007F2EC4">
      <w:pPr>
        <w:pStyle w:val="ListParagraph"/>
        <w:keepNext/>
        <w:keepLines/>
        <w:numPr>
          <w:ilvl w:val="1"/>
          <w:numId w:val="4"/>
        </w:numPr>
        <w:spacing w:before="120" w:after="120"/>
        <w:contextualSpacing w:val="0"/>
        <w:jc w:val="left"/>
        <w:outlineLvl w:val="1"/>
        <w:rPr>
          <w:rFonts w:asciiTheme="majorHAnsi" w:hAnsiTheme="majorHAnsi" w:cs="Calibri"/>
          <w:b/>
          <w:bCs/>
          <w:vanish/>
          <w:color w:val="365F91"/>
          <w:sz w:val="28"/>
          <w:szCs w:val="26"/>
        </w:rPr>
      </w:pPr>
      <w:bookmarkStart w:id="195" w:name="_Toc286752717"/>
      <w:bookmarkStart w:id="196" w:name="_Toc286752825"/>
      <w:bookmarkStart w:id="197" w:name="_Toc286753609"/>
      <w:bookmarkEnd w:id="195"/>
      <w:bookmarkEnd w:id="196"/>
      <w:bookmarkEnd w:id="197"/>
    </w:p>
    <w:p w:rsidR="007F2EC4" w:rsidRPr="007F2EC4" w:rsidRDefault="007F2EC4" w:rsidP="007F2EC4">
      <w:pPr>
        <w:pStyle w:val="ListParagraph"/>
        <w:keepNext/>
        <w:keepLines/>
        <w:numPr>
          <w:ilvl w:val="1"/>
          <w:numId w:val="4"/>
        </w:numPr>
        <w:spacing w:before="120" w:after="120"/>
        <w:contextualSpacing w:val="0"/>
        <w:jc w:val="left"/>
        <w:outlineLvl w:val="1"/>
        <w:rPr>
          <w:rFonts w:asciiTheme="majorHAnsi" w:hAnsiTheme="majorHAnsi" w:cs="Calibri"/>
          <w:b/>
          <w:bCs/>
          <w:vanish/>
          <w:color w:val="365F91"/>
          <w:sz w:val="28"/>
          <w:szCs w:val="26"/>
        </w:rPr>
      </w:pPr>
      <w:bookmarkStart w:id="198" w:name="_Toc286752718"/>
      <w:bookmarkStart w:id="199" w:name="_Toc286752826"/>
      <w:bookmarkStart w:id="200" w:name="_Toc286753610"/>
      <w:bookmarkEnd w:id="198"/>
      <w:bookmarkEnd w:id="199"/>
      <w:bookmarkEnd w:id="200"/>
    </w:p>
    <w:p w:rsidR="007F2EC4" w:rsidRPr="007F2EC4" w:rsidRDefault="007F2EC4" w:rsidP="007F2EC4">
      <w:pPr>
        <w:pStyle w:val="ListParagraph"/>
        <w:keepNext/>
        <w:keepLines/>
        <w:numPr>
          <w:ilvl w:val="1"/>
          <w:numId w:val="4"/>
        </w:numPr>
        <w:spacing w:before="120" w:after="120"/>
        <w:contextualSpacing w:val="0"/>
        <w:jc w:val="left"/>
        <w:outlineLvl w:val="1"/>
        <w:rPr>
          <w:rFonts w:asciiTheme="majorHAnsi" w:hAnsiTheme="majorHAnsi" w:cs="Calibri"/>
          <w:b/>
          <w:bCs/>
          <w:vanish/>
          <w:color w:val="365F91"/>
          <w:sz w:val="28"/>
          <w:szCs w:val="26"/>
        </w:rPr>
      </w:pPr>
      <w:bookmarkStart w:id="201" w:name="_Toc286752719"/>
      <w:bookmarkStart w:id="202" w:name="_Toc286752827"/>
      <w:bookmarkStart w:id="203" w:name="_Toc286753611"/>
      <w:bookmarkEnd w:id="201"/>
      <w:bookmarkEnd w:id="202"/>
      <w:bookmarkEnd w:id="203"/>
    </w:p>
    <w:p w:rsidR="007F2EC4" w:rsidRPr="007F2EC4" w:rsidRDefault="007F2EC4" w:rsidP="007F2EC4">
      <w:pPr>
        <w:pStyle w:val="ListParagraph"/>
        <w:keepNext/>
        <w:keepLines/>
        <w:numPr>
          <w:ilvl w:val="1"/>
          <w:numId w:val="4"/>
        </w:numPr>
        <w:spacing w:before="120" w:after="120"/>
        <w:contextualSpacing w:val="0"/>
        <w:jc w:val="left"/>
        <w:outlineLvl w:val="1"/>
        <w:rPr>
          <w:rFonts w:asciiTheme="majorHAnsi" w:hAnsiTheme="majorHAnsi" w:cs="Calibri"/>
          <w:b/>
          <w:bCs/>
          <w:vanish/>
          <w:color w:val="365F91"/>
          <w:sz w:val="28"/>
          <w:szCs w:val="26"/>
        </w:rPr>
      </w:pPr>
      <w:bookmarkStart w:id="204" w:name="_Toc286752720"/>
      <w:bookmarkStart w:id="205" w:name="_Toc286752828"/>
      <w:bookmarkStart w:id="206" w:name="_Toc286753612"/>
      <w:bookmarkEnd w:id="204"/>
      <w:bookmarkEnd w:id="205"/>
      <w:bookmarkEnd w:id="206"/>
    </w:p>
    <w:p w:rsidR="007F2EC4" w:rsidRPr="007F2EC4" w:rsidRDefault="007F2EC4" w:rsidP="007F2EC4">
      <w:pPr>
        <w:pStyle w:val="ListParagraph"/>
        <w:keepNext/>
        <w:keepLines/>
        <w:numPr>
          <w:ilvl w:val="2"/>
          <w:numId w:val="4"/>
        </w:numPr>
        <w:spacing w:before="120" w:after="120"/>
        <w:contextualSpacing w:val="0"/>
        <w:jc w:val="left"/>
        <w:outlineLvl w:val="1"/>
        <w:rPr>
          <w:rFonts w:asciiTheme="majorHAnsi" w:hAnsiTheme="majorHAnsi" w:cs="Calibri"/>
          <w:b/>
          <w:bCs/>
          <w:vanish/>
          <w:color w:val="365F91"/>
          <w:sz w:val="28"/>
          <w:szCs w:val="26"/>
        </w:rPr>
      </w:pPr>
      <w:bookmarkStart w:id="207" w:name="_Toc286752721"/>
      <w:bookmarkStart w:id="208" w:name="_Toc286752829"/>
      <w:bookmarkStart w:id="209" w:name="_Toc286753613"/>
      <w:bookmarkEnd w:id="207"/>
      <w:bookmarkEnd w:id="208"/>
      <w:bookmarkEnd w:id="209"/>
    </w:p>
    <w:p w:rsidR="007F2EC4" w:rsidRPr="007F2EC4" w:rsidRDefault="007F2EC4" w:rsidP="007F2EC4">
      <w:pPr>
        <w:pStyle w:val="ListParagraph"/>
        <w:keepNext/>
        <w:keepLines/>
        <w:numPr>
          <w:ilvl w:val="2"/>
          <w:numId w:val="4"/>
        </w:numPr>
        <w:spacing w:before="120" w:after="120"/>
        <w:contextualSpacing w:val="0"/>
        <w:jc w:val="left"/>
        <w:outlineLvl w:val="1"/>
        <w:rPr>
          <w:rFonts w:asciiTheme="majorHAnsi" w:hAnsiTheme="majorHAnsi" w:cs="Calibri"/>
          <w:b/>
          <w:bCs/>
          <w:vanish/>
          <w:color w:val="365F91"/>
          <w:sz w:val="28"/>
          <w:szCs w:val="26"/>
        </w:rPr>
      </w:pPr>
      <w:bookmarkStart w:id="210" w:name="_Toc286752722"/>
      <w:bookmarkStart w:id="211" w:name="_Toc286752830"/>
      <w:bookmarkStart w:id="212" w:name="_Toc286753614"/>
      <w:bookmarkEnd w:id="210"/>
      <w:bookmarkEnd w:id="211"/>
      <w:bookmarkEnd w:id="212"/>
    </w:p>
    <w:p w:rsidR="007F2EC4" w:rsidRPr="007F2EC4" w:rsidRDefault="007F2EC4" w:rsidP="007F2EC4">
      <w:pPr>
        <w:pStyle w:val="ListParagraph"/>
        <w:keepNext/>
        <w:keepLines/>
        <w:numPr>
          <w:ilvl w:val="2"/>
          <w:numId w:val="4"/>
        </w:numPr>
        <w:spacing w:before="120" w:after="120"/>
        <w:contextualSpacing w:val="0"/>
        <w:jc w:val="left"/>
        <w:outlineLvl w:val="1"/>
        <w:rPr>
          <w:rFonts w:asciiTheme="majorHAnsi" w:hAnsiTheme="majorHAnsi" w:cs="Calibri"/>
          <w:b/>
          <w:bCs/>
          <w:vanish/>
          <w:color w:val="365F91"/>
          <w:sz w:val="28"/>
          <w:szCs w:val="26"/>
        </w:rPr>
      </w:pPr>
      <w:bookmarkStart w:id="213" w:name="_Toc286752723"/>
      <w:bookmarkStart w:id="214" w:name="_Toc286752831"/>
      <w:bookmarkStart w:id="215" w:name="_Toc286753615"/>
      <w:bookmarkEnd w:id="213"/>
      <w:bookmarkEnd w:id="214"/>
      <w:bookmarkEnd w:id="215"/>
    </w:p>
    <w:p w:rsidR="00DA1C63" w:rsidRPr="00BF066C" w:rsidRDefault="00624567" w:rsidP="007F2EC4">
      <w:pPr>
        <w:pStyle w:val="Heading2"/>
        <w:numPr>
          <w:ilvl w:val="2"/>
          <w:numId w:val="4"/>
        </w:numPr>
        <w:spacing w:before="120" w:after="120"/>
        <w:ind w:left="504"/>
        <w:jc w:val="left"/>
        <w:rPr>
          <w:rFonts w:asciiTheme="majorHAnsi" w:hAnsiTheme="majorHAnsi" w:cs="Calibri"/>
          <w:color w:val="365F91"/>
          <w:sz w:val="28"/>
        </w:rPr>
      </w:pPr>
      <w:bookmarkStart w:id="216" w:name="_Toc286753616"/>
      <w:r w:rsidRPr="00BF066C">
        <w:rPr>
          <w:rFonts w:asciiTheme="majorHAnsi" w:hAnsiTheme="majorHAnsi" w:cs="Calibri"/>
          <w:color w:val="365F91"/>
          <w:sz w:val="28"/>
        </w:rPr>
        <w:t xml:space="preserve">Business Intelligence </w:t>
      </w:r>
      <w:r w:rsidR="00AD4453" w:rsidRPr="00BF066C">
        <w:rPr>
          <w:rFonts w:asciiTheme="majorHAnsi" w:hAnsiTheme="majorHAnsi" w:cs="Calibri"/>
          <w:color w:val="365F91"/>
          <w:sz w:val="28"/>
        </w:rPr>
        <w:t>Tool &amp; E</w:t>
      </w:r>
      <w:r w:rsidR="00744332" w:rsidRPr="00BF066C">
        <w:rPr>
          <w:rFonts w:asciiTheme="majorHAnsi" w:hAnsiTheme="majorHAnsi" w:cs="Calibri"/>
          <w:color w:val="365F91"/>
          <w:sz w:val="28"/>
        </w:rPr>
        <w:t>nterprise</w:t>
      </w:r>
      <w:r w:rsidR="00AD4453" w:rsidRPr="00BF066C">
        <w:rPr>
          <w:rFonts w:asciiTheme="majorHAnsi" w:hAnsiTheme="majorHAnsi" w:cs="Calibri"/>
          <w:color w:val="365F91"/>
          <w:sz w:val="28"/>
        </w:rPr>
        <w:t xml:space="preserve"> </w:t>
      </w:r>
      <w:r w:rsidRPr="00BF066C">
        <w:rPr>
          <w:rFonts w:asciiTheme="majorHAnsi" w:hAnsiTheme="majorHAnsi" w:cs="Calibri"/>
          <w:color w:val="365F91"/>
          <w:sz w:val="28"/>
        </w:rPr>
        <w:t>Repository</w:t>
      </w:r>
      <w:bookmarkEnd w:id="194"/>
      <w:bookmarkEnd w:id="216"/>
    </w:p>
    <w:p w:rsidR="000157CB" w:rsidRDefault="00DB607F" w:rsidP="00E14E73">
      <w:pPr>
        <w:ind w:left="0" w:firstLine="0"/>
        <w:jc w:val="left"/>
        <w:rPr>
          <w:color w:val="000000"/>
          <w:sz w:val="22"/>
          <w:szCs w:val="22"/>
        </w:rPr>
      </w:pPr>
      <w:r w:rsidRPr="006000CA">
        <w:rPr>
          <w:color w:val="000000"/>
          <w:sz w:val="22"/>
          <w:szCs w:val="22"/>
        </w:rPr>
        <w:t xml:space="preserve">DOE has </w:t>
      </w:r>
      <w:r w:rsidR="00C45836">
        <w:rPr>
          <w:color w:val="000000"/>
          <w:sz w:val="22"/>
          <w:szCs w:val="22"/>
        </w:rPr>
        <w:t>been</w:t>
      </w:r>
      <w:r w:rsidRPr="006000CA">
        <w:rPr>
          <w:color w:val="000000"/>
          <w:sz w:val="22"/>
          <w:szCs w:val="22"/>
        </w:rPr>
        <w:t xml:space="preserve"> implementing a new </w:t>
      </w:r>
      <w:r w:rsidR="00080A44">
        <w:rPr>
          <w:color w:val="000000"/>
          <w:sz w:val="22"/>
          <w:szCs w:val="22"/>
        </w:rPr>
        <w:t>e</w:t>
      </w:r>
      <w:r w:rsidR="00744332">
        <w:rPr>
          <w:color w:val="000000"/>
          <w:sz w:val="22"/>
          <w:szCs w:val="22"/>
        </w:rPr>
        <w:t>nterprise</w:t>
      </w:r>
      <w:r w:rsidRPr="006000CA">
        <w:rPr>
          <w:color w:val="000000"/>
          <w:sz w:val="22"/>
          <w:szCs w:val="22"/>
        </w:rPr>
        <w:t xml:space="preserve"> repository with business intelligence</w:t>
      </w:r>
      <w:r w:rsidR="0095036D">
        <w:rPr>
          <w:color w:val="000000"/>
          <w:sz w:val="22"/>
          <w:szCs w:val="22"/>
        </w:rPr>
        <w:t xml:space="preserve"> (BI)</w:t>
      </w:r>
      <w:r w:rsidRPr="00561D8B">
        <w:rPr>
          <w:color w:val="000000"/>
          <w:sz w:val="22"/>
          <w:szCs w:val="22"/>
        </w:rPr>
        <w:t xml:space="preserve"> and visualization capabiliti</w:t>
      </w:r>
      <w:r w:rsidR="0095036D">
        <w:rPr>
          <w:color w:val="000000"/>
          <w:sz w:val="22"/>
          <w:szCs w:val="22"/>
        </w:rPr>
        <w:t>es.</w:t>
      </w:r>
      <w:r w:rsidR="00C3456B">
        <w:rPr>
          <w:color w:val="000000"/>
          <w:sz w:val="22"/>
          <w:szCs w:val="22"/>
        </w:rPr>
        <w:t xml:space="preserve"> </w:t>
      </w:r>
      <w:r w:rsidR="0095036D">
        <w:rPr>
          <w:color w:val="000000"/>
          <w:sz w:val="22"/>
          <w:szCs w:val="22"/>
        </w:rPr>
        <w:t>The Business Intelligence and</w:t>
      </w:r>
      <w:r w:rsidRPr="00561D8B">
        <w:rPr>
          <w:color w:val="000000"/>
          <w:sz w:val="22"/>
          <w:szCs w:val="22"/>
        </w:rPr>
        <w:t xml:space="preserve"> Enterp</w:t>
      </w:r>
      <w:r w:rsidR="0095036D">
        <w:rPr>
          <w:color w:val="000000"/>
          <w:sz w:val="22"/>
          <w:szCs w:val="22"/>
        </w:rPr>
        <w:t>rise Reporting Repository is a w</w:t>
      </w:r>
      <w:r w:rsidRPr="00561D8B">
        <w:rPr>
          <w:color w:val="000000"/>
          <w:sz w:val="22"/>
          <w:szCs w:val="22"/>
        </w:rPr>
        <w:t>eb-</w:t>
      </w:r>
      <w:r w:rsidR="000157CB" w:rsidRPr="000157CB">
        <w:rPr>
          <w:color w:val="000000"/>
          <w:sz w:val="22"/>
          <w:szCs w:val="22"/>
        </w:rPr>
        <w:t xml:space="preserve"> </w:t>
      </w:r>
      <w:r w:rsidRPr="00561D8B">
        <w:rPr>
          <w:color w:val="000000"/>
          <w:sz w:val="22"/>
          <w:szCs w:val="22"/>
        </w:rPr>
        <w:t>based application that prov</w:t>
      </w:r>
      <w:r w:rsidR="0095036D">
        <w:rPr>
          <w:color w:val="000000"/>
          <w:sz w:val="22"/>
          <w:szCs w:val="22"/>
        </w:rPr>
        <w:t>ides EA and portfolio m</w:t>
      </w:r>
      <w:r w:rsidRPr="00561D8B">
        <w:rPr>
          <w:color w:val="000000"/>
          <w:sz w:val="22"/>
          <w:szCs w:val="22"/>
        </w:rPr>
        <w:t>anagement reporting and analytical capabilities to support the various stakeholder groups and governing bodies within the DOE.</w:t>
      </w:r>
      <w:r w:rsidR="00C3456B">
        <w:rPr>
          <w:color w:val="000000"/>
          <w:sz w:val="22"/>
          <w:szCs w:val="22"/>
        </w:rPr>
        <w:t xml:space="preserve"> </w:t>
      </w:r>
    </w:p>
    <w:p w:rsidR="007F2EC4" w:rsidRDefault="007F2EC4" w:rsidP="00E14E73">
      <w:pPr>
        <w:ind w:left="0" w:firstLine="0"/>
        <w:jc w:val="left"/>
        <w:rPr>
          <w:color w:val="000000"/>
          <w:sz w:val="22"/>
          <w:szCs w:val="22"/>
        </w:rPr>
      </w:pPr>
    </w:p>
    <w:p w:rsidR="000157CB" w:rsidRDefault="00583A5F" w:rsidP="00E14E73">
      <w:pPr>
        <w:ind w:left="0" w:firstLine="0"/>
        <w:jc w:val="left"/>
        <w:rPr>
          <w:sz w:val="22"/>
          <w:szCs w:val="22"/>
        </w:rPr>
      </w:pPr>
      <w:r>
        <w:rPr>
          <w:noProof/>
          <w:color w:val="000000"/>
          <w:sz w:val="22"/>
          <w:szCs w:val="22"/>
        </w:rPr>
        <w:drawing>
          <wp:anchor distT="0" distB="0" distL="114300" distR="114300" simplePos="0" relativeHeight="251727872" behindDoc="0" locked="0" layoutInCell="1" allowOverlap="1">
            <wp:simplePos x="0" y="0"/>
            <wp:positionH relativeFrom="margin">
              <wp:posOffset>-104775</wp:posOffset>
            </wp:positionH>
            <wp:positionV relativeFrom="margin">
              <wp:posOffset>2581275</wp:posOffset>
            </wp:positionV>
            <wp:extent cx="6124575" cy="2828925"/>
            <wp:effectExtent l="19050" t="0" r="9525" b="0"/>
            <wp:wrapSquare wrapText="bothSides"/>
            <wp:docPr id="88" name="Picture 5"/>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25" cstate="print"/>
                    <a:srcRect/>
                    <a:stretch>
                      <a:fillRect/>
                    </a:stretch>
                  </pic:blipFill>
                  <pic:spPr bwMode="auto">
                    <a:xfrm>
                      <a:off x="0" y="0"/>
                      <a:ext cx="6124575" cy="2828925"/>
                    </a:xfrm>
                    <a:prstGeom prst="rect">
                      <a:avLst/>
                    </a:prstGeom>
                    <a:noFill/>
                    <a:ln w="9525">
                      <a:noFill/>
                      <a:miter lim="800000"/>
                      <a:headEnd/>
                      <a:tailEnd/>
                    </a:ln>
                  </pic:spPr>
                </pic:pic>
              </a:graphicData>
            </a:graphic>
          </wp:anchor>
        </w:drawing>
      </w:r>
      <w:r w:rsidR="00DB607F" w:rsidRPr="00561D8B">
        <w:rPr>
          <w:color w:val="000000"/>
          <w:sz w:val="22"/>
          <w:szCs w:val="22"/>
        </w:rPr>
        <w:t>With an increased emphasis on transparency, reporting, consoli</w:t>
      </w:r>
      <w:r w:rsidR="0095036D">
        <w:rPr>
          <w:color w:val="000000"/>
          <w:sz w:val="22"/>
          <w:szCs w:val="22"/>
        </w:rPr>
        <w:t>dation, and cost-saving efforts,</w:t>
      </w:r>
      <w:r w:rsidR="00DB607F" w:rsidRPr="00561D8B">
        <w:rPr>
          <w:color w:val="000000"/>
          <w:sz w:val="22"/>
          <w:szCs w:val="22"/>
        </w:rPr>
        <w:t xml:space="preserve"> the repository p</w:t>
      </w:r>
      <w:r w:rsidR="0095036D">
        <w:rPr>
          <w:color w:val="000000"/>
          <w:sz w:val="22"/>
          <w:szCs w:val="22"/>
        </w:rPr>
        <w:t>rovides various types of analyse</w:t>
      </w:r>
      <w:r w:rsidR="00DB607F" w:rsidRPr="00561D8B">
        <w:rPr>
          <w:color w:val="000000"/>
          <w:sz w:val="22"/>
          <w:szCs w:val="22"/>
        </w:rPr>
        <w:t xml:space="preserve">s that facilitate and enable the </w:t>
      </w:r>
      <w:r w:rsidR="001A483E">
        <w:rPr>
          <w:color w:val="000000"/>
          <w:sz w:val="22"/>
          <w:szCs w:val="22"/>
        </w:rPr>
        <w:t>Department</w:t>
      </w:r>
      <w:r w:rsidR="00DB607F" w:rsidRPr="00561D8B">
        <w:rPr>
          <w:color w:val="000000"/>
          <w:sz w:val="22"/>
          <w:szCs w:val="22"/>
        </w:rPr>
        <w:t xml:space="preserve"> to make more effective business and technical decisions.</w:t>
      </w:r>
      <w:r w:rsidR="00C3456B">
        <w:rPr>
          <w:color w:val="000000"/>
          <w:sz w:val="22"/>
          <w:szCs w:val="22"/>
        </w:rPr>
        <w:t xml:space="preserve"> </w:t>
      </w:r>
      <w:bookmarkStart w:id="217" w:name="_Toc285522896"/>
      <w:bookmarkStart w:id="218" w:name="_Toc285603417"/>
      <w:r w:rsidR="0095036D">
        <w:rPr>
          <w:color w:val="000000"/>
          <w:sz w:val="22"/>
          <w:szCs w:val="22"/>
        </w:rPr>
        <w:t>T</w:t>
      </w:r>
      <w:r w:rsidR="0095036D" w:rsidRPr="00561D8B">
        <w:rPr>
          <w:color w:val="000000"/>
          <w:sz w:val="22"/>
          <w:szCs w:val="22"/>
        </w:rPr>
        <w:t xml:space="preserve">he repository captures essential </w:t>
      </w:r>
      <w:r w:rsidR="0095036D">
        <w:rPr>
          <w:sz w:val="22"/>
          <w:szCs w:val="22"/>
        </w:rPr>
        <w:t>EA data, such as the application i</w:t>
      </w:r>
      <w:r w:rsidR="0095036D" w:rsidRPr="00561D8B">
        <w:rPr>
          <w:sz w:val="22"/>
          <w:szCs w:val="22"/>
        </w:rPr>
        <w:t>nventory, the Business Reference Model, Service Reference Model, and Technical Reference Model data.</w:t>
      </w:r>
      <w:r w:rsidR="00C3456B">
        <w:rPr>
          <w:sz w:val="22"/>
          <w:szCs w:val="22"/>
        </w:rPr>
        <w:t xml:space="preserve"> </w:t>
      </w:r>
      <w:r w:rsidR="0095036D">
        <w:rPr>
          <w:sz w:val="22"/>
          <w:szCs w:val="22"/>
        </w:rPr>
        <w:t>For each application, the repository captures financial data, segment data, and any dependencies across systems.</w:t>
      </w:r>
      <w:r w:rsidR="00C3456B">
        <w:rPr>
          <w:sz w:val="22"/>
          <w:szCs w:val="22"/>
        </w:rPr>
        <w:t xml:space="preserve"> </w:t>
      </w:r>
    </w:p>
    <w:p w:rsidR="000157CB" w:rsidRDefault="00D52312" w:rsidP="00E14E73">
      <w:pPr>
        <w:ind w:left="0" w:firstLine="0"/>
        <w:jc w:val="left"/>
        <w:rPr>
          <w:sz w:val="22"/>
          <w:szCs w:val="22"/>
        </w:rPr>
      </w:pPr>
      <w:r w:rsidRPr="00D52312">
        <w:rPr>
          <w:noProof/>
        </w:rPr>
        <w:pict>
          <v:shape id="_x0000_s1222" type="#_x0000_t202" style="position:absolute;margin-left:1.85pt;margin-top:432.75pt;width:480.35pt;height:14.05pt;z-index:251741184;mso-position-horizontal-relative:margin;mso-position-vertical-relative:margin" stroked="f">
            <v:textbox style="mso-next-textbox:#_x0000_s1222;mso-fit-shape-to-text:t" inset="0,0,0,0">
              <w:txbxContent>
                <w:p w:rsidR="00F929E8" w:rsidRPr="00EA04FB" w:rsidRDefault="00F929E8" w:rsidP="00B01E49">
                  <w:pPr>
                    <w:pStyle w:val="Caption"/>
                    <w:jc w:val="center"/>
                    <w:rPr>
                      <w:rFonts w:eastAsia="Calibri" w:cs="Calibri"/>
                      <w:noProof/>
                      <w:color w:val="000000"/>
                    </w:rPr>
                  </w:pPr>
                  <w:bookmarkStart w:id="219" w:name="_Toc286762562"/>
                  <w:r>
                    <w:t xml:space="preserve">Figure </w:t>
                  </w:r>
                  <w:fldSimple w:instr=" SEQ Figure \* ARABIC ">
                    <w:r w:rsidR="00C068AF">
                      <w:rPr>
                        <w:noProof/>
                      </w:rPr>
                      <w:t>4</w:t>
                    </w:r>
                  </w:fldSimple>
                  <w:r>
                    <w:t xml:space="preserve"> – Example of the DOE BI tool and Enterprise Repository Report</w:t>
                  </w:r>
                  <w:bookmarkEnd w:id="219"/>
                </w:p>
              </w:txbxContent>
            </v:textbox>
            <w10:wrap type="square" anchorx="margin" anchory="margin"/>
          </v:shape>
        </w:pict>
      </w:r>
    </w:p>
    <w:p w:rsidR="002355E5" w:rsidRDefault="007A108D" w:rsidP="00E14E73">
      <w:pPr>
        <w:ind w:left="0" w:firstLine="0"/>
        <w:jc w:val="left"/>
        <w:rPr>
          <w:sz w:val="22"/>
          <w:szCs w:val="22"/>
        </w:rPr>
      </w:pPr>
      <w:r w:rsidRPr="00561D8B">
        <w:rPr>
          <w:sz w:val="22"/>
          <w:szCs w:val="22"/>
        </w:rPr>
        <w:t xml:space="preserve">This consolidated </w:t>
      </w:r>
      <w:r w:rsidR="001A483E">
        <w:rPr>
          <w:sz w:val="22"/>
          <w:szCs w:val="22"/>
        </w:rPr>
        <w:t>Department</w:t>
      </w:r>
      <w:r w:rsidRPr="00561D8B">
        <w:rPr>
          <w:sz w:val="22"/>
          <w:szCs w:val="22"/>
        </w:rPr>
        <w:t xml:space="preserve">-wide repository serves as a centralized source of information for </w:t>
      </w:r>
      <w:r w:rsidR="00080A44">
        <w:rPr>
          <w:sz w:val="22"/>
          <w:szCs w:val="22"/>
        </w:rPr>
        <w:t>EA reporting. The repository which provides</w:t>
      </w:r>
      <w:r w:rsidRPr="00561D8B">
        <w:rPr>
          <w:sz w:val="22"/>
          <w:szCs w:val="22"/>
        </w:rPr>
        <w:t xml:space="preserve"> reports and analys</w:t>
      </w:r>
      <w:r w:rsidR="00080A44">
        <w:rPr>
          <w:sz w:val="22"/>
          <w:szCs w:val="22"/>
        </w:rPr>
        <w:t>e</w:t>
      </w:r>
      <w:r w:rsidRPr="00561D8B">
        <w:rPr>
          <w:sz w:val="22"/>
          <w:szCs w:val="22"/>
        </w:rPr>
        <w:t>s to support activities such as: improving efficiency and facilitating cost reduction; identifying duplications and overlapping efforts; eliminating redundancy in systems, applications, data, and assets; and</w:t>
      </w:r>
      <w:r w:rsidR="0095036D">
        <w:rPr>
          <w:sz w:val="22"/>
          <w:szCs w:val="22"/>
        </w:rPr>
        <w:t xml:space="preserve"> providing integration with IT s</w:t>
      </w:r>
      <w:r w:rsidRPr="00561D8B">
        <w:rPr>
          <w:sz w:val="22"/>
          <w:szCs w:val="22"/>
        </w:rPr>
        <w:t xml:space="preserve">trategic </w:t>
      </w:r>
      <w:r w:rsidR="0095036D">
        <w:rPr>
          <w:sz w:val="22"/>
          <w:szCs w:val="22"/>
        </w:rPr>
        <w:t>planning and capital p</w:t>
      </w:r>
      <w:r w:rsidRPr="00561D8B">
        <w:rPr>
          <w:sz w:val="22"/>
          <w:szCs w:val="22"/>
        </w:rPr>
        <w:t>lanning.</w:t>
      </w:r>
      <w:r w:rsidR="00C3456B">
        <w:rPr>
          <w:sz w:val="22"/>
          <w:szCs w:val="22"/>
        </w:rPr>
        <w:t xml:space="preserve"> </w:t>
      </w:r>
      <w:bookmarkEnd w:id="217"/>
      <w:bookmarkEnd w:id="218"/>
      <w:r w:rsidR="00727EB1">
        <w:rPr>
          <w:sz w:val="22"/>
          <w:szCs w:val="22"/>
        </w:rPr>
        <w:t xml:space="preserve"> The deta</w:t>
      </w:r>
      <w:r w:rsidR="006F6C48">
        <w:rPr>
          <w:sz w:val="22"/>
          <w:szCs w:val="22"/>
        </w:rPr>
        <w:t>ils of the BI t</w:t>
      </w:r>
      <w:r w:rsidR="00727EB1">
        <w:rPr>
          <w:sz w:val="22"/>
          <w:szCs w:val="22"/>
        </w:rPr>
        <w:t xml:space="preserve">ool’s functions and features are </w:t>
      </w:r>
      <w:r w:rsidR="00F929E8">
        <w:rPr>
          <w:sz w:val="22"/>
          <w:szCs w:val="22"/>
        </w:rPr>
        <w:t xml:space="preserve">listed </w:t>
      </w:r>
      <w:r w:rsidR="00727EB1">
        <w:rPr>
          <w:sz w:val="22"/>
          <w:szCs w:val="22"/>
        </w:rPr>
        <w:t>in Appendix B.</w:t>
      </w:r>
      <w:r w:rsidR="00080A44">
        <w:rPr>
          <w:sz w:val="22"/>
          <w:szCs w:val="22"/>
        </w:rPr>
        <w:t xml:space="preserve">   Figure </w:t>
      </w:r>
      <w:r w:rsidR="00F929E8">
        <w:rPr>
          <w:sz w:val="22"/>
          <w:szCs w:val="22"/>
        </w:rPr>
        <w:t>4</w:t>
      </w:r>
      <w:r w:rsidR="00080A44">
        <w:rPr>
          <w:sz w:val="22"/>
          <w:szCs w:val="22"/>
        </w:rPr>
        <w:t xml:space="preserve"> provides an example of </w:t>
      </w:r>
      <w:r w:rsidR="00F929E8">
        <w:rPr>
          <w:sz w:val="22"/>
          <w:szCs w:val="22"/>
        </w:rPr>
        <w:t xml:space="preserve">a report from the </w:t>
      </w:r>
      <w:r w:rsidR="00080A44">
        <w:rPr>
          <w:sz w:val="22"/>
          <w:szCs w:val="22"/>
        </w:rPr>
        <w:t>BI tool.</w:t>
      </w:r>
    </w:p>
    <w:p w:rsidR="00173E56" w:rsidRDefault="00173E56" w:rsidP="00E14E73">
      <w:pPr>
        <w:ind w:left="0" w:firstLine="0"/>
        <w:jc w:val="left"/>
        <w:rPr>
          <w:sz w:val="22"/>
          <w:szCs w:val="22"/>
        </w:rPr>
      </w:pPr>
    </w:p>
    <w:p w:rsidR="00583A5F" w:rsidRDefault="00583A5F">
      <w:pPr>
        <w:spacing w:line="240" w:lineRule="auto"/>
        <w:ind w:left="0" w:firstLine="0"/>
        <w:jc w:val="left"/>
        <w:rPr>
          <w:rFonts w:asciiTheme="majorHAnsi" w:eastAsia="Times New Roman" w:hAnsiTheme="majorHAnsi"/>
          <w:b/>
          <w:bCs/>
          <w:color w:val="365F91"/>
          <w:sz w:val="28"/>
          <w:szCs w:val="26"/>
        </w:rPr>
      </w:pPr>
      <w:bookmarkStart w:id="220" w:name="_Toc232311826"/>
      <w:bookmarkStart w:id="221" w:name="_Toc285522897"/>
      <w:bookmarkStart w:id="222" w:name="_Toc285603418"/>
      <w:r>
        <w:rPr>
          <w:rFonts w:asciiTheme="majorHAnsi" w:hAnsiTheme="majorHAnsi"/>
          <w:color w:val="365F91"/>
          <w:sz w:val="28"/>
        </w:rPr>
        <w:br w:type="page"/>
      </w:r>
    </w:p>
    <w:p w:rsidR="00D426AE" w:rsidRPr="003D7AAC" w:rsidRDefault="00C3456B" w:rsidP="009E3804">
      <w:pPr>
        <w:pStyle w:val="Heading2"/>
        <w:numPr>
          <w:ilvl w:val="1"/>
          <w:numId w:val="4"/>
        </w:numPr>
        <w:spacing w:before="120" w:after="120"/>
        <w:ind w:left="540" w:hanging="526"/>
        <w:jc w:val="left"/>
        <w:rPr>
          <w:rFonts w:asciiTheme="majorHAnsi" w:hAnsiTheme="majorHAnsi" w:cs="Calibri"/>
          <w:color w:val="365F91"/>
          <w:sz w:val="28"/>
        </w:rPr>
      </w:pPr>
      <w:r w:rsidRPr="003D7AAC">
        <w:rPr>
          <w:rFonts w:asciiTheme="majorHAnsi" w:hAnsiTheme="majorHAnsi" w:cs="Calibri"/>
          <w:color w:val="365F91"/>
          <w:sz w:val="28"/>
        </w:rPr>
        <w:t xml:space="preserve"> </w:t>
      </w:r>
      <w:bookmarkStart w:id="223" w:name="_Toc286753617"/>
      <w:bookmarkEnd w:id="220"/>
      <w:bookmarkEnd w:id="221"/>
      <w:bookmarkEnd w:id="222"/>
      <w:r w:rsidR="00B01E49" w:rsidRPr="003D7AAC">
        <w:rPr>
          <w:rFonts w:asciiTheme="majorHAnsi" w:hAnsiTheme="majorHAnsi" w:cs="Calibri"/>
          <w:color w:val="365F91"/>
          <w:sz w:val="28"/>
        </w:rPr>
        <w:t>DOE Baseline Architecture</w:t>
      </w:r>
      <w:r w:rsidR="00083434" w:rsidRPr="003D7AAC">
        <w:rPr>
          <w:rFonts w:asciiTheme="majorHAnsi" w:hAnsiTheme="majorHAnsi" w:cs="Calibri"/>
          <w:color w:val="365F91"/>
          <w:sz w:val="28"/>
        </w:rPr>
        <w:t xml:space="preserve"> Overview</w:t>
      </w:r>
      <w:bookmarkEnd w:id="223"/>
    </w:p>
    <w:p w:rsidR="00B01E49" w:rsidRPr="00F764F5" w:rsidRDefault="00F929E8" w:rsidP="00F764F5">
      <w:pPr>
        <w:ind w:left="0" w:firstLine="0"/>
        <w:jc w:val="left"/>
        <w:rPr>
          <w:sz w:val="22"/>
          <w:szCs w:val="24"/>
        </w:rPr>
      </w:pPr>
      <w:r>
        <w:rPr>
          <w:sz w:val="22"/>
        </w:rPr>
        <w:t xml:space="preserve">An </w:t>
      </w:r>
      <w:r w:rsidR="00B01E49" w:rsidRPr="00B01E49">
        <w:rPr>
          <w:sz w:val="22"/>
        </w:rPr>
        <w:t xml:space="preserve">overview of the existing DOE </w:t>
      </w:r>
      <w:r w:rsidR="00F764F5">
        <w:rPr>
          <w:sz w:val="22"/>
        </w:rPr>
        <w:t>Baseline A</w:t>
      </w:r>
      <w:r w:rsidR="00B01E49" w:rsidRPr="00B01E49">
        <w:rPr>
          <w:sz w:val="22"/>
        </w:rPr>
        <w:t xml:space="preserve">rchitecture </w:t>
      </w:r>
      <w:r w:rsidR="00F764F5">
        <w:rPr>
          <w:sz w:val="22"/>
        </w:rPr>
        <w:t xml:space="preserve">is provided in the </w:t>
      </w:r>
      <w:r w:rsidR="00080A44">
        <w:rPr>
          <w:sz w:val="22"/>
        </w:rPr>
        <w:t xml:space="preserve">following </w:t>
      </w:r>
      <w:r w:rsidR="00F764F5">
        <w:rPr>
          <w:sz w:val="22"/>
        </w:rPr>
        <w:t>sections.  The EA Baseline</w:t>
      </w:r>
      <w:r w:rsidR="00B01E49" w:rsidRPr="00B01E49">
        <w:rPr>
          <w:sz w:val="22"/>
        </w:rPr>
        <w:t xml:space="preserve"> </w:t>
      </w:r>
      <w:r w:rsidR="00F764F5">
        <w:rPr>
          <w:sz w:val="22"/>
        </w:rPr>
        <w:t xml:space="preserve">discussion </w:t>
      </w:r>
      <w:r w:rsidR="00B01E49" w:rsidRPr="00B01E49">
        <w:rPr>
          <w:sz w:val="22"/>
        </w:rPr>
        <w:t xml:space="preserve">is </w:t>
      </w:r>
      <w:r>
        <w:rPr>
          <w:sz w:val="22"/>
        </w:rPr>
        <w:t>divided i</w:t>
      </w:r>
      <w:r w:rsidR="00F764F5">
        <w:rPr>
          <w:sz w:val="22"/>
        </w:rPr>
        <w:t xml:space="preserve">nto the </w:t>
      </w:r>
      <w:r w:rsidR="00F764F5" w:rsidRPr="00B01E49">
        <w:rPr>
          <w:sz w:val="22"/>
        </w:rPr>
        <w:t>five</w:t>
      </w:r>
      <w:r w:rsidR="00B01E49" w:rsidRPr="00B01E49">
        <w:rPr>
          <w:sz w:val="22"/>
        </w:rPr>
        <w:t xml:space="preserve"> </w:t>
      </w:r>
      <w:r w:rsidR="00B01E49">
        <w:rPr>
          <w:sz w:val="22"/>
        </w:rPr>
        <w:t>layers</w:t>
      </w:r>
      <w:r w:rsidR="00B01E49" w:rsidRPr="00B01E49">
        <w:rPr>
          <w:sz w:val="22"/>
        </w:rPr>
        <w:t xml:space="preserve"> of </w:t>
      </w:r>
      <w:r w:rsidR="00B01E49">
        <w:rPr>
          <w:sz w:val="22"/>
        </w:rPr>
        <w:t xml:space="preserve">Strategy </w:t>
      </w:r>
      <w:r w:rsidR="00080A44">
        <w:rPr>
          <w:sz w:val="22"/>
        </w:rPr>
        <w:t>and</w:t>
      </w:r>
      <w:r w:rsidR="00B01E49">
        <w:rPr>
          <w:sz w:val="22"/>
        </w:rPr>
        <w:t xml:space="preserve"> Performance, Business, Services, Data, and Technology.  </w:t>
      </w:r>
      <w:r w:rsidR="00F764F5">
        <w:rPr>
          <w:sz w:val="22"/>
        </w:rPr>
        <w:t>Ad</w:t>
      </w:r>
      <w:r>
        <w:rPr>
          <w:sz w:val="22"/>
        </w:rPr>
        <w:t>ditionally, the current DOE EA s</w:t>
      </w:r>
      <w:r w:rsidR="00F764F5">
        <w:rPr>
          <w:sz w:val="22"/>
        </w:rPr>
        <w:t>egment</w:t>
      </w:r>
      <w:r w:rsidR="00080A44">
        <w:rPr>
          <w:sz w:val="22"/>
        </w:rPr>
        <w:t>s are</w:t>
      </w:r>
      <w:r w:rsidR="00F764F5">
        <w:rPr>
          <w:sz w:val="22"/>
        </w:rPr>
        <w:t xml:space="preserve"> discussed as well. </w:t>
      </w:r>
      <w:r w:rsidR="00B01E49" w:rsidRPr="00B01E49">
        <w:rPr>
          <w:sz w:val="22"/>
          <w:szCs w:val="24"/>
        </w:rPr>
        <w:t xml:space="preserve">The DOE EA </w:t>
      </w:r>
      <w:r w:rsidR="00F764F5">
        <w:rPr>
          <w:sz w:val="22"/>
          <w:szCs w:val="24"/>
        </w:rPr>
        <w:t xml:space="preserve">Baseline Architecture layer details are provided in Appendix </w:t>
      </w:r>
      <w:r w:rsidR="0079073B">
        <w:rPr>
          <w:sz w:val="22"/>
          <w:szCs w:val="24"/>
        </w:rPr>
        <w:t>C</w:t>
      </w:r>
      <w:r w:rsidR="00F764F5">
        <w:rPr>
          <w:sz w:val="22"/>
          <w:szCs w:val="24"/>
        </w:rPr>
        <w:t>.</w:t>
      </w:r>
      <w:r w:rsidR="00B01E49" w:rsidRPr="00B01E49">
        <w:rPr>
          <w:sz w:val="22"/>
          <w:szCs w:val="24"/>
        </w:rPr>
        <w:t xml:space="preserve"> </w:t>
      </w:r>
    </w:p>
    <w:p w:rsidR="00B01E49" w:rsidRPr="003D7AAC" w:rsidRDefault="00B01E49" w:rsidP="009E3804">
      <w:pPr>
        <w:pStyle w:val="Heading2"/>
        <w:numPr>
          <w:ilvl w:val="2"/>
          <w:numId w:val="4"/>
        </w:numPr>
        <w:spacing w:before="120" w:after="120"/>
        <w:ind w:left="900" w:hanging="900"/>
        <w:jc w:val="left"/>
        <w:rPr>
          <w:rFonts w:asciiTheme="majorHAnsi" w:hAnsiTheme="majorHAnsi" w:cs="Calibri"/>
          <w:color w:val="365F91"/>
          <w:sz w:val="28"/>
        </w:rPr>
      </w:pPr>
      <w:bookmarkStart w:id="224" w:name="_Toc286753618"/>
      <w:r w:rsidRPr="003D7AAC">
        <w:rPr>
          <w:rFonts w:asciiTheme="majorHAnsi" w:hAnsiTheme="majorHAnsi" w:cs="Calibri"/>
          <w:color w:val="365F91"/>
          <w:sz w:val="28"/>
        </w:rPr>
        <w:t>DOE Strategy and Performance Layer</w:t>
      </w:r>
      <w:bookmarkEnd w:id="224"/>
    </w:p>
    <w:p w:rsidR="0095036D" w:rsidRDefault="00CA52BC" w:rsidP="00DA1C63">
      <w:pPr>
        <w:ind w:left="0" w:firstLine="0"/>
        <w:jc w:val="left"/>
      </w:pPr>
      <w:r w:rsidRPr="00561D8B">
        <w:rPr>
          <w:sz w:val="22"/>
          <w:szCs w:val="22"/>
        </w:rPr>
        <w:t>The DOE Strategy and Performance layer is a standardized framework to drive mission alignment and performance of major investments and their contribution to mission performance.</w:t>
      </w:r>
      <w:r w:rsidR="00C3456B">
        <w:rPr>
          <w:sz w:val="22"/>
          <w:szCs w:val="22"/>
        </w:rPr>
        <w:t xml:space="preserve"> </w:t>
      </w:r>
      <w:r w:rsidRPr="00561D8B">
        <w:rPr>
          <w:sz w:val="22"/>
          <w:szCs w:val="22"/>
        </w:rPr>
        <w:t xml:space="preserve">This layer identifies common strategies, business processes, investments, data, systems and technologies to help identify whether the </w:t>
      </w:r>
      <w:r w:rsidR="001A483E">
        <w:rPr>
          <w:sz w:val="22"/>
          <w:szCs w:val="22"/>
        </w:rPr>
        <w:t>Department</w:t>
      </w:r>
      <w:r w:rsidRPr="00561D8B">
        <w:rPr>
          <w:sz w:val="22"/>
          <w:szCs w:val="22"/>
        </w:rPr>
        <w:t>'s resources are properly aligned to the mission and strategic goals and objectives.</w:t>
      </w:r>
      <w:r w:rsidR="00C3456B">
        <w:rPr>
          <w:sz w:val="22"/>
          <w:szCs w:val="22"/>
        </w:rPr>
        <w:t xml:space="preserve"> </w:t>
      </w:r>
      <w:r w:rsidRPr="00561D8B">
        <w:rPr>
          <w:sz w:val="22"/>
          <w:szCs w:val="22"/>
        </w:rPr>
        <w:t>Shaped primarily by strategy, this layer is used to</w:t>
      </w:r>
      <w:r w:rsidR="0095036D">
        <w:rPr>
          <w:sz w:val="22"/>
          <w:szCs w:val="22"/>
        </w:rPr>
        <w:t xml:space="preserve"> drive decisions about DOE's </w:t>
      </w:r>
      <w:r w:rsidRPr="00561D8B">
        <w:rPr>
          <w:sz w:val="22"/>
          <w:szCs w:val="22"/>
        </w:rPr>
        <w:t>investment portfolio as a whole.</w:t>
      </w:r>
      <w:r w:rsidR="00C3456B">
        <w:rPr>
          <w:sz w:val="22"/>
          <w:szCs w:val="22"/>
        </w:rPr>
        <w:t xml:space="preserve"> </w:t>
      </w:r>
      <w:r w:rsidRPr="00561D8B">
        <w:rPr>
          <w:sz w:val="22"/>
          <w:szCs w:val="22"/>
        </w:rPr>
        <w:t xml:space="preserve">From a performance perspective, the Strategy and Performance Layer improves strategic decision-making, creates alignment between mission and desired results, and helps identify improvement opportunities across the </w:t>
      </w:r>
      <w:r w:rsidR="001A483E">
        <w:rPr>
          <w:sz w:val="22"/>
          <w:szCs w:val="22"/>
        </w:rPr>
        <w:t>Department</w:t>
      </w:r>
      <w:r w:rsidRPr="00561D8B">
        <w:rPr>
          <w:sz w:val="22"/>
          <w:szCs w:val="22"/>
        </w:rPr>
        <w:t>.</w:t>
      </w:r>
      <w:r w:rsidR="00C3456B">
        <w:rPr>
          <w:sz w:val="22"/>
          <w:szCs w:val="22"/>
        </w:rPr>
        <w:t xml:space="preserve"> </w:t>
      </w:r>
      <w:r w:rsidRPr="00561D8B">
        <w:rPr>
          <w:sz w:val="22"/>
          <w:szCs w:val="22"/>
        </w:rPr>
        <w:t>Functionally, it aligns people, technology, and resources into processes and activities to deliver strategic mission outcomes.</w:t>
      </w:r>
      <w:r w:rsidR="00C3456B">
        <w:t xml:space="preserve"> </w:t>
      </w:r>
    </w:p>
    <w:p w:rsidR="0095036D" w:rsidRDefault="0095036D" w:rsidP="00DA1C63">
      <w:pPr>
        <w:ind w:left="0" w:firstLine="0"/>
        <w:jc w:val="left"/>
      </w:pPr>
    </w:p>
    <w:p w:rsidR="00D426AE" w:rsidRDefault="00D426AE" w:rsidP="00DA1C63">
      <w:pPr>
        <w:ind w:left="0" w:firstLine="0"/>
        <w:jc w:val="left"/>
        <w:rPr>
          <w:sz w:val="22"/>
          <w:szCs w:val="22"/>
        </w:rPr>
      </w:pPr>
      <w:r w:rsidRPr="00561D8B">
        <w:rPr>
          <w:sz w:val="22"/>
          <w:szCs w:val="24"/>
        </w:rPr>
        <w:t xml:space="preserve">The Performance Architecture layer for DOE’s Baseline EA is derived from performance metrics appearing within the </w:t>
      </w:r>
      <w:r w:rsidR="001A483E">
        <w:rPr>
          <w:sz w:val="22"/>
          <w:szCs w:val="24"/>
        </w:rPr>
        <w:t>Department</w:t>
      </w:r>
      <w:r w:rsidRPr="00561D8B">
        <w:rPr>
          <w:sz w:val="22"/>
          <w:szCs w:val="24"/>
        </w:rPr>
        <w:t>’s Annual Performance Report</w:t>
      </w:r>
      <w:r w:rsidRPr="00561D8B">
        <w:rPr>
          <w:rStyle w:val="FootnoteReference"/>
          <w:sz w:val="22"/>
          <w:szCs w:val="24"/>
        </w:rPr>
        <w:footnoteReference w:id="1"/>
      </w:r>
      <w:r w:rsidRPr="00561D8B">
        <w:rPr>
          <w:sz w:val="22"/>
          <w:szCs w:val="24"/>
        </w:rPr>
        <w:t xml:space="preserve"> (http://www.cfo.doe.gov/cf1-2/2009APR.pdf</w:t>
      </w:r>
      <w:r w:rsidR="003021EF">
        <w:rPr>
          <w:sz w:val="22"/>
          <w:szCs w:val="24"/>
        </w:rPr>
        <w:t>)</w:t>
      </w:r>
      <w:r w:rsidRPr="00561D8B">
        <w:rPr>
          <w:sz w:val="22"/>
          <w:szCs w:val="24"/>
        </w:rPr>
        <w:t>. The APR contains details on PART</w:t>
      </w:r>
      <w:r w:rsidR="00CA5676" w:rsidRPr="00561D8B">
        <w:rPr>
          <w:rStyle w:val="FootnoteReference"/>
          <w:sz w:val="22"/>
          <w:szCs w:val="24"/>
        </w:rPr>
        <w:footnoteReference w:id="2"/>
      </w:r>
      <w:proofErr w:type="spellStart"/>
      <w:proofErr w:type="gramStart"/>
      <w:r w:rsidRPr="00561D8B">
        <w:rPr>
          <w:sz w:val="22"/>
          <w:szCs w:val="24"/>
        </w:rPr>
        <w:t>ed</w:t>
      </w:r>
      <w:proofErr w:type="spellEnd"/>
      <w:proofErr w:type="gramEnd"/>
      <w:r w:rsidRPr="00561D8B">
        <w:rPr>
          <w:sz w:val="22"/>
          <w:szCs w:val="24"/>
        </w:rPr>
        <w:t xml:space="preserve"> and non-</w:t>
      </w:r>
      <w:proofErr w:type="spellStart"/>
      <w:r w:rsidRPr="00561D8B">
        <w:rPr>
          <w:sz w:val="22"/>
          <w:szCs w:val="24"/>
        </w:rPr>
        <w:t>PARTed</w:t>
      </w:r>
      <w:proofErr w:type="spellEnd"/>
      <w:r w:rsidRPr="00561D8B">
        <w:rPr>
          <w:sz w:val="22"/>
          <w:szCs w:val="24"/>
        </w:rPr>
        <w:t xml:space="preserve"> programs, PAR</w:t>
      </w:r>
      <w:r w:rsidR="00CA5676" w:rsidRPr="00561D8B">
        <w:rPr>
          <w:rStyle w:val="FootnoteReference"/>
          <w:sz w:val="22"/>
          <w:szCs w:val="24"/>
        </w:rPr>
        <w:footnoteReference w:id="3"/>
      </w:r>
      <w:r w:rsidRPr="00561D8B">
        <w:rPr>
          <w:sz w:val="22"/>
          <w:szCs w:val="24"/>
        </w:rPr>
        <w:t xml:space="preserve"> information, and metrics showing general progress toward defined goals</w:t>
      </w:r>
      <w:r w:rsidRPr="00561D8B">
        <w:rPr>
          <w:szCs w:val="24"/>
        </w:rPr>
        <w:t>.</w:t>
      </w:r>
    </w:p>
    <w:p w:rsidR="007B0C4C" w:rsidRPr="003D7AAC" w:rsidRDefault="00C3456B" w:rsidP="009E3804">
      <w:pPr>
        <w:pStyle w:val="Heading2"/>
        <w:numPr>
          <w:ilvl w:val="2"/>
          <w:numId w:val="4"/>
        </w:numPr>
        <w:spacing w:before="120" w:after="120"/>
        <w:ind w:left="900" w:hanging="900"/>
        <w:jc w:val="left"/>
        <w:rPr>
          <w:rFonts w:asciiTheme="majorHAnsi" w:hAnsiTheme="majorHAnsi" w:cs="Calibri"/>
          <w:color w:val="365F91"/>
          <w:sz w:val="28"/>
        </w:rPr>
      </w:pPr>
      <w:bookmarkStart w:id="225" w:name="_Toc232311828"/>
      <w:bookmarkStart w:id="226" w:name="_Toc285522905"/>
      <w:bookmarkStart w:id="227" w:name="_Toc285603420"/>
      <w:r w:rsidRPr="003D7AAC">
        <w:rPr>
          <w:rFonts w:asciiTheme="majorHAnsi" w:hAnsiTheme="majorHAnsi" w:cs="Calibri"/>
          <w:color w:val="365F91"/>
          <w:sz w:val="28"/>
        </w:rPr>
        <w:t xml:space="preserve"> </w:t>
      </w:r>
      <w:bookmarkStart w:id="228" w:name="_Toc286753619"/>
      <w:r w:rsidR="005138CC" w:rsidRPr="003D7AAC">
        <w:rPr>
          <w:rFonts w:asciiTheme="majorHAnsi" w:hAnsiTheme="majorHAnsi" w:cs="Calibri"/>
          <w:color w:val="365F91"/>
          <w:sz w:val="28"/>
        </w:rPr>
        <w:t>DOE Business Layer</w:t>
      </w:r>
      <w:bookmarkEnd w:id="225"/>
      <w:bookmarkEnd w:id="226"/>
      <w:bookmarkEnd w:id="227"/>
      <w:bookmarkEnd w:id="228"/>
    </w:p>
    <w:p w:rsidR="00F764F5" w:rsidRDefault="001B548A" w:rsidP="00DA1C63">
      <w:pPr>
        <w:ind w:left="0" w:firstLine="0"/>
        <w:jc w:val="left"/>
        <w:rPr>
          <w:sz w:val="22"/>
          <w:szCs w:val="22"/>
        </w:rPr>
      </w:pPr>
      <w:r>
        <w:rPr>
          <w:noProof/>
          <w:sz w:val="22"/>
          <w:szCs w:val="22"/>
        </w:rPr>
        <w:t>The</w:t>
      </w:r>
      <w:r w:rsidR="000E4916">
        <w:rPr>
          <w:sz w:val="22"/>
          <w:szCs w:val="22"/>
        </w:rPr>
        <w:t xml:space="preserve"> Business L</w:t>
      </w:r>
      <w:r w:rsidR="003E6CB5" w:rsidRPr="00561D8B">
        <w:rPr>
          <w:sz w:val="22"/>
          <w:szCs w:val="22"/>
        </w:rPr>
        <w:t>ayer is commonly referred to as the DOE Business Reference Model (BRM).</w:t>
      </w:r>
      <w:r w:rsidR="00C3456B">
        <w:rPr>
          <w:sz w:val="22"/>
          <w:szCs w:val="22"/>
        </w:rPr>
        <w:t xml:space="preserve"> </w:t>
      </w:r>
      <w:r w:rsidR="003E6CB5" w:rsidRPr="00561D8B">
        <w:rPr>
          <w:sz w:val="22"/>
          <w:szCs w:val="22"/>
        </w:rPr>
        <w:t xml:space="preserve">DOE maintains and manages </w:t>
      </w:r>
      <w:r w:rsidR="00CA52BC" w:rsidRPr="00561D8B">
        <w:rPr>
          <w:sz w:val="22"/>
          <w:szCs w:val="22"/>
        </w:rPr>
        <w:t>the BRM which</w:t>
      </w:r>
      <w:r w:rsidR="003E6CB5" w:rsidRPr="00561D8B">
        <w:rPr>
          <w:sz w:val="22"/>
          <w:szCs w:val="22"/>
        </w:rPr>
        <w:t xml:space="preserve"> represents the business model hierarchy that aligns each </w:t>
      </w:r>
      <w:r>
        <w:rPr>
          <w:sz w:val="22"/>
          <w:szCs w:val="22"/>
        </w:rPr>
        <w:t xml:space="preserve">line of business </w:t>
      </w:r>
      <w:r w:rsidR="00CC79A1">
        <w:rPr>
          <w:sz w:val="22"/>
          <w:szCs w:val="22"/>
        </w:rPr>
        <w:t>to corresponding mission/</w:t>
      </w:r>
      <w:r w:rsidR="003E6CB5" w:rsidRPr="00561D8B">
        <w:rPr>
          <w:sz w:val="22"/>
          <w:szCs w:val="22"/>
        </w:rPr>
        <w:t>business functions and their sub-functions.</w:t>
      </w:r>
      <w:r w:rsidR="00C3456B">
        <w:rPr>
          <w:sz w:val="22"/>
          <w:szCs w:val="22"/>
        </w:rPr>
        <w:t xml:space="preserve"> </w:t>
      </w:r>
    </w:p>
    <w:p w:rsidR="00080A44" w:rsidRPr="00561D8B" w:rsidRDefault="00080A44" w:rsidP="00DA1C63">
      <w:pPr>
        <w:ind w:left="0" w:firstLine="0"/>
        <w:jc w:val="left"/>
        <w:rPr>
          <w:sz w:val="22"/>
          <w:szCs w:val="22"/>
        </w:rPr>
      </w:pPr>
    </w:p>
    <w:p w:rsidR="003E6CB5" w:rsidRDefault="003E6CB5" w:rsidP="00A80852">
      <w:pPr>
        <w:ind w:left="0" w:firstLine="0"/>
        <w:jc w:val="left"/>
        <w:rPr>
          <w:sz w:val="22"/>
          <w:szCs w:val="22"/>
        </w:rPr>
      </w:pPr>
      <w:r w:rsidRPr="00561D8B">
        <w:rPr>
          <w:sz w:val="22"/>
          <w:szCs w:val="22"/>
        </w:rPr>
        <w:t xml:space="preserve">The purpose </w:t>
      </w:r>
      <w:r w:rsidR="00080A44">
        <w:rPr>
          <w:sz w:val="22"/>
          <w:szCs w:val="22"/>
        </w:rPr>
        <w:t xml:space="preserve">of the DOE BRM </w:t>
      </w:r>
      <w:r w:rsidRPr="00561D8B">
        <w:rPr>
          <w:sz w:val="22"/>
          <w:szCs w:val="22"/>
        </w:rPr>
        <w:t xml:space="preserve">is to obtain a more accurate description of the DOE enterprise business functions and to relate those business functions to the </w:t>
      </w:r>
      <w:r w:rsidR="0050266E" w:rsidRPr="00561D8B">
        <w:rPr>
          <w:sz w:val="22"/>
          <w:szCs w:val="22"/>
        </w:rPr>
        <w:t>Federal Enterprise Architecture (</w:t>
      </w:r>
      <w:r w:rsidRPr="00561D8B">
        <w:rPr>
          <w:sz w:val="22"/>
          <w:szCs w:val="22"/>
        </w:rPr>
        <w:t>FEA</w:t>
      </w:r>
      <w:r w:rsidR="0050266E" w:rsidRPr="00561D8B">
        <w:rPr>
          <w:sz w:val="22"/>
          <w:szCs w:val="22"/>
        </w:rPr>
        <w:t>)</w:t>
      </w:r>
      <w:r w:rsidRPr="00561D8B">
        <w:rPr>
          <w:sz w:val="22"/>
          <w:szCs w:val="22"/>
        </w:rPr>
        <w:t xml:space="preserve"> BRM.</w:t>
      </w:r>
      <w:r w:rsidR="00C3456B">
        <w:rPr>
          <w:sz w:val="22"/>
          <w:szCs w:val="22"/>
        </w:rPr>
        <w:t xml:space="preserve"> </w:t>
      </w:r>
      <w:r w:rsidRPr="00561D8B">
        <w:rPr>
          <w:sz w:val="22"/>
          <w:szCs w:val="22"/>
        </w:rPr>
        <w:t xml:space="preserve">The intent is </w:t>
      </w:r>
      <w:r w:rsidR="00CC79A1">
        <w:rPr>
          <w:sz w:val="22"/>
          <w:szCs w:val="22"/>
        </w:rPr>
        <w:t>to have</w:t>
      </w:r>
      <w:r w:rsidRPr="00561D8B">
        <w:rPr>
          <w:sz w:val="22"/>
          <w:szCs w:val="22"/>
        </w:rPr>
        <w:t xml:space="preserve"> DOE BRM taxonomy content granular enough to define the mission/business functions of DOE organizations for architecture needs at the enterprise level.</w:t>
      </w:r>
    </w:p>
    <w:p w:rsidR="00125D0A" w:rsidRPr="003D7AAC" w:rsidRDefault="00C3456B" w:rsidP="009E3804">
      <w:pPr>
        <w:pStyle w:val="Heading2"/>
        <w:numPr>
          <w:ilvl w:val="2"/>
          <w:numId w:val="4"/>
        </w:numPr>
        <w:spacing w:before="120" w:after="120"/>
        <w:ind w:left="900" w:hanging="900"/>
        <w:jc w:val="left"/>
        <w:rPr>
          <w:rFonts w:asciiTheme="majorHAnsi" w:hAnsiTheme="majorHAnsi" w:cs="Calibri"/>
          <w:color w:val="365F91"/>
          <w:sz w:val="28"/>
        </w:rPr>
      </w:pPr>
      <w:bookmarkStart w:id="229" w:name="_Toc232311829"/>
      <w:bookmarkStart w:id="230" w:name="_Toc285522906"/>
      <w:bookmarkStart w:id="231" w:name="_Toc285603421"/>
      <w:r w:rsidRPr="003D7AAC">
        <w:rPr>
          <w:rFonts w:asciiTheme="majorHAnsi" w:hAnsiTheme="majorHAnsi" w:cs="Calibri"/>
          <w:color w:val="365F91"/>
          <w:sz w:val="28"/>
        </w:rPr>
        <w:t xml:space="preserve"> </w:t>
      </w:r>
      <w:bookmarkStart w:id="232" w:name="_Toc286753620"/>
      <w:r w:rsidR="00756301" w:rsidRPr="003D7AAC">
        <w:rPr>
          <w:rFonts w:asciiTheme="majorHAnsi" w:hAnsiTheme="majorHAnsi" w:cs="Calibri"/>
          <w:color w:val="365F91"/>
          <w:sz w:val="28"/>
        </w:rPr>
        <w:t>DOE Service</w:t>
      </w:r>
      <w:r w:rsidR="00A80852" w:rsidRPr="003D7AAC">
        <w:rPr>
          <w:rFonts w:asciiTheme="majorHAnsi" w:hAnsiTheme="majorHAnsi" w:cs="Calibri"/>
          <w:color w:val="365F91"/>
          <w:sz w:val="28"/>
        </w:rPr>
        <w:t>s</w:t>
      </w:r>
      <w:r w:rsidR="00756301" w:rsidRPr="003D7AAC">
        <w:rPr>
          <w:rFonts w:asciiTheme="majorHAnsi" w:hAnsiTheme="majorHAnsi" w:cs="Calibri"/>
          <w:color w:val="365F91"/>
          <w:sz w:val="28"/>
        </w:rPr>
        <w:t>, Data, and Technology Layer</w:t>
      </w:r>
      <w:bookmarkEnd w:id="229"/>
      <w:bookmarkEnd w:id="230"/>
      <w:bookmarkEnd w:id="231"/>
      <w:r w:rsidR="00F764F5" w:rsidRPr="003D7AAC">
        <w:rPr>
          <w:rFonts w:asciiTheme="majorHAnsi" w:hAnsiTheme="majorHAnsi" w:cs="Calibri"/>
          <w:color w:val="365F91"/>
          <w:sz w:val="28"/>
        </w:rPr>
        <w:t>s</w:t>
      </w:r>
      <w:bookmarkEnd w:id="232"/>
    </w:p>
    <w:p w:rsidR="00542AA5" w:rsidRDefault="00542AA5" w:rsidP="00542AA5">
      <w:pPr>
        <w:ind w:left="0" w:firstLine="0"/>
        <w:jc w:val="left"/>
        <w:rPr>
          <w:sz w:val="22"/>
          <w:szCs w:val="22"/>
        </w:rPr>
      </w:pPr>
      <w:r>
        <w:rPr>
          <w:sz w:val="22"/>
          <w:szCs w:val="22"/>
        </w:rPr>
        <w:t>DOE’s Service</w:t>
      </w:r>
      <w:r w:rsidR="00F764F5">
        <w:rPr>
          <w:sz w:val="22"/>
          <w:szCs w:val="22"/>
        </w:rPr>
        <w:t>s</w:t>
      </w:r>
      <w:r>
        <w:rPr>
          <w:sz w:val="22"/>
          <w:szCs w:val="22"/>
        </w:rPr>
        <w:t xml:space="preserve"> L</w:t>
      </w:r>
      <w:r w:rsidRPr="00561D8B">
        <w:rPr>
          <w:sz w:val="22"/>
          <w:szCs w:val="22"/>
        </w:rPr>
        <w:t>ayer is currently aligned to</w:t>
      </w:r>
      <w:r w:rsidR="00F929E8">
        <w:rPr>
          <w:sz w:val="22"/>
          <w:szCs w:val="22"/>
        </w:rPr>
        <w:t xml:space="preserve"> the FEA</w:t>
      </w:r>
      <w:r w:rsidRPr="00561D8B">
        <w:rPr>
          <w:sz w:val="22"/>
          <w:szCs w:val="22"/>
        </w:rPr>
        <w:t xml:space="preserve"> framework.</w:t>
      </w:r>
      <w:r w:rsidR="00C3456B">
        <w:rPr>
          <w:sz w:val="22"/>
          <w:szCs w:val="22"/>
        </w:rPr>
        <w:t xml:space="preserve"> </w:t>
      </w:r>
      <w:r w:rsidR="00845996">
        <w:rPr>
          <w:sz w:val="22"/>
          <w:szCs w:val="22"/>
        </w:rPr>
        <w:t xml:space="preserve">DOE’s </w:t>
      </w:r>
      <w:r>
        <w:rPr>
          <w:sz w:val="22"/>
          <w:szCs w:val="22"/>
        </w:rPr>
        <w:t>Services Architecture Layer is a business-driven framework that classifies service components according to how they support busines</w:t>
      </w:r>
      <w:r w:rsidR="00845996">
        <w:rPr>
          <w:sz w:val="22"/>
          <w:szCs w:val="22"/>
        </w:rPr>
        <w:t>s and performance objectives.</w:t>
      </w:r>
      <w:r w:rsidR="00C3456B">
        <w:rPr>
          <w:sz w:val="22"/>
          <w:szCs w:val="22"/>
        </w:rPr>
        <w:t xml:space="preserve"> </w:t>
      </w:r>
      <w:r w:rsidR="00845996">
        <w:rPr>
          <w:sz w:val="22"/>
          <w:szCs w:val="22"/>
        </w:rPr>
        <w:t xml:space="preserve">The </w:t>
      </w:r>
      <w:r w:rsidR="00756301" w:rsidRPr="00561D8B">
        <w:rPr>
          <w:sz w:val="22"/>
          <w:szCs w:val="22"/>
        </w:rPr>
        <w:t xml:space="preserve">Services Layer </w:t>
      </w:r>
      <w:r w:rsidR="006F6C48">
        <w:rPr>
          <w:sz w:val="22"/>
          <w:szCs w:val="22"/>
        </w:rPr>
        <w:t>is represented by applications/</w:t>
      </w:r>
      <w:r w:rsidR="00756301" w:rsidRPr="00561D8B">
        <w:rPr>
          <w:sz w:val="22"/>
          <w:szCs w:val="22"/>
        </w:rPr>
        <w:t xml:space="preserve">systems that are divided between </w:t>
      </w:r>
      <w:r w:rsidR="000E4916">
        <w:rPr>
          <w:sz w:val="22"/>
          <w:szCs w:val="22"/>
        </w:rPr>
        <w:t xml:space="preserve">the </w:t>
      </w:r>
      <w:r w:rsidR="006F6C48">
        <w:rPr>
          <w:sz w:val="22"/>
          <w:szCs w:val="22"/>
        </w:rPr>
        <w:t>mission and m</w:t>
      </w:r>
      <w:r w:rsidR="00756301" w:rsidRPr="00561D8B">
        <w:rPr>
          <w:sz w:val="22"/>
          <w:szCs w:val="22"/>
        </w:rPr>
        <w:t>anagement</w:t>
      </w:r>
      <w:r w:rsidR="000E4916">
        <w:rPr>
          <w:sz w:val="22"/>
          <w:szCs w:val="22"/>
        </w:rPr>
        <w:t xml:space="preserve"> </w:t>
      </w:r>
      <w:r w:rsidR="00080A44">
        <w:rPr>
          <w:sz w:val="22"/>
          <w:szCs w:val="22"/>
        </w:rPr>
        <w:t xml:space="preserve">business </w:t>
      </w:r>
      <w:r w:rsidR="000E4916">
        <w:rPr>
          <w:sz w:val="22"/>
          <w:szCs w:val="22"/>
        </w:rPr>
        <w:t>functions</w:t>
      </w:r>
      <w:r w:rsidR="00080A44">
        <w:rPr>
          <w:sz w:val="22"/>
          <w:szCs w:val="22"/>
        </w:rPr>
        <w:t xml:space="preserve"> of the DOE BRM</w:t>
      </w:r>
      <w:r w:rsidR="00756301" w:rsidRPr="00561D8B">
        <w:rPr>
          <w:sz w:val="22"/>
          <w:szCs w:val="22"/>
        </w:rPr>
        <w:t>.</w:t>
      </w:r>
      <w:r w:rsidR="00F764F5">
        <w:rPr>
          <w:sz w:val="22"/>
          <w:szCs w:val="22"/>
        </w:rPr>
        <w:t xml:space="preserve"> T</w:t>
      </w:r>
      <w:r w:rsidR="00845996">
        <w:rPr>
          <w:sz w:val="22"/>
          <w:szCs w:val="22"/>
        </w:rPr>
        <w:t xml:space="preserve">he </w:t>
      </w:r>
      <w:r w:rsidR="00756301" w:rsidRPr="00561D8B">
        <w:rPr>
          <w:sz w:val="22"/>
          <w:szCs w:val="22"/>
        </w:rPr>
        <w:t xml:space="preserve">applications/systems have associated service component, </w:t>
      </w:r>
      <w:r w:rsidR="00756301" w:rsidRPr="003021EF">
        <w:rPr>
          <w:sz w:val="22"/>
          <w:szCs w:val="22"/>
        </w:rPr>
        <w:t xml:space="preserve">type and </w:t>
      </w:r>
      <w:r w:rsidR="00CA52BC" w:rsidRPr="003021EF">
        <w:rPr>
          <w:sz w:val="22"/>
          <w:szCs w:val="22"/>
        </w:rPr>
        <w:t>area information</w:t>
      </w:r>
      <w:r w:rsidR="000028E3" w:rsidRPr="003021EF">
        <w:rPr>
          <w:sz w:val="22"/>
          <w:szCs w:val="22"/>
        </w:rPr>
        <w:t>. T</w:t>
      </w:r>
      <w:r w:rsidR="00756301" w:rsidRPr="003021EF">
        <w:rPr>
          <w:sz w:val="22"/>
          <w:szCs w:val="22"/>
        </w:rPr>
        <w:t>he details of the mappings have been captured</w:t>
      </w:r>
      <w:r w:rsidR="00845996">
        <w:rPr>
          <w:sz w:val="22"/>
          <w:szCs w:val="22"/>
        </w:rPr>
        <w:t xml:space="preserve"> and documented in DOE’s</w:t>
      </w:r>
      <w:r w:rsidR="00756301" w:rsidRPr="00561D8B">
        <w:rPr>
          <w:sz w:val="22"/>
          <w:szCs w:val="22"/>
        </w:rPr>
        <w:t xml:space="preserve"> EA repository.</w:t>
      </w:r>
      <w:r w:rsidR="00C3456B">
        <w:rPr>
          <w:sz w:val="22"/>
          <w:szCs w:val="22"/>
        </w:rPr>
        <w:t xml:space="preserve"> </w:t>
      </w:r>
      <w:r>
        <w:rPr>
          <w:sz w:val="22"/>
          <w:szCs w:val="22"/>
        </w:rPr>
        <w:t>The mappings aid in reco</w:t>
      </w:r>
      <w:r w:rsidR="00845996">
        <w:rPr>
          <w:sz w:val="22"/>
          <w:szCs w:val="22"/>
        </w:rPr>
        <w:t xml:space="preserve">mmending service capabilities as candidates for </w:t>
      </w:r>
      <w:r w:rsidR="004D0515">
        <w:rPr>
          <w:sz w:val="22"/>
          <w:szCs w:val="22"/>
        </w:rPr>
        <w:t xml:space="preserve">reuse </w:t>
      </w:r>
      <w:r>
        <w:rPr>
          <w:sz w:val="22"/>
          <w:szCs w:val="22"/>
        </w:rPr>
        <w:t>of business</w:t>
      </w:r>
      <w:r w:rsidR="004D0515">
        <w:rPr>
          <w:sz w:val="22"/>
          <w:szCs w:val="22"/>
        </w:rPr>
        <w:t xml:space="preserve"> c</w:t>
      </w:r>
      <w:r>
        <w:rPr>
          <w:sz w:val="22"/>
          <w:szCs w:val="22"/>
        </w:rPr>
        <w:t>omponents and services across DOE.</w:t>
      </w:r>
    </w:p>
    <w:p w:rsidR="00542AA5" w:rsidRDefault="00542AA5" w:rsidP="00542AA5">
      <w:pPr>
        <w:ind w:left="0" w:firstLine="0"/>
        <w:jc w:val="left"/>
        <w:rPr>
          <w:sz w:val="22"/>
          <w:szCs w:val="22"/>
        </w:rPr>
      </w:pPr>
    </w:p>
    <w:p w:rsidR="00542AA5" w:rsidRPr="00561D8B" w:rsidRDefault="00542AA5" w:rsidP="00542AA5">
      <w:pPr>
        <w:ind w:left="0" w:firstLine="0"/>
        <w:jc w:val="left"/>
        <w:rPr>
          <w:sz w:val="22"/>
          <w:szCs w:val="22"/>
        </w:rPr>
      </w:pPr>
      <w:r>
        <w:rPr>
          <w:sz w:val="22"/>
          <w:szCs w:val="22"/>
        </w:rPr>
        <w:t>Th</w:t>
      </w:r>
      <w:r w:rsidR="00845996">
        <w:rPr>
          <w:sz w:val="22"/>
          <w:szCs w:val="22"/>
        </w:rPr>
        <w:t>e Data Layer is organized into data c</w:t>
      </w:r>
      <w:r>
        <w:rPr>
          <w:sz w:val="22"/>
          <w:szCs w:val="22"/>
        </w:rPr>
        <w:t xml:space="preserve">lasses, </w:t>
      </w:r>
      <w:r w:rsidRPr="00561D8B">
        <w:rPr>
          <w:sz w:val="22"/>
          <w:szCs w:val="22"/>
        </w:rPr>
        <w:t xml:space="preserve">and this information is </w:t>
      </w:r>
      <w:r w:rsidR="00845996">
        <w:rPr>
          <w:sz w:val="22"/>
          <w:szCs w:val="22"/>
        </w:rPr>
        <w:t xml:space="preserve">also </w:t>
      </w:r>
      <w:r w:rsidRPr="00561D8B">
        <w:rPr>
          <w:sz w:val="22"/>
          <w:szCs w:val="22"/>
        </w:rPr>
        <w:t xml:space="preserve">stored in the </w:t>
      </w:r>
      <w:r w:rsidR="00845996">
        <w:rPr>
          <w:sz w:val="22"/>
          <w:szCs w:val="22"/>
        </w:rPr>
        <w:t xml:space="preserve">EA </w:t>
      </w:r>
      <w:r w:rsidRPr="00561D8B">
        <w:rPr>
          <w:sz w:val="22"/>
          <w:szCs w:val="22"/>
        </w:rPr>
        <w:t>repository.</w:t>
      </w:r>
      <w:r w:rsidR="00C3456B">
        <w:rPr>
          <w:sz w:val="22"/>
          <w:szCs w:val="22"/>
        </w:rPr>
        <w:t xml:space="preserve"> </w:t>
      </w:r>
      <w:r w:rsidR="00F764F5">
        <w:rPr>
          <w:sz w:val="22"/>
          <w:szCs w:val="22"/>
        </w:rPr>
        <w:t>T</w:t>
      </w:r>
      <w:r w:rsidR="00845996">
        <w:rPr>
          <w:sz w:val="22"/>
          <w:szCs w:val="22"/>
        </w:rPr>
        <w:t>he data c</w:t>
      </w:r>
      <w:r w:rsidRPr="00561D8B">
        <w:rPr>
          <w:sz w:val="22"/>
          <w:szCs w:val="22"/>
        </w:rPr>
        <w:t xml:space="preserve">lasses support the </w:t>
      </w:r>
      <w:r w:rsidR="001A483E">
        <w:rPr>
          <w:sz w:val="22"/>
          <w:szCs w:val="22"/>
        </w:rPr>
        <w:t>Department</w:t>
      </w:r>
      <w:r w:rsidRPr="00561D8B">
        <w:rPr>
          <w:sz w:val="22"/>
          <w:szCs w:val="22"/>
        </w:rPr>
        <w:t xml:space="preserve"> as a whole.</w:t>
      </w:r>
      <w:r w:rsidR="00C3456B">
        <w:rPr>
          <w:sz w:val="22"/>
          <w:szCs w:val="22"/>
        </w:rPr>
        <w:t xml:space="preserve"> </w:t>
      </w:r>
      <w:r w:rsidRPr="00561D8B">
        <w:rPr>
          <w:sz w:val="22"/>
          <w:szCs w:val="22"/>
        </w:rPr>
        <w:t xml:space="preserve">By mapping application systems to data classes, the repository becomes a resource for program offices to find and reuse application information based on </w:t>
      </w:r>
      <w:r w:rsidR="00845996">
        <w:rPr>
          <w:sz w:val="22"/>
          <w:szCs w:val="22"/>
        </w:rPr>
        <w:t xml:space="preserve">the </w:t>
      </w:r>
      <w:r w:rsidRPr="00561D8B">
        <w:rPr>
          <w:sz w:val="22"/>
          <w:szCs w:val="22"/>
        </w:rPr>
        <w:t xml:space="preserve">type of information contained in the database, e.g., site cleanup, </w:t>
      </w:r>
      <w:r w:rsidR="00845996">
        <w:rPr>
          <w:sz w:val="22"/>
          <w:szCs w:val="22"/>
        </w:rPr>
        <w:t xml:space="preserve">research and development, </w:t>
      </w:r>
      <w:r w:rsidRPr="00561D8B">
        <w:rPr>
          <w:sz w:val="22"/>
          <w:szCs w:val="22"/>
        </w:rPr>
        <w:t>health, power, and budget</w:t>
      </w:r>
      <w:r w:rsidR="00845996">
        <w:rPr>
          <w:sz w:val="22"/>
          <w:szCs w:val="22"/>
        </w:rPr>
        <w:t xml:space="preserve"> and performance</w:t>
      </w:r>
      <w:r w:rsidRPr="00561D8B">
        <w:rPr>
          <w:sz w:val="22"/>
          <w:szCs w:val="22"/>
        </w:rPr>
        <w:t xml:space="preserve">. </w:t>
      </w:r>
    </w:p>
    <w:p w:rsidR="00A64E78" w:rsidRDefault="00A64E78" w:rsidP="00DA1C63">
      <w:pPr>
        <w:ind w:left="0" w:firstLine="0"/>
        <w:jc w:val="left"/>
        <w:rPr>
          <w:sz w:val="22"/>
          <w:szCs w:val="22"/>
        </w:rPr>
      </w:pPr>
    </w:p>
    <w:p w:rsidR="00D426AE" w:rsidRDefault="000028E3" w:rsidP="00DA1C63">
      <w:pPr>
        <w:ind w:left="0" w:firstLine="0"/>
        <w:jc w:val="left"/>
        <w:rPr>
          <w:sz w:val="22"/>
          <w:szCs w:val="24"/>
        </w:rPr>
      </w:pPr>
      <w:r w:rsidRPr="00561D8B">
        <w:rPr>
          <w:sz w:val="22"/>
          <w:szCs w:val="22"/>
        </w:rPr>
        <w:t>Las</w:t>
      </w:r>
      <w:r w:rsidR="000D4E2C" w:rsidRPr="00561D8B">
        <w:rPr>
          <w:sz w:val="22"/>
          <w:szCs w:val="22"/>
        </w:rPr>
        <w:t>t</w:t>
      </w:r>
      <w:r w:rsidRPr="00561D8B">
        <w:rPr>
          <w:sz w:val="22"/>
          <w:szCs w:val="22"/>
        </w:rPr>
        <w:t>ly</w:t>
      </w:r>
      <w:r w:rsidR="00EA31DA" w:rsidRPr="00561D8B">
        <w:rPr>
          <w:sz w:val="22"/>
          <w:szCs w:val="22"/>
        </w:rPr>
        <w:t xml:space="preserve">, the Technology </w:t>
      </w:r>
      <w:r w:rsidR="00080A44">
        <w:rPr>
          <w:sz w:val="22"/>
          <w:szCs w:val="22"/>
        </w:rPr>
        <w:t xml:space="preserve">Layer </w:t>
      </w:r>
      <w:r w:rsidR="00745EB7">
        <w:rPr>
          <w:sz w:val="22"/>
          <w:szCs w:val="22"/>
        </w:rPr>
        <w:t>represents</w:t>
      </w:r>
      <w:r w:rsidR="00EA31DA" w:rsidRPr="00561D8B">
        <w:rPr>
          <w:sz w:val="22"/>
          <w:szCs w:val="22"/>
        </w:rPr>
        <w:t xml:space="preserve"> the Energy Information Technology Architecture (EITA) at DOE, and</w:t>
      </w:r>
      <w:r w:rsidR="00F764F5">
        <w:rPr>
          <w:sz w:val="22"/>
          <w:szCs w:val="22"/>
        </w:rPr>
        <w:t xml:space="preserve"> it has </w:t>
      </w:r>
      <w:r w:rsidR="00EA31DA" w:rsidRPr="00561D8B">
        <w:rPr>
          <w:sz w:val="22"/>
          <w:szCs w:val="22"/>
        </w:rPr>
        <w:t>four domains of Security, Infrastructure, Development, and Data.</w:t>
      </w:r>
      <w:r w:rsidR="00C3456B">
        <w:rPr>
          <w:sz w:val="22"/>
          <w:szCs w:val="22"/>
        </w:rPr>
        <w:t xml:space="preserve"> </w:t>
      </w:r>
      <w:r w:rsidR="00EA31DA" w:rsidRPr="00561D8B">
        <w:rPr>
          <w:color w:val="000000"/>
          <w:sz w:val="22"/>
          <w:szCs w:val="24"/>
        </w:rPr>
        <w:t xml:space="preserve">The EITA provides input into the DOE technology infrastructure by helping to identify a comprehensive set of </w:t>
      </w:r>
      <w:r w:rsidR="004D0515">
        <w:rPr>
          <w:color w:val="000000"/>
          <w:sz w:val="22"/>
          <w:szCs w:val="24"/>
        </w:rPr>
        <w:t>IT</w:t>
      </w:r>
      <w:r w:rsidR="00EA31DA" w:rsidRPr="00561D8B">
        <w:rPr>
          <w:color w:val="000000"/>
          <w:sz w:val="22"/>
          <w:szCs w:val="24"/>
        </w:rPr>
        <w:t xml:space="preserve"> standards, services, protocols, and products that define the target technical environment for the acquisition, development, and support of DOE information systems.</w:t>
      </w:r>
      <w:r w:rsidR="00EA31DA" w:rsidRPr="00561D8B">
        <w:rPr>
          <w:sz w:val="22"/>
          <w:szCs w:val="24"/>
        </w:rPr>
        <w:t xml:space="preserve"> </w:t>
      </w:r>
    </w:p>
    <w:p w:rsidR="007F2EC4" w:rsidRPr="007F2EC4" w:rsidRDefault="007F2EC4" w:rsidP="007F2EC4">
      <w:pPr>
        <w:pStyle w:val="ListParagraph"/>
        <w:keepNext/>
        <w:keepLines/>
        <w:numPr>
          <w:ilvl w:val="0"/>
          <w:numId w:val="30"/>
        </w:numPr>
        <w:spacing w:before="120" w:after="120"/>
        <w:contextualSpacing w:val="0"/>
        <w:jc w:val="left"/>
        <w:outlineLvl w:val="1"/>
        <w:rPr>
          <w:rFonts w:asciiTheme="majorHAnsi" w:hAnsiTheme="majorHAnsi" w:cs="Calibri"/>
          <w:b/>
          <w:bCs/>
          <w:vanish/>
          <w:color w:val="365F91"/>
          <w:sz w:val="28"/>
          <w:szCs w:val="26"/>
        </w:rPr>
      </w:pPr>
      <w:bookmarkStart w:id="233" w:name="_Toc286123515"/>
      <w:bookmarkStart w:id="234" w:name="_Toc286123594"/>
      <w:bookmarkStart w:id="235" w:name="_Toc286714962"/>
      <w:bookmarkStart w:id="236" w:name="_Toc286715070"/>
      <w:bookmarkStart w:id="237" w:name="_Toc286729205"/>
      <w:bookmarkStart w:id="238" w:name="_Toc286729320"/>
      <w:bookmarkStart w:id="239" w:name="_Toc286737810"/>
      <w:bookmarkStart w:id="240" w:name="_Toc286737917"/>
      <w:bookmarkStart w:id="241" w:name="_Toc286752729"/>
      <w:bookmarkStart w:id="242" w:name="_Toc286752837"/>
      <w:bookmarkStart w:id="243" w:name="_Toc286753621"/>
      <w:bookmarkEnd w:id="233"/>
      <w:bookmarkEnd w:id="234"/>
      <w:bookmarkEnd w:id="235"/>
      <w:bookmarkEnd w:id="236"/>
      <w:bookmarkEnd w:id="237"/>
      <w:bookmarkEnd w:id="238"/>
      <w:bookmarkEnd w:id="239"/>
      <w:bookmarkEnd w:id="240"/>
      <w:bookmarkEnd w:id="241"/>
      <w:bookmarkEnd w:id="242"/>
      <w:bookmarkEnd w:id="243"/>
    </w:p>
    <w:p w:rsidR="007F2EC4" w:rsidRPr="007F2EC4" w:rsidRDefault="007F2EC4" w:rsidP="007F2EC4">
      <w:pPr>
        <w:pStyle w:val="ListParagraph"/>
        <w:keepNext/>
        <w:keepLines/>
        <w:numPr>
          <w:ilvl w:val="1"/>
          <w:numId w:val="30"/>
        </w:numPr>
        <w:spacing w:before="120" w:after="120"/>
        <w:contextualSpacing w:val="0"/>
        <w:jc w:val="left"/>
        <w:outlineLvl w:val="1"/>
        <w:rPr>
          <w:rFonts w:asciiTheme="majorHAnsi" w:hAnsiTheme="majorHAnsi" w:cs="Calibri"/>
          <w:b/>
          <w:bCs/>
          <w:vanish/>
          <w:color w:val="365F91"/>
          <w:sz w:val="28"/>
          <w:szCs w:val="26"/>
        </w:rPr>
      </w:pPr>
      <w:bookmarkStart w:id="244" w:name="_Toc286752730"/>
      <w:bookmarkStart w:id="245" w:name="_Toc286752838"/>
      <w:bookmarkStart w:id="246" w:name="_Toc286753622"/>
      <w:bookmarkEnd w:id="244"/>
      <w:bookmarkEnd w:id="245"/>
      <w:bookmarkEnd w:id="246"/>
    </w:p>
    <w:p w:rsidR="007F2EC4" w:rsidRPr="007F2EC4" w:rsidRDefault="007F2EC4" w:rsidP="007F2EC4">
      <w:pPr>
        <w:pStyle w:val="ListParagraph"/>
        <w:keepNext/>
        <w:keepLines/>
        <w:numPr>
          <w:ilvl w:val="1"/>
          <w:numId w:val="30"/>
        </w:numPr>
        <w:spacing w:before="120" w:after="120"/>
        <w:contextualSpacing w:val="0"/>
        <w:jc w:val="left"/>
        <w:outlineLvl w:val="1"/>
        <w:rPr>
          <w:rFonts w:asciiTheme="majorHAnsi" w:hAnsiTheme="majorHAnsi" w:cs="Calibri"/>
          <w:b/>
          <w:bCs/>
          <w:vanish/>
          <w:color w:val="365F91"/>
          <w:sz w:val="28"/>
          <w:szCs w:val="26"/>
        </w:rPr>
      </w:pPr>
      <w:bookmarkStart w:id="247" w:name="_Toc286752731"/>
      <w:bookmarkStart w:id="248" w:name="_Toc286752839"/>
      <w:bookmarkStart w:id="249" w:name="_Toc286753623"/>
      <w:bookmarkEnd w:id="247"/>
      <w:bookmarkEnd w:id="248"/>
      <w:bookmarkEnd w:id="249"/>
    </w:p>
    <w:p w:rsidR="007F2EC4" w:rsidRPr="007F2EC4" w:rsidRDefault="007F2EC4" w:rsidP="007F2EC4">
      <w:pPr>
        <w:pStyle w:val="ListParagraph"/>
        <w:keepNext/>
        <w:keepLines/>
        <w:numPr>
          <w:ilvl w:val="1"/>
          <w:numId w:val="30"/>
        </w:numPr>
        <w:spacing w:before="120" w:after="120"/>
        <w:contextualSpacing w:val="0"/>
        <w:jc w:val="left"/>
        <w:outlineLvl w:val="1"/>
        <w:rPr>
          <w:rFonts w:asciiTheme="majorHAnsi" w:hAnsiTheme="majorHAnsi" w:cs="Calibri"/>
          <w:b/>
          <w:bCs/>
          <w:vanish/>
          <w:color w:val="365F91"/>
          <w:sz w:val="28"/>
          <w:szCs w:val="26"/>
        </w:rPr>
      </w:pPr>
      <w:bookmarkStart w:id="250" w:name="_Toc286752732"/>
      <w:bookmarkStart w:id="251" w:name="_Toc286752840"/>
      <w:bookmarkStart w:id="252" w:name="_Toc286753624"/>
      <w:bookmarkEnd w:id="250"/>
      <w:bookmarkEnd w:id="251"/>
      <w:bookmarkEnd w:id="252"/>
    </w:p>
    <w:p w:rsidR="007F2EC4" w:rsidRPr="007F2EC4" w:rsidRDefault="007F2EC4" w:rsidP="007F2EC4">
      <w:pPr>
        <w:pStyle w:val="ListParagraph"/>
        <w:keepNext/>
        <w:keepLines/>
        <w:numPr>
          <w:ilvl w:val="1"/>
          <w:numId w:val="30"/>
        </w:numPr>
        <w:spacing w:before="120" w:after="120"/>
        <w:contextualSpacing w:val="0"/>
        <w:jc w:val="left"/>
        <w:outlineLvl w:val="1"/>
        <w:rPr>
          <w:rFonts w:asciiTheme="majorHAnsi" w:hAnsiTheme="majorHAnsi" w:cs="Calibri"/>
          <w:b/>
          <w:bCs/>
          <w:vanish/>
          <w:color w:val="365F91"/>
          <w:sz w:val="28"/>
          <w:szCs w:val="26"/>
        </w:rPr>
      </w:pPr>
      <w:bookmarkStart w:id="253" w:name="_Toc286752733"/>
      <w:bookmarkStart w:id="254" w:name="_Toc286752841"/>
      <w:bookmarkStart w:id="255" w:name="_Toc286753625"/>
      <w:bookmarkEnd w:id="253"/>
      <w:bookmarkEnd w:id="254"/>
      <w:bookmarkEnd w:id="255"/>
    </w:p>
    <w:p w:rsidR="007F2EC4" w:rsidRPr="007F2EC4" w:rsidRDefault="007F2EC4" w:rsidP="007F2EC4">
      <w:pPr>
        <w:pStyle w:val="ListParagraph"/>
        <w:keepNext/>
        <w:keepLines/>
        <w:numPr>
          <w:ilvl w:val="1"/>
          <w:numId w:val="30"/>
        </w:numPr>
        <w:spacing w:before="120" w:after="120"/>
        <w:contextualSpacing w:val="0"/>
        <w:jc w:val="left"/>
        <w:outlineLvl w:val="1"/>
        <w:rPr>
          <w:rFonts w:asciiTheme="majorHAnsi" w:hAnsiTheme="majorHAnsi" w:cs="Calibri"/>
          <w:b/>
          <w:bCs/>
          <w:vanish/>
          <w:color w:val="365F91"/>
          <w:sz w:val="28"/>
          <w:szCs w:val="26"/>
        </w:rPr>
      </w:pPr>
      <w:bookmarkStart w:id="256" w:name="_Toc286752734"/>
      <w:bookmarkStart w:id="257" w:name="_Toc286752842"/>
      <w:bookmarkStart w:id="258" w:name="_Toc286753626"/>
      <w:bookmarkEnd w:id="256"/>
      <w:bookmarkEnd w:id="257"/>
      <w:bookmarkEnd w:id="258"/>
    </w:p>
    <w:p w:rsidR="007F2EC4" w:rsidRPr="007F2EC4" w:rsidRDefault="007F2EC4" w:rsidP="007F2EC4">
      <w:pPr>
        <w:pStyle w:val="ListParagraph"/>
        <w:keepNext/>
        <w:keepLines/>
        <w:numPr>
          <w:ilvl w:val="2"/>
          <w:numId w:val="30"/>
        </w:numPr>
        <w:spacing w:before="120" w:after="120"/>
        <w:contextualSpacing w:val="0"/>
        <w:jc w:val="left"/>
        <w:outlineLvl w:val="1"/>
        <w:rPr>
          <w:rFonts w:asciiTheme="majorHAnsi" w:hAnsiTheme="majorHAnsi" w:cs="Calibri"/>
          <w:b/>
          <w:bCs/>
          <w:vanish/>
          <w:color w:val="365F91"/>
          <w:sz w:val="28"/>
          <w:szCs w:val="26"/>
        </w:rPr>
      </w:pPr>
      <w:bookmarkStart w:id="259" w:name="_Toc286752735"/>
      <w:bookmarkStart w:id="260" w:name="_Toc286752843"/>
      <w:bookmarkStart w:id="261" w:name="_Toc286753627"/>
      <w:bookmarkEnd w:id="259"/>
      <w:bookmarkEnd w:id="260"/>
      <w:bookmarkEnd w:id="261"/>
    </w:p>
    <w:p w:rsidR="007F2EC4" w:rsidRPr="007F2EC4" w:rsidRDefault="007F2EC4" w:rsidP="007F2EC4">
      <w:pPr>
        <w:pStyle w:val="ListParagraph"/>
        <w:keepNext/>
        <w:keepLines/>
        <w:numPr>
          <w:ilvl w:val="2"/>
          <w:numId w:val="30"/>
        </w:numPr>
        <w:spacing w:before="120" w:after="120"/>
        <w:contextualSpacing w:val="0"/>
        <w:jc w:val="left"/>
        <w:outlineLvl w:val="1"/>
        <w:rPr>
          <w:rFonts w:asciiTheme="majorHAnsi" w:hAnsiTheme="majorHAnsi" w:cs="Calibri"/>
          <w:b/>
          <w:bCs/>
          <w:vanish/>
          <w:color w:val="365F91"/>
          <w:sz w:val="28"/>
          <w:szCs w:val="26"/>
        </w:rPr>
      </w:pPr>
      <w:bookmarkStart w:id="262" w:name="_Toc286752736"/>
      <w:bookmarkStart w:id="263" w:name="_Toc286752844"/>
      <w:bookmarkStart w:id="264" w:name="_Toc286753628"/>
      <w:bookmarkEnd w:id="262"/>
      <w:bookmarkEnd w:id="263"/>
      <w:bookmarkEnd w:id="264"/>
    </w:p>
    <w:p w:rsidR="007F2EC4" w:rsidRPr="007F2EC4" w:rsidRDefault="007F2EC4" w:rsidP="007F2EC4">
      <w:pPr>
        <w:pStyle w:val="ListParagraph"/>
        <w:keepNext/>
        <w:keepLines/>
        <w:numPr>
          <w:ilvl w:val="2"/>
          <w:numId w:val="30"/>
        </w:numPr>
        <w:spacing w:before="120" w:after="120"/>
        <w:contextualSpacing w:val="0"/>
        <w:jc w:val="left"/>
        <w:outlineLvl w:val="1"/>
        <w:rPr>
          <w:rFonts w:asciiTheme="majorHAnsi" w:hAnsiTheme="majorHAnsi" w:cs="Calibri"/>
          <w:b/>
          <w:bCs/>
          <w:vanish/>
          <w:color w:val="365F91"/>
          <w:sz w:val="28"/>
          <w:szCs w:val="26"/>
        </w:rPr>
      </w:pPr>
      <w:bookmarkStart w:id="265" w:name="_Toc286752737"/>
      <w:bookmarkStart w:id="266" w:name="_Toc286752845"/>
      <w:bookmarkStart w:id="267" w:name="_Toc286753629"/>
      <w:bookmarkEnd w:id="265"/>
      <w:bookmarkEnd w:id="266"/>
      <w:bookmarkEnd w:id="267"/>
    </w:p>
    <w:p w:rsidR="001A65F2" w:rsidRPr="00EC6BD9" w:rsidRDefault="00C3456B" w:rsidP="007F2EC4">
      <w:pPr>
        <w:pStyle w:val="Heading2"/>
        <w:numPr>
          <w:ilvl w:val="2"/>
          <w:numId w:val="30"/>
        </w:numPr>
        <w:spacing w:before="120" w:after="120"/>
        <w:jc w:val="left"/>
        <w:rPr>
          <w:rFonts w:asciiTheme="majorHAnsi" w:hAnsiTheme="majorHAnsi" w:cs="Calibri"/>
          <w:color w:val="365F91"/>
          <w:sz w:val="28"/>
        </w:rPr>
      </w:pPr>
      <w:r w:rsidRPr="00EC6BD9">
        <w:rPr>
          <w:rFonts w:asciiTheme="majorHAnsi" w:hAnsiTheme="majorHAnsi" w:cs="Calibri"/>
          <w:color w:val="365F91"/>
          <w:sz w:val="28"/>
        </w:rPr>
        <w:t xml:space="preserve"> </w:t>
      </w:r>
      <w:bookmarkStart w:id="268" w:name="_Toc286753630"/>
      <w:r w:rsidR="00A04CF0" w:rsidRPr="00EC6BD9">
        <w:rPr>
          <w:rFonts w:asciiTheme="majorHAnsi" w:hAnsiTheme="majorHAnsi" w:cs="Calibri"/>
          <w:color w:val="365F91"/>
          <w:sz w:val="28"/>
        </w:rPr>
        <w:t xml:space="preserve">DOE </w:t>
      </w:r>
      <w:r w:rsidR="00A31075" w:rsidRPr="00EC6BD9">
        <w:rPr>
          <w:rFonts w:asciiTheme="majorHAnsi" w:hAnsiTheme="majorHAnsi" w:cs="Calibri"/>
          <w:color w:val="365F91"/>
          <w:sz w:val="28"/>
        </w:rPr>
        <w:t>EA Baseline Segment</w:t>
      </w:r>
      <w:r w:rsidR="00912870" w:rsidRPr="00EC6BD9">
        <w:rPr>
          <w:rFonts w:asciiTheme="majorHAnsi" w:hAnsiTheme="majorHAnsi" w:cs="Calibri"/>
          <w:color w:val="365F91"/>
          <w:sz w:val="28"/>
        </w:rPr>
        <w:t>s</w:t>
      </w:r>
      <w:bookmarkEnd w:id="268"/>
    </w:p>
    <w:p w:rsidR="00790445" w:rsidRDefault="00F929E8" w:rsidP="00F764F5">
      <w:pPr>
        <w:pStyle w:val="PlainText"/>
        <w:spacing w:line="276" w:lineRule="auto"/>
        <w:ind w:left="0" w:firstLine="0"/>
        <w:jc w:val="left"/>
        <w:rPr>
          <w:sz w:val="22"/>
          <w:szCs w:val="24"/>
        </w:rPr>
      </w:pPr>
      <w:r>
        <w:rPr>
          <w:noProof/>
        </w:rPr>
        <w:drawing>
          <wp:anchor distT="0" distB="0" distL="114300" distR="114300" simplePos="0" relativeHeight="251671552" behindDoc="0" locked="0" layoutInCell="1" allowOverlap="1">
            <wp:simplePos x="0" y="0"/>
            <wp:positionH relativeFrom="margin">
              <wp:posOffset>2057400</wp:posOffset>
            </wp:positionH>
            <wp:positionV relativeFrom="margin">
              <wp:posOffset>4000500</wp:posOffset>
            </wp:positionV>
            <wp:extent cx="4095750" cy="2743200"/>
            <wp:effectExtent l="1905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srcRect/>
                    <a:stretch>
                      <a:fillRect/>
                    </a:stretch>
                  </pic:blipFill>
                  <pic:spPr bwMode="auto">
                    <a:xfrm>
                      <a:off x="0" y="0"/>
                      <a:ext cx="4095750" cy="2743200"/>
                    </a:xfrm>
                    <a:prstGeom prst="rect">
                      <a:avLst/>
                    </a:prstGeom>
                    <a:noFill/>
                    <a:ln w="9525">
                      <a:noFill/>
                      <a:miter lim="800000"/>
                      <a:headEnd/>
                      <a:tailEnd/>
                    </a:ln>
                  </pic:spPr>
                </pic:pic>
              </a:graphicData>
            </a:graphic>
          </wp:anchor>
        </w:drawing>
      </w:r>
      <w:r w:rsidR="00D52312" w:rsidRPr="00D52312">
        <w:rPr>
          <w:noProof/>
        </w:rPr>
        <w:pict>
          <v:shape id="_x0000_s1223" type="#_x0000_t202" style="position:absolute;margin-left:160.05pt;margin-top:287pt;width:322.8pt;height:14.05pt;z-index:251743232;mso-position-horizontal-relative:text;mso-position-vertical-relative:text" stroked="f">
            <v:textbox style="mso-fit-shape-to-text:t" inset="0,0,0,0">
              <w:txbxContent>
                <w:p w:rsidR="00F929E8" w:rsidRPr="00446A98" w:rsidRDefault="00F929E8" w:rsidP="00F764F5">
                  <w:pPr>
                    <w:pStyle w:val="Caption"/>
                    <w:jc w:val="center"/>
                    <w:rPr>
                      <w:rFonts w:cs="Calibri"/>
                      <w:noProof/>
                      <w:szCs w:val="21"/>
                    </w:rPr>
                  </w:pPr>
                  <w:bookmarkStart w:id="269" w:name="_Toc286762563"/>
                  <w:r>
                    <w:t xml:space="preserve">Figure </w:t>
                  </w:r>
                  <w:fldSimple w:instr=" SEQ Figure \* ARABIC ">
                    <w:r w:rsidR="00C068AF">
                      <w:rPr>
                        <w:noProof/>
                      </w:rPr>
                      <w:t>5</w:t>
                    </w:r>
                  </w:fldSimple>
                  <w:r>
                    <w:t xml:space="preserve"> - DOE EA Segments</w:t>
                  </w:r>
                  <w:bookmarkEnd w:id="269"/>
                </w:p>
              </w:txbxContent>
            </v:textbox>
            <w10:wrap type="square"/>
          </v:shape>
        </w:pict>
      </w:r>
      <w:r w:rsidR="00EE1C8E" w:rsidRPr="00EE1C8E">
        <w:rPr>
          <w:rFonts w:asciiTheme="minorHAnsi" w:hAnsiTheme="minorHAnsi" w:cs="Calibri"/>
          <w:sz w:val="22"/>
        </w:rPr>
        <w:t>T</w:t>
      </w:r>
      <w:r w:rsidR="00F764F5" w:rsidRPr="00EE1C8E">
        <w:rPr>
          <w:rFonts w:asciiTheme="minorHAnsi" w:hAnsiTheme="minorHAnsi" w:cs="Calibri"/>
          <w:sz w:val="22"/>
        </w:rPr>
        <w:t>he</w:t>
      </w:r>
      <w:r w:rsidR="00EE1C8E" w:rsidRPr="00EE1C8E">
        <w:rPr>
          <w:rFonts w:asciiTheme="minorHAnsi" w:hAnsiTheme="minorHAnsi" w:cs="Calibri"/>
          <w:sz w:val="22"/>
        </w:rPr>
        <w:t xml:space="preserve"> </w:t>
      </w:r>
      <w:r w:rsidR="000D4E2C" w:rsidRPr="00EE1C8E">
        <w:rPr>
          <w:rFonts w:asciiTheme="minorHAnsi" w:hAnsiTheme="minorHAnsi"/>
          <w:sz w:val="22"/>
          <w:szCs w:val="24"/>
        </w:rPr>
        <w:t>DOE’s Baseline E</w:t>
      </w:r>
      <w:r w:rsidR="005E65CA" w:rsidRPr="00EE1C8E">
        <w:rPr>
          <w:rFonts w:asciiTheme="minorHAnsi" w:hAnsiTheme="minorHAnsi"/>
          <w:sz w:val="22"/>
          <w:szCs w:val="24"/>
        </w:rPr>
        <w:t xml:space="preserve">A is organized into 16 segments </w:t>
      </w:r>
      <w:r w:rsidR="0079073B">
        <w:rPr>
          <w:rFonts w:asciiTheme="minorHAnsi" w:hAnsiTheme="minorHAnsi"/>
          <w:sz w:val="22"/>
          <w:szCs w:val="24"/>
        </w:rPr>
        <w:t xml:space="preserve">as shown in Figure </w:t>
      </w:r>
      <w:r>
        <w:rPr>
          <w:rFonts w:asciiTheme="minorHAnsi" w:hAnsiTheme="minorHAnsi"/>
          <w:sz w:val="22"/>
          <w:szCs w:val="24"/>
        </w:rPr>
        <w:t>5</w:t>
      </w:r>
      <w:r w:rsidR="0079073B">
        <w:rPr>
          <w:rFonts w:asciiTheme="minorHAnsi" w:hAnsiTheme="minorHAnsi"/>
          <w:sz w:val="22"/>
          <w:szCs w:val="24"/>
        </w:rPr>
        <w:t>.  They</w:t>
      </w:r>
      <w:r w:rsidR="000D4E2C" w:rsidRPr="00EE1C8E">
        <w:rPr>
          <w:rFonts w:asciiTheme="minorHAnsi" w:hAnsiTheme="minorHAnsi"/>
          <w:sz w:val="22"/>
          <w:szCs w:val="24"/>
        </w:rPr>
        <w:t xml:space="preserve"> were developed using </w:t>
      </w:r>
      <w:r w:rsidR="000D4E2C" w:rsidRPr="00EE1C8E">
        <w:rPr>
          <w:rFonts w:asciiTheme="minorHAnsi" w:hAnsiTheme="minorHAnsi"/>
          <w:sz w:val="22"/>
        </w:rPr>
        <w:t xml:space="preserve">the DOE EA </w:t>
      </w:r>
      <w:r>
        <w:rPr>
          <w:rFonts w:asciiTheme="minorHAnsi" w:hAnsiTheme="minorHAnsi"/>
          <w:sz w:val="22"/>
        </w:rPr>
        <w:t>f</w:t>
      </w:r>
      <w:r w:rsidR="000D4E2C" w:rsidRPr="00EE1C8E">
        <w:rPr>
          <w:rFonts w:asciiTheme="minorHAnsi" w:hAnsiTheme="minorHAnsi"/>
          <w:sz w:val="22"/>
        </w:rPr>
        <w:t>ramework and aligned to the current FEA Consolidated Reference Model (CRM).</w:t>
      </w:r>
      <w:r w:rsidR="00C3456B" w:rsidRPr="00EE1C8E">
        <w:rPr>
          <w:rFonts w:asciiTheme="minorHAnsi" w:hAnsiTheme="minorHAnsi"/>
          <w:sz w:val="22"/>
        </w:rPr>
        <w:t xml:space="preserve"> </w:t>
      </w:r>
      <w:r w:rsidR="000D4E2C" w:rsidRPr="00EE1C8E">
        <w:rPr>
          <w:rFonts w:asciiTheme="minorHAnsi" w:hAnsiTheme="minorHAnsi"/>
          <w:sz w:val="22"/>
        </w:rPr>
        <w:t xml:space="preserve">The consistent use of this framework, methodology, and reference models has resulted in better accuracy and a common understanding of any given segment architecture, as well as the line-of-sight from EA components to DOE Mission outcomes. </w:t>
      </w:r>
      <w:r w:rsidR="000D4E2C" w:rsidRPr="00EE1C8E">
        <w:rPr>
          <w:rFonts w:asciiTheme="minorHAnsi" w:hAnsiTheme="minorHAnsi"/>
          <w:sz w:val="22"/>
          <w:szCs w:val="24"/>
        </w:rPr>
        <w:t xml:space="preserve">The 16 segment architectures </w:t>
      </w:r>
      <w:r w:rsidR="0079073B">
        <w:rPr>
          <w:rFonts w:asciiTheme="minorHAnsi" w:hAnsiTheme="minorHAnsi"/>
          <w:sz w:val="22"/>
          <w:szCs w:val="24"/>
        </w:rPr>
        <w:t xml:space="preserve">and their related </w:t>
      </w:r>
      <w:r w:rsidR="00727EB1">
        <w:rPr>
          <w:rFonts w:asciiTheme="minorHAnsi" w:hAnsiTheme="minorHAnsi"/>
          <w:sz w:val="22"/>
          <w:szCs w:val="24"/>
        </w:rPr>
        <w:t>investment</w:t>
      </w:r>
      <w:r>
        <w:rPr>
          <w:rFonts w:asciiTheme="minorHAnsi" w:hAnsiTheme="minorHAnsi"/>
          <w:sz w:val="22"/>
          <w:szCs w:val="24"/>
        </w:rPr>
        <w:t>s</w:t>
      </w:r>
      <w:r w:rsidR="00727EB1">
        <w:rPr>
          <w:rFonts w:asciiTheme="minorHAnsi" w:hAnsiTheme="minorHAnsi"/>
          <w:sz w:val="22"/>
          <w:szCs w:val="24"/>
        </w:rPr>
        <w:t xml:space="preserve"> are</w:t>
      </w:r>
      <w:r w:rsidR="000D4E2C" w:rsidRPr="00EE1C8E">
        <w:rPr>
          <w:rFonts w:asciiTheme="minorHAnsi" w:hAnsiTheme="minorHAnsi"/>
          <w:sz w:val="22"/>
          <w:szCs w:val="24"/>
        </w:rPr>
        <w:t xml:space="preserve"> </w:t>
      </w:r>
      <w:r w:rsidR="00727EB1">
        <w:rPr>
          <w:rFonts w:asciiTheme="minorHAnsi" w:hAnsiTheme="minorHAnsi"/>
          <w:sz w:val="22"/>
          <w:szCs w:val="24"/>
        </w:rPr>
        <w:t xml:space="preserve">profiled </w:t>
      </w:r>
      <w:r w:rsidR="00727EB1" w:rsidRPr="00EE1C8E">
        <w:rPr>
          <w:rFonts w:asciiTheme="minorHAnsi" w:hAnsiTheme="minorHAnsi"/>
          <w:sz w:val="22"/>
          <w:szCs w:val="24"/>
        </w:rPr>
        <w:t>in</w:t>
      </w:r>
      <w:r w:rsidR="000D4E2C" w:rsidRPr="00EE1C8E">
        <w:rPr>
          <w:rFonts w:asciiTheme="minorHAnsi" w:hAnsiTheme="minorHAnsi"/>
          <w:sz w:val="22"/>
          <w:szCs w:val="24"/>
        </w:rPr>
        <w:t xml:space="preserve"> </w:t>
      </w:r>
      <w:r w:rsidR="0079073B">
        <w:rPr>
          <w:rFonts w:asciiTheme="minorHAnsi" w:hAnsiTheme="minorHAnsi"/>
          <w:sz w:val="22"/>
          <w:szCs w:val="24"/>
        </w:rPr>
        <w:t>greater</w:t>
      </w:r>
      <w:r w:rsidR="000D4E2C" w:rsidRPr="00EE1C8E">
        <w:rPr>
          <w:rFonts w:asciiTheme="minorHAnsi" w:hAnsiTheme="minorHAnsi"/>
          <w:sz w:val="22"/>
          <w:szCs w:val="24"/>
        </w:rPr>
        <w:t xml:space="preserve"> detail in Appendix </w:t>
      </w:r>
      <w:r>
        <w:rPr>
          <w:rFonts w:asciiTheme="minorHAnsi" w:hAnsiTheme="minorHAnsi"/>
          <w:sz w:val="22"/>
          <w:szCs w:val="24"/>
        </w:rPr>
        <w:t>C</w:t>
      </w:r>
      <w:r w:rsidR="005E65CA" w:rsidRPr="00EE1C8E">
        <w:rPr>
          <w:rFonts w:asciiTheme="minorHAnsi" w:hAnsiTheme="minorHAnsi"/>
          <w:sz w:val="22"/>
          <w:szCs w:val="24"/>
        </w:rPr>
        <w:t>.</w:t>
      </w:r>
      <w:r w:rsidR="00C3456B" w:rsidRPr="00EE1C8E">
        <w:rPr>
          <w:rFonts w:asciiTheme="minorHAnsi" w:hAnsiTheme="minorHAnsi"/>
          <w:sz w:val="22"/>
          <w:szCs w:val="24"/>
        </w:rPr>
        <w:t xml:space="preserve"> </w:t>
      </w:r>
      <w:r w:rsidR="005E65CA" w:rsidRPr="00EE1C8E">
        <w:rPr>
          <w:rFonts w:asciiTheme="minorHAnsi" w:hAnsiTheme="minorHAnsi"/>
          <w:sz w:val="22"/>
          <w:szCs w:val="24"/>
        </w:rPr>
        <w:t>Th</w:t>
      </w:r>
      <w:r w:rsidR="0079073B">
        <w:rPr>
          <w:rFonts w:asciiTheme="minorHAnsi" w:hAnsiTheme="minorHAnsi"/>
          <w:sz w:val="22"/>
          <w:szCs w:val="24"/>
        </w:rPr>
        <w:t>is</w:t>
      </w:r>
      <w:r w:rsidR="005E65CA" w:rsidRPr="00EE1C8E">
        <w:rPr>
          <w:rFonts w:asciiTheme="minorHAnsi" w:hAnsiTheme="minorHAnsi"/>
          <w:sz w:val="22"/>
          <w:szCs w:val="24"/>
        </w:rPr>
        <w:t xml:space="preserve"> </w:t>
      </w:r>
      <w:r w:rsidR="0079073B">
        <w:rPr>
          <w:rFonts w:asciiTheme="minorHAnsi" w:hAnsiTheme="minorHAnsi"/>
          <w:sz w:val="22"/>
          <w:szCs w:val="24"/>
        </w:rPr>
        <w:t>A</w:t>
      </w:r>
      <w:r w:rsidR="005E65CA" w:rsidRPr="00EE1C8E">
        <w:rPr>
          <w:rFonts w:asciiTheme="minorHAnsi" w:hAnsiTheme="minorHAnsi"/>
          <w:sz w:val="22"/>
          <w:szCs w:val="24"/>
        </w:rPr>
        <w:t>ppendix provides views of the DOE’s FY</w:t>
      </w:r>
      <w:r w:rsidR="00EC6BD9">
        <w:rPr>
          <w:rFonts w:asciiTheme="minorHAnsi" w:hAnsiTheme="minorHAnsi"/>
          <w:sz w:val="22"/>
          <w:szCs w:val="24"/>
        </w:rPr>
        <w:t xml:space="preserve"> </w:t>
      </w:r>
      <w:r w:rsidR="005E65CA" w:rsidRPr="00EE1C8E">
        <w:rPr>
          <w:rFonts w:asciiTheme="minorHAnsi" w:hAnsiTheme="minorHAnsi"/>
          <w:sz w:val="22"/>
          <w:szCs w:val="24"/>
        </w:rPr>
        <w:t>2012 investment portfolio from a segment perspective, including the number of investments by PSO</w:t>
      </w:r>
      <w:r w:rsidR="00EC6BD9">
        <w:rPr>
          <w:rFonts w:asciiTheme="minorHAnsi" w:hAnsiTheme="minorHAnsi"/>
          <w:sz w:val="22"/>
          <w:szCs w:val="24"/>
        </w:rPr>
        <w:t xml:space="preserve">; </w:t>
      </w:r>
      <w:r w:rsidR="005E65CA" w:rsidRPr="00EE1C8E">
        <w:rPr>
          <w:rFonts w:asciiTheme="minorHAnsi" w:hAnsiTheme="minorHAnsi"/>
          <w:sz w:val="22"/>
          <w:szCs w:val="24"/>
        </w:rPr>
        <w:t>amount of funding allocated to each segment</w:t>
      </w:r>
      <w:r w:rsidR="00EC6BD9">
        <w:rPr>
          <w:rFonts w:asciiTheme="minorHAnsi" w:hAnsiTheme="minorHAnsi"/>
          <w:sz w:val="22"/>
          <w:szCs w:val="24"/>
        </w:rPr>
        <w:t>;</w:t>
      </w:r>
      <w:r w:rsidR="005E65CA" w:rsidRPr="00EE1C8E">
        <w:rPr>
          <w:rFonts w:asciiTheme="minorHAnsi" w:hAnsiTheme="minorHAnsi"/>
          <w:sz w:val="22"/>
          <w:szCs w:val="24"/>
        </w:rPr>
        <w:t xml:space="preserve"> and development, modernization, and enhancement (DME) and steady state funding trends.</w:t>
      </w:r>
      <w:r w:rsidR="00912870" w:rsidRPr="00EE1C8E">
        <w:rPr>
          <w:rFonts w:asciiTheme="minorHAnsi" w:hAnsiTheme="minorHAnsi"/>
          <w:sz w:val="22"/>
          <w:szCs w:val="24"/>
        </w:rPr>
        <w:t xml:space="preserve"> </w:t>
      </w:r>
      <w:r w:rsidR="000D4E2C" w:rsidRPr="00EE1C8E">
        <w:rPr>
          <w:rFonts w:asciiTheme="minorHAnsi" w:hAnsiTheme="minorHAnsi"/>
          <w:sz w:val="22"/>
          <w:szCs w:val="24"/>
        </w:rPr>
        <w:t xml:space="preserve">Figure </w:t>
      </w:r>
      <w:r>
        <w:rPr>
          <w:rFonts w:asciiTheme="minorHAnsi" w:hAnsiTheme="minorHAnsi"/>
          <w:sz w:val="22"/>
          <w:szCs w:val="24"/>
        </w:rPr>
        <w:t>5</w:t>
      </w:r>
      <w:r w:rsidR="001D3427" w:rsidRPr="00EE1C8E">
        <w:rPr>
          <w:rFonts w:asciiTheme="minorHAnsi" w:hAnsiTheme="minorHAnsi"/>
          <w:sz w:val="22"/>
          <w:szCs w:val="24"/>
        </w:rPr>
        <w:t xml:space="preserve"> </w:t>
      </w:r>
      <w:r w:rsidR="005E65CA" w:rsidRPr="00EE1C8E">
        <w:rPr>
          <w:rFonts w:asciiTheme="minorHAnsi" w:hAnsiTheme="minorHAnsi"/>
          <w:sz w:val="22"/>
          <w:szCs w:val="24"/>
        </w:rPr>
        <w:t xml:space="preserve">summarizes the </w:t>
      </w:r>
      <w:r w:rsidR="001A483E" w:rsidRPr="00EE1C8E">
        <w:rPr>
          <w:rFonts w:asciiTheme="minorHAnsi" w:hAnsiTheme="minorHAnsi"/>
          <w:sz w:val="22"/>
          <w:szCs w:val="24"/>
        </w:rPr>
        <w:t>Department</w:t>
      </w:r>
      <w:r w:rsidR="005E65CA" w:rsidRPr="00EE1C8E">
        <w:rPr>
          <w:rFonts w:asciiTheme="minorHAnsi" w:hAnsiTheme="minorHAnsi"/>
          <w:sz w:val="22"/>
          <w:szCs w:val="24"/>
        </w:rPr>
        <w:t>’s 16 segments: four Core Mission, six Business Service, and six</w:t>
      </w:r>
      <w:r w:rsidR="000D4E2C" w:rsidRPr="00EE1C8E">
        <w:rPr>
          <w:rFonts w:asciiTheme="minorHAnsi" w:hAnsiTheme="minorHAnsi"/>
          <w:sz w:val="22"/>
          <w:szCs w:val="24"/>
        </w:rPr>
        <w:t xml:space="preserve"> Enterprise Service segments.</w:t>
      </w:r>
      <w:r w:rsidR="00C3456B" w:rsidRPr="00EE1C8E">
        <w:rPr>
          <w:rFonts w:asciiTheme="minorHAnsi" w:hAnsiTheme="minorHAnsi"/>
          <w:sz w:val="22"/>
          <w:szCs w:val="24"/>
        </w:rPr>
        <w:t xml:space="preserve"> </w:t>
      </w:r>
      <w:r w:rsidR="004C570A" w:rsidRPr="00EE1C8E">
        <w:rPr>
          <w:rFonts w:asciiTheme="minorHAnsi" w:hAnsiTheme="minorHAnsi"/>
          <w:sz w:val="22"/>
          <w:szCs w:val="24"/>
        </w:rPr>
        <w:t xml:space="preserve">These three types of segments are defined in Table </w:t>
      </w:r>
      <w:r w:rsidR="000A74AD" w:rsidRPr="00EE1C8E">
        <w:rPr>
          <w:rFonts w:asciiTheme="minorHAnsi" w:hAnsiTheme="minorHAnsi"/>
          <w:sz w:val="22"/>
          <w:szCs w:val="24"/>
        </w:rPr>
        <w:t xml:space="preserve">1 </w:t>
      </w:r>
      <w:r w:rsidR="004C570A" w:rsidRPr="00EE1C8E">
        <w:rPr>
          <w:rFonts w:asciiTheme="minorHAnsi" w:hAnsiTheme="minorHAnsi"/>
          <w:sz w:val="22"/>
          <w:szCs w:val="24"/>
        </w:rPr>
        <w:t>below.</w:t>
      </w:r>
      <w:r w:rsidR="000D4E2C" w:rsidRPr="00561D8B">
        <w:rPr>
          <w:sz w:val="22"/>
          <w:szCs w:val="24"/>
        </w:rPr>
        <w:t xml:space="preserve"> </w:t>
      </w:r>
    </w:p>
    <w:p w:rsidR="00912870" w:rsidRDefault="00912870" w:rsidP="00912870">
      <w:pPr>
        <w:ind w:left="0" w:firstLine="0"/>
        <w:jc w:val="left"/>
        <w:rPr>
          <w:sz w:val="22"/>
          <w:szCs w:val="24"/>
        </w:rPr>
      </w:pPr>
    </w:p>
    <w:p w:rsidR="00B07B21" w:rsidRDefault="00B07B21">
      <w:pPr>
        <w:spacing w:line="240" w:lineRule="auto"/>
        <w:ind w:left="0" w:firstLine="0"/>
        <w:jc w:val="left"/>
        <w:rPr>
          <w:b/>
        </w:rPr>
      </w:pPr>
      <w:r>
        <w:rPr>
          <w:b/>
        </w:rPr>
        <w:br w:type="page"/>
      </w:r>
    </w:p>
    <w:p w:rsidR="005F77F2" w:rsidRPr="005E65CA" w:rsidRDefault="005F77F2" w:rsidP="005E65CA">
      <w:pPr>
        <w:spacing w:after="120"/>
        <w:ind w:left="0" w:firstLine="0"/>
        <w:jc w:val="center"/>
        <w:rPr>
          <w:b/>
        </w:rPr>
      </w:pPr>
      <w:r w:rsidRPr="005E65CA">
        <w:rPr>
          <w:b/>
        </w:rPr>
        <w:t xml:space="preserve">Table </w:t>
      </w:r>
      <w:r w:rsidR="00D52312" w:rsidRPr="005E65CA">
        <w:rPr>
          <w:b/>
        </w:rPr>
        <w:fldChar w:fldCharType="begin"/>
      </w:r>
      <w:r w:rsidRPr="005E65CA">
        <w:rPr>
          <w:b/>
        </w:rPr>
        <w:instrText xml:space="preserve"> SEQ Table \* ARABIC </w:instrText>
      </w:r>
      <w:r w:rsidR="00D52312" w:rsidRPr="005E65CA">
        <w:rPr>
          <w:b/>
        </w:rPr>
        <w:fldChar w:fldCharType="separate"/>
      </w:r>
      <w:r w:rsidR="00C068AF">
        <w:rPr>
          <w:b/>
          <w:noProof/>
        </w:rPr>
        <w:t>1</w:t>
      </w:r>
      <w:r w:rsidR="00D52312" w:rsidRPr="005E65CA">
        <w:rPr>
          <w:b/>
        </w:rPr>
        <w:fldChar w:fldCharType="end"/>
      </w:r>
      <w:r w:rsidRPr="005E65CA">
        <w:rPr>
          <w:b/>
        </w:rPr>
        <w:t>- Definitions of the Segment Architecture Types</w:t>
      </w:r>
    </w:p>
    <w:tbl>
      <w:tblPr>
        <w:tblW w:w="0" w:type="auto"/>
        <w:tblBorders>
          <w:top w:val="single" w:sz="8" w:space="0" w:color="4F81BD"/>
          <w:bottom w:val="single" w:sz="8" w:space="0" w:color="4F81BD"/>
        </w:tblBorders>
        <w:tblLook w:val="04A0"/>
      </w:tblPr>
      <w:tblGrid>
        <w:gridCol w:w="1728"/>
        <w:gridCol w:w="7848"/>
      </w:tblGrid>
      <w:tr w:rsidR="00BF6F1F" w:rsidRPr="00971782" w:rsidTr="005E65CA">
        <w:tc>
          <w:tcPr>
            <w:tcW w:w="1728" w:type="dxa"/>
            <w:tcBorders>
              <w:top w:val="single" w:sz="8" w:space="0" w:color="4F81BD"/>
              <w:left w:val="nil"/>
              <w:bottom w:val="single" w:sz="8" w:space="0" w:color="4F81BD"/>
              <w:right w:val="nil"/>
            </w:tcBorders>
          </w:tcPr>
          <w:p w:rsidR="00BF6F1F" w:rsidRPr="00A71A79" w:rsidRDefault="00EE1C92" w:rsidP="005E65CA">
            <w:pPr>
              <w:spacing w:after="120"/>
              <w:ind w:left="0" w:firstLine="0"/>
              <w:jc w:val="center"/>
              <w:rPr>
                <w:rFonts w:cs="Times New Roman"/>
                <w:b/>
                <w:bCs/>
                <w:color w:val="365F91"/>
                <w:sz w:val="18"/>
                <w:szCs w:val="18"/>
              </w:rPr>
            </w:pPr>
            <w:r w:rsidRPr="00A71A79">
              <w:rPr>
                <w:rFonts w:cs="Times New Roman"/>
                <w:b/>
                <w:bCs/>
                <w:color w:val="365F91"/>
                <w:sz w:val="18"/>
                <w:szCs w:val="18"/>
              </w:rPr>
              <w:t>Segment Type</w:t>
            </w:r>
          </w:p>
        </w:tc>
        <w:tc>
          <w:tcPr>
            <w:tcW w:w="7848" w:type="dxa"/>
            <w:tcBorders>
              <w:top w:val="single" w:sz="8" w:space="0" w:color="4F81BD"/>
              <w:left w:val="nil"/>
              <w:bottom w:val="single" w:sz="8" w:space="0" w:color="4F81BD"/>
              <w:right w:val="nil"/>
            </w:tcBorders>
          </w:tcPr>
          <w:p w:rsidR="00BF6F1F" w:rsidRPr="00A71A79" w:rsidRDefault="00EE1C92" w:rsidP="005E65CA">
            <w:pPr>
              <w:ind w:left="0" w:firstLine="0"/>
              <w:jc w:val="center"/>
              <w:rPr>
                <w:rFonts w:cs="Times New Roman"/>
                <w:b/>
                <w:bCs/>
                <w:color w:val="365F91"/>
                <w:sz w:val="18"/>
                <w:szCs w:val="18"/>
              </w:rPr>
            </w:pPr>
            <w:r w:rsidRPr="00A71A79">
              <w:rPr>
                <w:rFonts w:cs="Times New Roman"/>
                <w:b/>
                <w:bCs/>
                <w:color w:val="365F91"/>
                <w:sz w:val="18"/>
                <w:szCs w:val="18"/>
              </w:rPr>
              <w:t>Description</w:t>
            </w:r>
          </w:p>
        </w:tc>
      </w:tr>
      <w:tr w:rsidR="0003183A" w:rsidRPr="00971782" w:rsidTr="005E65CA">
        <w:tc>
          <w:tcPr>
            <w:tcW w:w="1728" w:type="dxa"/>
            <w:tcBorders>
              <w:left w:val="nil"/>
              <w:right w:val="nil"/>
            </w:tcBorders>
            <w:shd w:val="clear" w:color="auto" w:fill="D3DFEE"/>
          </w:tcPr>
          <w:p w:rsidR="0003183A" w:rsidRPr="00A71A79" w:rsidRDefault="0003183A" w:rsidP="00971782">
            <w:pPr>
              <w:spacing w:after="120"/>
              <w:ind w:left="0" w:firstLine="0"/>
              <w:jc w:val="left"/>
              <w:rPr>
                <w:rFonts w:cs="Times New Roman"/>
                <w:b/>
                <w:bCs/>
                <w:color w:val="365F91"/>
                <w:sz w:val="18"/>
                <w:szCs w:val="18"/>
              </w:rPr>
            </w:pPr>
            <w:r w:rsidRPr="00A71A79">
              <w:rPr>
                <w:rFonts w:cs="Times New Roman"/>
                <w:b/>
                <w:bCs/>
                <w:color w:val="365F91"/>
                <w:sz w:val="18"/>
                <w:szCs w:val="18"/>
              </w:rPr>
              <w:t>Core Mission</w:t>
            </w:r>
          </w:p>
        </w:tc>
        <w:tc>
          <w:tcPr>
            <w:tcW w:w="7848" w:type="dxa"/>
            <w:tcBorders>
              <w:left w:val="nil"/>
              <w:right w:val="nil"/>
            </w:tcBorders>
            <w:shd w:val="clear" w:color="auto" w:fill="D3DFEE"/>
          </w:tcPr>
          <w:p w:rsidR="0003183A" w:rsidRPr="00A71A79" w:rsidRDefault="0003183A" w:rsidP="00971782">
            <w:pPr>
              <w:ind w:left="0" w:firstLine="0"/>
              <w:jc w:val="left"/>
              <w:rPr>
                <w:rFonts w:cs="Times New Roman"/>
                <w:color w:val="365F91"/>
                <w:sz w:val="18"/>
                <w:szCs w:val="18"/>
              </w:rPr>
            </w:pPr>
            <w:r w:rsidRPr="00A71A79">
              <w:rPr>
                <w:rFonts w:eastAsia="Times New Roman"/>
                <w:bCs/>
                <w:color w:val="365F91"/>
                <w:sz w:val="18"/>
                <w:szCs w:val="18"/>
              </w:rPr>
              <w:t>Unique service areas that define the mission or purpose of the agency.</w:t>
            </w:r>
            <w:r w:rsidR="00C3456B">
              <w:rPr>
                <w:rFonts w:eastAsia="Times New Roman"/>
                <w:bCs/>
                <w:color w:val="365F91"/>
                <w:sz w:val="18"/>
                <w:szCs w:val="18"/>
              </w:rPr>
              <w:t xml:space="preserve"> </w:t>
            </w:r>
            <w:r w:rsidRPr="00A71A79">
              <w:rPr>
                <w:rFonts w:eastAsia="Times New Roman"/>
                <w:bCs/>
                <w:color w:val="365F91"/>
                <w:sz w:val="18"/>
                <w:szCs w:val="18"/>
              </w:rPr>
              <w:t>Core Mission Areas are defined by the agency business model (e.g., tactical defense, air transportation, energy supply, pollution prevention and control, and emergency response).</w:t>
            </w:r>
          </w:p>
        </w:tc>
      </w:tr>
      <w:tr w:rsidR="0003183A" w:rsidRPr="00971782" w:rsidTr="005E65CA">
        <w:tc>
          <w:tcPr>
            <w:tcW w:w="1728" w:type="dxa"/>
          </w:tcPr>
          <w:p w:rsidR="0003183A" w:rsidRPr="00A71A79" w:rsidRDefault="004C570A" w:rsidP="00971782">
            <w:pPr>
              <w:spacing w:after="120"/>
              <w:ind w:left="0" w:firstLine="0"/>
              <w:jc w:val="left"/>
              <w:rPr>
                <w:rFonts w:cs="Times New Roman"/>
                <w:b/>
                <w:bCs/>
                <w:color w:val="365F91"/>
                <w:sz w:val="18"/>
                <w:szCs w:val="18"/>
              </w:rPr>
            </w:pPr>
            <w:r w:rsidRPr="00A71A79">
              <w:rPr>
                <w:rFonts w:cs="Times New Roman"/>
                <w:b/>
                <w:bCs/>
                <w:color w:val="365F91"/>
                <w:sz w:val="18"/>
                <w:szCs w:val="18"/>
              </w:rPr>
              <w:t>Business Service</w:t>
            </w:r>
          </w:p>
        </w:tc>
        <w:tc>
          <w:tcPr>
            <w:tcW w:w="7848" w:type="dxa"/>
          </w:tcPr>
          <w:p w:rsidR="0003183A" w:rsidRPr="00A71A79" w:rsidRDefault="004C570A" w:rsidP="00971782">
            <w:pPr>
              <w:ind w:left="0" w:firstLine="0"/>
              <w:jc w:val="left"/>
              <w:rPr>
                <w:rFonts w:cs="Times New Roman"/>
                <w:color w:val="365F91"/>
                <w:sz w:val="18"/>
                <w:szCs w:val="18"/>
              </w:rPr>
            </w:pPr>
            <w:r w:rsidRPr="00A71A79">
              <w:rPr>
                <w:rFonts w:eastAsia="Times New Roman"/>
                <w:bCs/>
                <w:color w:val="365F91"/>
                <w:sz w:val="18"/>
                <w:szCs w:val="18"/>
              </w:rPr>
              <w:t>Defined by the agency business model, business services include the foundational mechanisms and back office services used to achieve the purpose of the agency, e.g., inspections and auditing, direct loans, program monitoring, and financial management.</w:t>
            </w:r>
          </w:p>
        </w:tc>
      </w:tr>
      <w:tr w:rsidR="0003183A" w:rsidRPr="00971782" w:rsidTr="005E65CA">
        <w:tc>
          <w:tcPr>
            <w:tcW w:w="1728" w:type="dxa"/>
            <w:tcBorders>
              <w:left w:val="nil"/>
              <w:right w:val="nil"/>
            </w:tcBorders>
            <w:shd w:val="clear" w:color="auto" w:fill="D3DFEE"/>
          </w:tcPr>
          <w:p w:rsidR="0003183A" w:rsidRPr="00A71A79" w:rsidRDefault="004C570A" w:rsidP="00971782">
            <w:pPr>
              <w:spacing w:after="120"/>
              <w:ind w:left="0" w:firstLine="0"/>
              <w:jc w:val="left"/>
              <w:rPr>
                <w:rFonts w:cs="Times New Roman"/>
                <w:b/>
                <w:bCs/>
                <w:color w:val="365F91"/>
                <w:sz w:val="18"/>
                <w:szCs w:val="18"/>
              </w:rPr>
            </w:pPr>
            <w:r w:rsidRPr="00A71A79">
              <w:rPr>
                <w:rFonts w:cs="Times New Roman"/>
                <w:b/>
                <w:bCs/>
                <w:color w:val="365F91"/>
                <w:sz w:val="18"/>
                <w:szCs w:val="18"/>
              </w:rPr>
              <w:t>Enterprise Service</w:t>
            </w:r>
          </w:p>
        </w:tc>
        <w:tc>
          <w:tcPr>
            <w:tcW w:w="7848" w:type="dxa"/>
            <w:tcBorders>
              <w:left w:val="nil"/>
              <w:right w:val="nil"/>
            </w:tcBorders>
            <w:shd w:val="clear" w:color="auto" w:fill="D3DFEE"/>
          </w:tcPr>
          <w:p w:rsidR="0003183A" w:rsidRPr="00A71A79" w:rsidRDefault="004C570A" w:rsidP="00971782">
            <w:pPr>
              <w:ind w:left="0" w:firstLine="0"/>
              <w:jc w:val="left"/>
              <w:rPr>
                <w:rFonts w:cs="Times New Roman"/>
                <w:color w:val="365F91"/>
                <w:sz w:val="18"/>
                <w:szCs w:val="18"/>
              </w:rPr>
            </w:pPr>
            <w:r w:rsidRPr="00A71A79">
              <w:rPr>
                <w:rFonts w:eastAsia="Times New Roman"/>
                <w:bCs/>
                <w:color w:val="365F91"/>
                <w:sz w:val="18"/>
                <w:szCs w:val="18"/>
              </w:rPr>
              <w:t>Common or shared IT services that support core mission areas and business services.</w:t>
            </w:r>
            <w:r w:rsidR="00C3456B">
              <w:rPr>
                <w:rFonts w:eastAsia="Times New Roman"/>
                <w:bCs/>
                <w:color w:val="365F91"/>
                <w:sz w:val="18"/>
                <w:szCs w:val="18"/>
              </w:rPr>
              <w:t xml:space="preserve"> </w:t>
            </w:r>
            <w:r w:rsidRPr="00A71A79">
              <w:rPr>
                <w:rFonts w:eastAsia="Times New Roman"/>
                <w:bCs/>
                <w:color w:val="365F91"/>
                <w:sz w:val="18"/>
                <w:szCs w:val="18"/>
              </w:rPr>
              <w:t>Enterprise services are defined by the agency service component model and include the applications and service components used to achieve the purpose of the agency (e.g., knowledge management, records management, mapping/GIS, business intelligence, and reporting).</w:t>
            </w:r>
          </w:p>
        </w:tc>
      </w:tr>
    </w:tbl>
    <w:p w:rsidR="005E65CA" w:rsidRPr="005E65CA" w:rsidRDefault="005E65CA" w:rsidP="005E65CA">
      <w:pPr>
        <w:pStyle w:val="Heading1"/>
        <w:spacing w:before="120" w:after="120"/>
        <w:ind w:left="360" w:firstLine="0"/>
        <w:jc w:val="left"/>
        <w:rPr>
          <w:rFonts w:ascii="Calibri" w:hAnsi="Calibri" w:cs="Calibri"/>
          <w:color w:val="548DD4"/>
        </w:rPr>
      </w:pPr>
      <w:bookmarkStart w:id="270" w:name="_Toc285548172"/>
      <w:bookmarkStart w:id="271" w:name="_Toc285522907"/>
    </w:p>
    <w:p w:rsidR="00080A44" w:rsidRPr="003D7AAC" w:rsidRDefault="00080A44" w:rsidP="009E3804">
      <w:pPr>
        <w:pStyle w:val="Heading2"/>
        <w:numPr>
          <w:ilvl w:val="0"/>
          <w:numId w:val="30"/>
        </w:numPr>
        <w:spacing w:before="120" w:after="120"/>
        <w:jc w:val="left"/>
        <w:rPr>
          <w:rFonts w:asciiTheme="majorHAnsi" w:hAnsiTheme="majorHAnsi" w:cs="Calibri"/>
          <w:color w:val="365F91"/>
          <w:sz w:val="28"/>
        </w:rPr>
      </w:pPr>
      <w:bookmarkStart w:id="272" w:name="_Toc285548179"/>
      <w:bookmarkStart w:id="273" w:name="_Toc286753631"/>
      <w:bookmarkEnd w:id="270"/>
      <w:r w:rsidRPr="003D7AAC">
        <w:rPr>
          <w:rFonts w:asciiTheme="majorHAnsi" w:hAnsiTheme="majorHAnsi" w:cs="Calibri"/>
          <w:color w:val="365F91"/>
          <w:sz w:val="28"/>
        </w:rPr>
        <w:t>Strategic Change Drivers</w:t>
      </w:r>
      <w:bookmarkEnd w:id="272"/>
      <w:r w:rsidRPr="003D7AAC">
        <w:rPr>
          <w:rFonts w:asciiTheme="majorHAnsi" w:hAnsiTheme="majorHAnsi" w:cs="Calibri"/>
          <w:color w:val="365F91"/>
          <w:sz w:val="28"/>
        </w:rPr>
        <w:t xml:space="preserve"> for the Target EA</w:t>
      </w:r>
      <w:bookmarkEnd w:id="273"/>
    </w:p>
    <w:p w:rsidR="00D957F7" w:rsidRDefault="00EC6BD9" w:rsidP="00D957F7">
      <w:pPr>
        <w:ind w:left="0" w:firstLine="0"/>
        <w:jc w:val="left"/>
        <w:rPr>
          <w:color w:val="000000"/>
          <w:sz w:val="22"/>
          <w:szCs w:val="24"/>
        </w:rPr>
      </w:pPr>
      <w:r>
        <w:rPr>
          <w:color w:val="000000"/>
          <w:sz w:val="22"/>
          <w:szCs w:val="24"/>
        </w:rPr>
        <w:t>S</w:t>
      </w:r>
      <w:r w:rsidR="00D957F7" w:rsidRPr="00D957F7">
        <w:rPr>
          <w:color w:val="000000"/>
          <w:sz w:val="22"/>
          <w:szCs w:val="24"/>
        </w:rPr>
        <w:t xml:space="preserve">pecific EA change drivers </w:t>
      </w:r>
      <w:r w:rsidR="00D957F7" w:rsidRPr="00B07B21">
        <w:rPr>
          <w:color w:val="000000"/>
          <w:sz w:val="22"/>
          <w:szCs w:val="24"/>
        </w:rPr>
        <w:t xml:space="preserve">for this planning cycle were </w:t>
      </w:r>
      <w:r w:rsidRPr="00B07B21">
        <w:rPr>
          <w:color w:val="000000"/>
          <w:sz w:val="22"/>
          <w:szCs w:val="24"/>
        </w:rPr>
        <w:t>the Federal Chief Information Officer</w:t>
      </w:r>
      <w:r w:rsidR="00B07B21">
        <w:rPr>
          <w:color w:val="000000"/>
          <w:sz w:val="22"/>
          <w:szCs w:val="24"/>
        </w:rPr>
        <w:t>’s (CIO)</w:t>
      </w:r>
      <w:r w:rsidRPr="00B07B21">
        <w:rPr>
          <w:color w:val="000000"/>
          <w:sz w:val="22"/>
          <w:szCs w:val="24"/>
        </w:rPr>
        <w:t xml:space="preserve"> </w:t>
      </w:r>
      <w:r w:rsidRPr="00B07B21">
        <w:rPr>
          <w:i/>
          <w:color w:val="000000"/>
          <w:sz w:val="22"/>
          <w:szCs w:val="24"/>
        </w:rPr>
        <w:t xml:space="preserve">25 </w:t>
      </w:r>
      <w:r w:rsidR="00B07B21" w:rsidRPr="00B07B21">
        <w:rPr>
          <w:i/>
          <w:color w:val="000000"/>
          <w:sz w:val="22"/>
          <w:szCs w:val="24"/>
        </w:rPr>
        <w:t>Point Implementation Plan to Reform Federal Information Technology Management</w:t>
      </w:r>
      <w:r w:rsidR="00B07B21" w:rsidRPr="00B07B21">
        <w:rPr>
          <w:color w:val="000000"/>
          <w:sz w:val="22"/>
          <w:szCs w:val="24"/>
        </w:rPr>
        <w:t xml:space="preserve">, </w:t>
      </w:r>
      <w:r w:rsidR="00D957F7" w:rsidRPr="00B07B21">
        <w:rPr>
          <w:color w:val="000000"/>
          <w:sz w:val="22"/>
          <w:szCs w:val="24"/>
        </w:rPr>
        <w:t>a revised DOE Strategic Plan, and the CIO’s FY</w:t>
      </w:r>
      <w:r w:rsidRPr="00B07B21">
        <w:rPr>
          <w:color w:val="000000"/>
          <w:sz w:val="22"/>
          <w:szCs w:val="24"/>
        </w:rPr>
        <w:t xml:space="preserve"> </w:t>
      </w:r>
      <w:r w:rsidR="00B07B21" w:rsidRPr="00B07B21">
        <w:rPr>
          <w:color w:val="000000"/>
          <w:sz w:val="22"/>
          <w:szCs w:val="24"/>
        </w:rPr>
        <w:t xml:space="preserve">2011 Focus </w:t>
      </w:r>
      <w:r w:rsidR="00D957F7" w:rsidRPr="00B07B21">
        <w:rPr>
          <w:color w:val="000000"/>
          <w:sz w:val="22"/>
          <w:szCs w:val="24"/>
        </w:rPr>
        <w:t>Points.</w:t>
      </w:r>
      <w:r w:rsidR="00C3456B">
        <w:rPr>
          <w:color w:val="000000"/>
          <w:sz w:val="22"/>
          <w:szCs w:val="24"/>
        </w:rPr>
        <w:t xml:space="preserve"> </w:t>
      </w:r>
    </w:p>
    <w:p w:rsidR="00EC6BD9" w:rsidRDefault="00EC6BD9" w:rsidP="00EC6BD9">
      <w:pPr>
        <w:autoSpaceDE w:val="0"/>
        <w:autoSpaceDN w:val="0"/>
        <w:adjustRightInd w:val="0"/>
        <w:ind w:left="0" w:firstLine="0"/>
        <w:jc w:val="left"/>
        <w:rPr>
          <w:color w:val="000000"/>
          <w:sz w:val="22"/>
          <w:szCs w:val="24"/>
        </w:rPr>
      </w:pPr>
    </w:p>
    <w:p w:rsidR="00EC6BD9" w:rsidRDefault="00EC6BD9" w:rsidP="00780B1A">
      <w:pPr>
        <w:autoSpaceDE w:val="0"/>
        <w:autoSpaceDN w:val="0"/>
        <w:adjustRightInd w:val="0"/>
        <w:spacing w:after="240"/>
        <w:ind w:left="0" w:firstLine="0"/>
        <w:jc w:val="left"/>
        <w:rPr>
          <w:color w:val="000000"/>
          <w:sz w:val="22"/>
          <w:szCs w:val="24"/>
        </w:rPr>
      </w:pPr>
      <w:r w:rsidRPr="00561D8B">
        <w:rPr>
          <w:color w:val="000000"/>
          <w:sz w:val="22"/>
          <w:szCs w:val="24"/>
        </w:rPr>
        <w:t>In direct response to t</w:t>
      </w:r>
      <w:r w:rsidR="00CD3BAB">
        <w:rPr>
          <w:color w:val="000000"/>
          <w:sz w:val="22"/>
          <w:szCs w:val="24"/>
        </w:rPr>
        <w:t xml:space="preserve">he Federal CIO’s </w:t>
      </w:r>
      <w:r w:rsidR="00CD3BAB" w:rsidRPr="00CD3BAB">
        <w:rPr>
          <w:i/>
          <w:color w:val="000000"/>
          <w:sz w:val="22"/>
          <w:szCs w:val="24"/>
        </w:rPr>
        <w:t>25 Point Implementation Plan to Reform Federal Information Technology Management</w:t>
      </w:r>
      <w:r w:rsidR="00CD3BAB">
        <w:rPr>
          <w:color w:val="000000"/>
          <w:sz w:val="22"/>
          <w:szCs w:val="24"/>
        </w:rPr>
        <w:t xml:space="preserve">, </w:t>
      </w:r>
      <w:r w:rsidRPr="00561D8B">
        <w:rPr>
          <w:color w:val="000000"/>
          <w:sz w:val="22"/>
          <w:szCs w:val="24"/>
        </w:rPr>
        <w:t xml:space="preserve">DOE has </w:t>
      </w:r>
      <w:r w:rsidR="00CD3BAB">
        <w:rPr>
          <w:color w:val="000000"/>
          <w:sz w:val="22"/>
          <w:szCs w:val="24"/>
        </w:rPr>
        <w:t xml:space="preserve">focused on data center consolidation, shared services, and cloud computing initiatives.  DOE has </w:t>
      </w:r>
      <w:r w:rsidRPr="00561D8B">
        <w:rPr>
          <w:color w:val="000000"/>
          <w:sz w:val="22"/>
          <w:szCs w:val="24"/>
        </w:rPr>
        <w:t xml:space="preserve">prioritized three “must move” initiatives to cloud service platforms: </w:t>
      </w:r>
    </w:p>
    <w:p w:rsidR="00EC6BD9" w:rsidRDefault="00EC6BD9" w:rsidP="007F2EC4">
      <w:pPr>
        <w:pStyle w:val="ListParagraph"/>
        <w:numPr>
          <w:ilvl w:val="0"/>
          <w:numId w:val="34"/>
        </w:numPr>
        <w:autoSpaceDE w:val="0"/>
        <w:autoSpaceDN w:val="0"/>
        <w:adjustRightInd w:val="0"/>
        <w:jc w:val="left"/>
        <w:rPr>
          <w:color w:val="000000"/>
          <w:sz w:val="22"/>
          <w:szCs w:val="24"/>
        </w:rPr>
      </w:pPr>
      <w:r w:rsidRPr="00087CEA">
        <w:rPr>
          <w:color w:val="000000"/>
          <w:sz w:val="22"/>
          <w:szCs w:val="24"/>
        </w:rPr>
        <w:t xml:space="preserve">Energy.gov public web presence </w:t>
      </w:r>
    </w:p>
    <w:p w:rsidR="00EC6BD9" w:rsidRDefault="00EC6BD9" w:rsidP="007F2EC4">
      <w:pPr>
        <w:pStyle w:val="ListParagraph"/>
        <w:numPr>
          <w:ilvl w:val="0"/>
          <w:numId w:val="34"/>
        </w:numPr>
        <w:autoSpaceDE w:val="0"/>
        <w:autoSpaceDN w:val="0"/>
        <w:adjustRightInd w:val="0"/>
        <w:jc w:val="left"/>
        <w:rPr>
          <w:color w:val="000000"/>
          <w:sz w:val="22"/>
          <w:szCs w:val="24"/>
        </w:rPr>
      </w:pPr>
      <w:r w:rsidRPr="001E744B">
        <w:rPr>
          <w:color w:val="000000"/>
          <w:sz w:val="22"/>
          <w:szCs w:val="24"/>
        </w:rPr>
        <w:t>Enterprise Grants Management Solutions</w:t>
      </w:r>
    </w:p>
    <w:p w:rsidR="00EC6BD9" w:rsidRPr="001E744B" w:rsidRDefault="00EC6BD9" w:rsidP="007F2EC4">
      <w:pPr>
        <w:pStyle w:val="ListParagraph"/>
        <w:numPr>
          <w:ilvl w:val="0"/>
          <w:numId w:val="34"/>
        </w:numPr>
        <w:autoSpaceDE w:val="0"/>
        <w:autoSpaceDN w:val="0"/>
        <w:adjustRightInd w:val="0"/>
        <w:jc w:val="left"/>
        <w:rPr>
          <w:color w:val="000000"/>
          <w:sz w:val="22"/>
          <w:szCs w:val="24"/>
        </w:rPr>
      </w:pPr>
      <w:r w:rsidRPr="001E744B">
        <w:rPr>
          <w:color w:val="000000"/>
          <w:sz w:val="22"/>
          <w:szCs w:val="24"/>
        </w:rPr>
        <w:t xml:space="preserve">Department’s Public Key Infrastructure (PKI) </w:t>
      </w:r>
    </w:p>
    <w:p w:rsidR="00A71A79" w:rsidRDefault="00A71A79" w:rsidP="00D957F7">
      <w:pPr>
        <w:ind w:left="0" w:firstLine="0"/>
        <w:jc w:val="left"/>
        <w:rPr>
          <w:color w:val="000000"/>
          <w:sz w:val="22"/>
          <w:szCs w:val="24"/>
        </w:rPr>
      </w:pPr>
    </w:p>
    <w:p w:rsidR="00F929E8" w:rsidRDefault="00F929E8" w:rsidP="00DA1C63">
      <w:pPr>
        <w:ind w:left="0" w:firstLine="0"/>
        <w:jc w:val="left"/>
        <w:rPr>
          <w:bCs/>
          <w:color w:val="000000"/>
          <w:sz w:val="22"/>
          <w:szCs w:val="24"/>
        </w:rPr>
      </w:pPr>
      <w:r w:rsidRPr="00561D8B">
        <w:rPr>
          <w:color w:val="000000"/>
          <w:sz w:val="22"/>
          <w:szCs w:val="24"/>
        </w:rPr>
        <w:t xml:space="preserve">In addition to these initiatives, DOE created a </w:t>
      </w:r>
      <w:r w:rsidRPr="00561D8B">
        <w:rPr>
          <w:bCs/>
          <w:color w:val="000000"/>
          <w:sz w:val="22"/>
          <w:szCs w:val="24"/>
        </w:rPr>
        <w:t xml:space="preserve">Cloud Computing Work Group as an </w:t>
      </w:r>
      <w:r>
        <w:rPr>
          <w:bCs/>
          <w:color w:val="000000"/>
          <w:sz w:val="22"/>
          <w:szCs w:val="24"/>
        </w:rPr>
        <w:t>EA p</w:t>
      </w:r>
      <w:r w:rsidRPr="00561D8B">
        <w:rPr>
          <w:bCs/>
          <w:color w:val="000000"/>
          <w:sz w:val="22"/>
          <w:szCs w:val="24"/>
        </w:rPr>
        <w:t>artnership to effectively leverage and efficiently exploit service opportunities associated with C</w:t>
      </w:r>
      <w:r>
        <w:rPr>
          <w:bCs/>
          <w:color w:val="000000"/>
          <w:sz w:val="22"/>
          <w:szCs w:val="24"/>
        </w:rPr>
        <w:t>loud Computing.</w:t>
      </w:r>
    </w:p>
    <w:p w:rsidR="00F929E8" w:rsidRDefault="00F929E8" w:rsidP="00DA1C63">
      <w:pPr>
        <w:ind w:left="0" w:firstLine="0"/>
        <w:jc w:val="left"/>
        <w:rPr>
          <w:sz w:val="22"/>
          <w:szCs w:val="24"/>
        </w:rPr>
      </w:pPr>
      <w:r>
        <w:rPr>
          <w:sz w:val="22"/>
          <w:szCs w:val="24"/>
        </w:rPr>
        <w:t xml:space="preserve"> </w:t>
      </w:r>
    </w:p>
    <w:p w:rsidR="00AE14BC" w:rsidRPr="00EC6BD9" w:rsidRDefault="00CD3BAB" w:rsidP="00DA1C63">
      <w:pPr>
        <w:ind w:left="0" w:firstLine="0"/>
        <w:jc w:val="left"/>
        <w:rPr>
          <w:sz w:val="22"/>
          <w:szCs w:val="24"/>
        </w:rPr>
      </w:pPr>
      <w:r>
        <w:rPr>
          <w:sz w:val="22"/>
          <w:szCs w:val="24"/>
        </w:rPr>
        <w:t xml:space="preserve">The </w:t>
      </w:r>
      <w:r w:rsidR="00A71A79" w:rsidRPr="00561D8B">
        <w:rPr>
          <w:sz w:val="22"/>
          <w:szCs w:val="24"/>
        </w:rPr>
        <w:t xml:space="preserve">Secretary of Energy identified </w:t>
      </w:r>
      <w:r w:rsidR="00786C0D">
        <w:rPr>
          <w:sz w:val="22"/>
          <w:szCs w:val="24"/>
        </w:rPr>
        <w:t xml:space="preserve">three </w:t>
      </w:r>
      <w:r w:rsidR="00A71A79" w:rsidRPr="00561D8B">
        <w:rPr>
          <w:sz w:val="22"/>
          <w:szCs w:val="24"/>
        </w:rPr>
        <w:t>enterprise-wi</w:t>
      </w:r>
      <w:r w:rsidR="00A71A79">
        <w:rPr>
          <w:sz w:val="22"/>
          <w:szCs w:val="24"/>
        </w:rPr>
        <w:t xml:space="preserve">de strategic goals through the </w:t>
      </w:r>
      <w:r w:rsidR="001A483E">
        <w:rPr>
          <w:sz w:val="22"/>
          <w:szCs w:val="24"/>
        </w:rPr>
        <w:t>Department</w:t>
      </w:r>
      <w:r w:rsidR="00A71A79" w:rsidRPr="00561D8B">
        <w:rPr>
          <w:sz w:val="22"/>
          <w:szCs w:val="24"/>
        </w:rPr>
        <w:t>’s revised strategic plan.</w:t>
      </w:r>
      <w:r w:rsidR="00EC6BD9">
        <w:rPr>
          <w:sz w:val="22"/>
          <w:szCs w:val="24"/>
        </w:rPr>
        <w:t xml:space="preserve"> A</w:t>
      </w:r>
      <w:r w:rsidR="00A71A79" w:rsidRPr="00561D8B">
        <w:rPr>
          <w:sz w:val="22"/>
          <w:szCs w:val="24"/>
        </w:rPr>
        <w:t>ll DOE mission-related initiatives, programs, and investments</w:t>
      </w:r>
      <w:r w:rsidR="00A71A79">
        <w:rPr>
          <w:sz w:val="22"/>
          <w:szCs w:val="24"/>
        </w:rPr>
        <w:t xml:space="preserve"> </w:t>
      </w:r>
      <w:r w:rsidR="00A71A79" w:rsidRPr="00561D8B">
        <w:rPr>
          <w:sz w:val="22"/>
          <w:szCs w:val="24"/>
        </w:rPr>
        <w:t>are driven by one or more of these goals as well as the respective prioritization and resource allocation</w:t>
      </w:r>
      <w:r w:rsidR="00A71A79">
        <w:rPr>
          <w:sz w:val="22"/>
          <w:szCs w:val="24"/>
        </w:rPr>
        <w:t xml:space="preserve"> processes</w:t>
      </w:r>
      <w:r w:rsidR="00A71A79" w:rsidRPr="00561D8B">
        <w:rPr>
          <w:sz w:val="22"/>
          <w:szCs w:val="24"/>
        </w:rPr>
        <w:t>.</w:t>
      </w:r>
      <w:r w:rsidR="00C3456B">
        <w:rPr>
          <w:color w:val="000000"/>
          <w:sz w:val="22"/>
          <w:szCs w:val="24"/>
        </w:rPr>
        <w:t xml:space="preserve"> </w:t>
      </w:r>
    </w:p>
    <w:p w:rsidR="00EC6BD9" w:rsidRDefault="00EC6BD9" w:rsidP="00DA1C63">
      <w:pPr>
        <w:ind w:left="0" w:firstLine="0"/>
        <w:jc w:val="left"/>
        <w:rPr>
          <w:color w:val="000000"/>
          <w:sz w:val="22"/>
          <w:szCs w:val="24"/>
        </w:rPr>
      </w:pPr>
    </w:p>
    <w:p w:rsidR="0019156D" w:rsidRPr="00561D8B" w:rsidRDefault="00CD3BAB" w:rsidP="00DA1C63">
      <w:pPr>
        <w:ind w:left="0" w:firstLine="0"/>
        <w:jc w:val="left"/>
        <w:rPr>
          <w:color w:val="000000"/>
          <w:sz w:val="22"/>
          <w:szCs w:val="24"/>
        </w:rPr>
      </w:pPr>
      <w:r>
        <w:rPr>
          <w:color w:val="000000"/>
          <w:sz w:val="22"/>
          <w:szCs w:val="24"/>
        </w:rPr>
        <w:t>Another</w:t>
      </w:r>
      <w:r w:rsidR="0019156D" w:rsidRPr="00561D8B">
        <w:rPr>
          <w:color w:val="000000"/>
          <w:sz w:val="22"/>
          <w:szCs w:val="24"/>
        </w:rPr>
        <w:t xml:space="preserve"> major change driver for this planning cycle was the </w:t>
      </w:r>
      <w:r w:rsidR="0019156D" w:rsidRPr="00CD3BAB">
        <w:rPr>
          <w:color w:val="000000"/>
          <w:sz w:val="22"/>
          <w:szCs w:val="24"/>
        </w:rPr>
        <w:t>new DOE CIO’s FY 2011</w:t>
      </w:r>
      <w:r w:rsidRPr="00CD3BAB">
        <w:rPr>
          <w:color w:val="000000"/>
          <w:sz w:val="22"/>
          <w:szCs w:val="24"/>
        </w:rPr>
        <w:t xml:space="preserve"> Focus Points</w:t>
      </w:r>
      <w:r w:rsidR="0019156D" w:rsidRPr="00CD3BAB">
        <w:rPr>
          <w:color w:val="000000"/>
          <w:sz w:val="22"/>
          <w:szCs w:val="24"/>
        </w:rPr>
        <w:t>.</w:t>
      </w:r>
      <w:r w:rsidR="00C3456B" w:rsidRPr="00CD3BAB">
        <w:rPr>
          <w:color w:val="000000"/>
          <w:sz w:val="22"/>
          <w:szCs w:val="24"/>
        </w:rPr>
        <w:t xml:space="preserve"> </w:t>
      </w:r>
      <w:r w:rsidR="0019156D" w:rsidRPr="00CD3BAB">
        <w:rPr>
          <w:color w:val="000000"/>
          <w:sz w:val="22"/>
          <w:szCs w:val="24"/>
        </w:rPr>
        <w:t xml:space="preserve">The CIO specifically identified </w:t>
      </w:r>
      <w:r w:rsidRPr="00CD3BAB">
        <w:rPr>
          <w:color w:val="000000"/>
          <w:sz w:val="22"/>
          <w:szCs w:val="24"/>
        </w:rPr>
        <w:t xml:space="preserve">ten focus areas </w:t>
      </w:r>
      <w:r w:rsidR="0019156D" w:rsidRPr="00CD3BAB">
        <w:rPr>
          <w:color w:val="000000"/>
          <w:sz w:val="22"/>
          <w:szCs w:val="24"/>
        </w:rPr>
        <w:t>to enable DOE’s strategic success by integrating technology and programs together to achieve the DOE mission.</w:t>
      </w:r>
      <w:r w:rsidR="00C3456B" w:rsidRPr="00CD3BAB">
        <w:rPr>
          <w:color w:val="000000"/>
          <w:sz w:val="22"/>
          <w:szCs w:val="24"/>
        </w:rPr>
        <w:t xml:space="preserve"> </w:t>
      </w:r>
      <w:r w:rsidRPr="00CD3BAB">
        <w:rPr>
          <w:color w:val="000000"/>
          <w:sz w:val="22"/>
          <w:szCs w:val="24"/>
        </w:rPr>
        <w:t xml:space="preserve">The CIO’s </w:t>
      </w:r>
      <w:r w:rsidR="0019156D" w:rsidRPr="00CD3BAB">
        <w:rPr>
          <w:color w:val="000000"/>
          <w:sz w:val="22"/>
          <w:szCs w:val="24"/>
        </w:rPr>
        <w:t xml:space="preserve">10 Focus Points are outlined </w:t>
      </w:r>
      <w:r>
        <w:rPr>
          <w:color w:val="000000"/>
          <w:sz w:val="22"/>
          <w:szCs w:val="24"/>
        </w:rPr>
        <w:t>below:</w:t>
      </w:r>
      <w:r w:rsidR="0019156D" w:rsidRPr="00561D8B">
        <w:rPr>
          <w:color w:val="000000"/>
          <w:sz w:val="22"/>
          <w:szCs w:val="24"/>
        </w:rPr>
        <w:t xml:space="preserve"> </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Create a high-performing organization</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Implement a cyber risk-management program</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Transform Energy IT Services into a best-in-class provider</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Implement and institutionalize a reformed information management governance process</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Transition to a 5-year planning and programming</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Develop a comprehensive business management and contracting strategy</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Implement a comprehensive enterprise IT consolidation and sustainability plan</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Revitalize the records management program</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Establish a formal, sustainable Federal technology deployment program</w:t>
      </w:r>
    </w:p>
    <w:p w:rsidR="00972FA9" w:rsidRPr="00561D8B" w:rsidRDefault="00687155" w:rsidP="009E3804">
      <w:pPr>
        <w:pStyle w:val="ListParagraph"/>
        <w:numPr>
          <w:ilvl w:val="0"/>
          <w:numId w:val="15"/>
        </w:numPr>
        <w:spacing w:before="240" w:after="240"/>
        <w:ind w:left="900" w:hanging="540"/>
        <w:jc w:val="left"/>
        <w:rPr>
          <w:rFonts w:cs="Calibri"/>
          <w:color w:val="000000"/>
          <w:sz w:val="22"/>
          <w:szCs w:val="24"/>
        </w:rPr>
      </w:pPr>
      <w:r w:rsidRPr="00561D8B">
        <w:rPr>
          <w:rFonts w:cs="Calibri"/>
          <w:color w:val="000000"/>
          <w:sz w:val="22"/>
          <w:szCs w:val="24"/>
        </w:rPr>
        <w:t>Establish strong cooperative internal and external partnerships</w:t>
      </w:r>
    </w:p>
    <w:p w:rsidR="00972FA9" w:rsidRDefault="00D957F7" w:rsidP="003B3E22">
      <w:pPr>
        <w:spacing w:after="120"/>
        <w:ind w:left="0" w:firstLine="0"/>
        <w:jc w:val="left"/>
        <w:rPr>
          <w:color w:val="000000"/>
          <w:sz w:val="22"/>
          <w:szCs w:val="24"/>
        </w:rPr>
      </w:pPr>
      <w:r>
        <w:rPr>
          <w:color w:val="000000"/>
          <w:sz w:val="22"/>
          <w:szCs w:val="24"/>
        </w:rPr>
        <w:t>The</w:t>
      </w:r>
      <w:r w:rsidR="00CD3BAB">
        <w:rPr>
          <w:color w:val="000000"/>
          <w:sz w:val="22"/>
          <w:szCs w:val="24"/>
        </w:rPr>
        <w:t xml:space="preserve"> 10</w:t>
      </w:r>
      <w:r>
        <w:rPr>
          <w:color w:val="000000"/>
          <w:sz w:val="22"/>
          <w:szCs w:val="24"/>
        </w:rPr>
        <w:t xml:space="preserve"> Focus Points shaped the </w:t>
      </w:r>
      <w:r w:rsidR="001A483E">
        <w:rPr>
          <w:color w:val="000000"/>
          <w:sz w:val="22"/>
          <w:szCs w:val="24"/>
        </w:rPr>
        <w:t>Department</w:t>
      </w:r>
      <w:r w:rsidR="0019156D" w:rsidRPr="00561D8B">
        <w:rPr>
          <w:color w:val="000000"/>
          <w:sz w:val="22"/>
          <w:szCs w:val="24"/>
        </w:rPr>
        <w:t xml:space="preserve">’s target architecture by placing increased emphasis on cyber risk-management, improved records management and best-in-class IT services such as sustainability through </w:t>
      </w:r>
      <w:r w:rsidR="00CD3BAB">
        <w:rPr>
          <w:color w:val="000000"/>
          <w:sz w:val="22"/>
          <w:szCs w:val="24"/>
        </w:rPr>
        <w:t xml:space="preserve">data center consolidation and </w:t>
      </w:r>
      <w:r w:rsidR="0019156D" w:rsidRPr="00561D8B">
        <w:rPr>
          <w:color w:val="000000"/>
          <w:sz w:val="22"/>
          <w:szCs w:val="24"/>
        </w:rPr>
        <w:t>cloud computing.</w:t>
      </w:r>
      <w:r w:rsidR="00C3456B">
        <w:rPr>
          <w:color w:val="000000"/>
          <w:sz w:val="22"/>
          <w:szCs w:val="24"/>
        </w:rPr>
        <w:t xml:space="preserve"> </w:t>
      </w:r>
    </w:p>
    <w:p w:rsidR="00AE14BC" w:rsidRPr="003D7AAC" w:rsidRDefault="00AE14BC" w:rsidP="003B3E22">
      <w:pPr>
        <w:pStyle w:val="Heading1"/>
        <w:numPr>
          <w:ilvl w:val="0"/>
          <w:numId w:val="30"/>
        </w:numPr>
        <w:spacing w:before="240" w:after="120"/>
        <w:jc w:val="left"/>
        <w:rPr>
          <w:rFonts w:asciiTheme="majorHAnsi" w:hAnsiTheme="majorHAnsi" w:cs="Calibri"/>
        </w:rPr>
      </w:pPr>
      <w:bookmarkStart w:id="274" w:name="_Toc285522910"/>
      <w:bookmarkStart w:id="275" w:name="_Toc285534201"/>
      <w:bookmarkStart w:id="276" w:name="_Toc285548180"/>
      <w:bookmarkStart w:id="277" w:name="_Toc286753632"/>
      <w:r w:rsidRPr="003D7AAC">
        <w:rPr>
          <w:rFonts w:asciiTheme="majorHAnsi" w:hAnsiTheme="majorHAnsi" w:cs="Calibri"/>
        </w:rPr>
        <w:t>DOE Target Enterprise Architecture</w:t>
      </w:r>
      <w:bookmarkEnd w:id="274"/>
      <w:bookmarkEnd w:id="275"/>
      <w:bookmarkEnd w:id="276"/>
      <w:r w:rsidR="00083434" w:rsidRPr="003D7AAC">
        <w:rPr>
          <w:rFonts w:asciiTheme="majorHAnsi" w:hAnsiTheme="majorHAnsi" w:cs="Calibri"/>
        </w:rPr>
        <w:t xml:space="preserve"> Vision</w:t>
      </w:r>
      <w:bookmarkEnd w:id="277"/>
    </w:p>
    <w:p w:rsidR="00714D19" w:rsidRDefault="003B3E22" w:rsidP="003B3E22">
      <w:pPr>
        <w:ind w:left="0" w:firstLine="0"/>
        <w:jc w:val="left"/>
        <w:rPr>
          <w:color w:val="000000"/>
          <w:sz w:val="22"/>
          <w:szCs w:val="24"/>
        </w:rPr>
      </w:pPr>
      <w:r>
        <w:rPr>
          <w:noProof/>
          <w:sz w:val="22"/>
        </w:rPr>
        <w:drawing>
          <wp:anchor distT="0" distB="0" distL="114300" distR="114300" simplePos="0" relativeHeight="251708416" behindDoc="0" locked="0" layoutInCell="1" allowOverlap="1">
            <wp:simplePos x="0" y="0"/>
            <wp:positionH relativeFrom="margin">
              <wp:posOffset>2476500</wp:posOffset>
            </wp:positionH>
            <wp:positionV relativeFrom="margin">
              <wp:posOffset>2619375</wp:posOffset>
            </wp:positionV>
            <wp:extent cx="3650615" cy="4733925"/>
            <wp:effectExtent l="19050" t="0" r="6985" b="0"/>
            <wp:wrapSquare wrapText="bothSides"/>
            <wp:docPr id="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3650615" cy="4733925"/>
                    </a:xfrm>
                    <a:prstGeom prst="rect">
                      <a:avLst/>
                    </a:prstGeom>
                    <a:noFill/>
                    <a:ln w="9525">
                      <a:noFill/>
                      <a:miter lim="800000"/>
                      <a:headEnd/>
                      <a:tailEnd/>
                    </a:ln>
                  </pic:spPr>
                </pic:pic>
              </a:graphicData>
            </a:graphic>
          </wp:anchor>
        </w:drawing>
      </w:r>
      <w:r w:rsidR="00AE14BC" w:rsidRPr="003B3E22">
        <w:rPr>
          <w:sz w:val="22"/>
        </w:rPr>
        <w:t xml:space="preserve">This section describes the major initiatives </w:t>
      </w:r>
      <w:r w:rsidRPr="003B3E22">
        <w:rPr>
          <w:sz w:val="22"/>
        </w:rPr>
        <w:t>being pursued</w:t>
      </w:r>
      <w:r w:rsidR="00AE14BC" w:rsidRPr="003B3E22">
        <w:rPr>
          <w:sz w:val="22"/>
        </w:rPr>
        <w:t xml:space="preserve"> to ensure the </w:t>
      </w:r>
      <w:r w:rsidR="00714D19">
        <w:rPr>
          <w:sz w:val="22"/>
        </w:rPr>
        <w:t xml:space="preserve">target architecture </w:t>
      </w:r>
      <w:r w:rsidR="00AE14BC" w:rsidRPr="003B3E22">
        <w:rPr>
          <w:sz w:val="22"/>
        </w:rPr>
        <w:t xml:space="preserve">meets the strategic needs and priorities outlined </w:t>
      </w:r>
      <w:r w:rsidR="000F6865" w:rsidRPr="003B3E22">
        <w:rPr>
          <w:sz w:val="22"/>
        </w:rPr>
        <w:t>in prior sections</w:t>
      </w:r>
      <w:r w:rsidR="00AE14BC" w:rsidRPr="003B3E22">
        <w:rPr>
          <w:sz w:val="22"/>
        </w:rPr>
        <w:t>.</w:t>
      </w:r>
      <w:r w:rsidR="00C3456B" w:rsidRPr="003B3E22">
        <w:rPr>
          <w:sz w:val="22"/>
        </w:rPr>
        <w:t xml:space="preserve"> </w:t>
      </w:r>
      <w:r w:rsidR="00642A74" w:rsidRPr="003B3E22">
        <w:rPr>
          <w:sz w:val="22"/>
        </w:rPr>
        <w:t>DOE’s key p</w:t>
      </w:r>
      <w:r w:rsidR="00083434" w:rsidRPr="003B3E22">
        <w:rPr>
          <w:sz w:val="22"/>
        </w:rPr>
        <w:t xml:space="preserve">riorities </w:t>
      </w:r>
      <w:r w:rsidR="00AE14BC" w:rsidRPr="003B3E22">
        <w:rPr>
          <w:sz w:val="22"/>
        </w:rPr>
        <w:t>support two major themes: enhancing mission accomplishment and improving information support to th</w:t>
      </w:r>
      <w:r w:rsidR="00714D19">
        <w:rPr>
          <w:sz w:val="22"/>
        </w:rPr>
        <w:t>e</w:t>
      </w:r>
      <w:r w:rsidR="00AE14BC" w:rsidRPr="003B3E22">
        <w:rPr>
          <w:sz w:val="22"/>
        </w:rPr>
        <w:t xml:space="preserve"> mission.</w:t>
      </w:r>
      <w:r w:rsidR="00C3456B" w:rsidRPr="003B3E22">
        <w:rPr>
          <w:sz w:val="22"/>
        </w:rPr>
        <w:t xml:space="preserve"> </w:t>
      </w:r>
      <w:r w:rsidR="00CA52BC" w:rsidRPr="003B3E22">
        <w:rPr>
          <w:sz w:val="22"/>
        </w:rPr>
        <w:t xml:space="preserve"> </w:t>
      </w:r>
      <w:r w:rsidR="00D957F7" w:rsidRPr="003B3E22">
        <w:rPr>
          <w:color w:val="000000"/>
          <w:sz w:val="22"/>
          <w:szCs w:val="24"/>
        </w:rPr>
        <w:t xml:space="preserve">Figure </w:t>
      </w:r>
      <w:r w:rsidR="00F929E8">
        <w:rPr>
          <w:color w:val="000000"/>
          <w:sz w:val="22"/>
          <w:szCs w:val="24"/>
        </w:rPr>
        <w:t>6</w:t>
      </w:r>
      <w:r w:rsidR="006B72F0" w:rsidRPr="003B3E22">
        <w:rPr>
          <w:color w:val="000000"/>
          <w:sz w:val="22"/>
          <w:szCs w:val="24"/>
        </w:rPr>
        <w:t xml:space="preserve"> illustrates the alignment of these </w:t>
      </w:r>
      <w:r>
        <w:rPr>
          <w:color w:val="000000"/>
          <w:sz w:val="22"/>
          <w:szCs w:val="24"/>
        </w:rPr>
        <w:t>p</w:t>
      </w:r>
      <w:r w:rsidR="00083434" w:rsidRPr="003B3E22">
        <w:rPr>
          <w:color w:val="000000"/>
          <w:sz w:val="22"/>
          <w:szCs w:val="24"/>
        </w:rPr>
        <w:t>riorities</w:t>
      </w:r>
      <w:r w:rsidR="006B72F0" w:rsidRPr="003B3E22">
        <w:rPr>
          <w:color w:val="000000"/>
          <w:sz w:val="22"/>
          <w:szCs w:val="24"/>
        </w:rPr>
        <w:t xml:space="preserve"> with the strategic guidance for executing them and </w:t>
      </w:r>
      <w:r w:rsidR="000F6865" w:rsidRPr="003B3E22">
        <w:rPr>
          <w:color w:val="000000"/>
          <w:sz w:val="22"/>
          <w:szCs w:val="24"/>
        </w:rPr>
        <w:t xml:space="preserve">achieving </w:t>
      </w:r>
      <w:r w:rsidR="006B72F0" w:rsidRPr="003B3E22">
        <w:rPr>
          <w:color w:val="000000"/>
          <w:sz w:val="22"/>
          <w:szCs w:val="24"/>
        </w:rPr>
        <w:t>the intended outcomes.</w:t>
      </w:r>
    </w:p>
    <w:p w:rsidR="00D957F7" w:rsidRPr="003B3E22" w:rsidRDefault="00C3456B" w:rsidP="003B3E22">
      <w:pPr>
        <w:ind w:left="0" w:firstLine="0"/>
        <w:jc w:val="left"/>
        <w:rPr>
          <w:color w:val="000000"/>
          <w:sz w:val="22"/>
          <w:szCs w:val="24"/>
        </w:rPr>
      </w:pPr>
      <w:r w:rsidRPr="003B3E22">
        <w:rPr>
          <w:color w:val="000000"/>
          <w:sz w:val="22"/>
          <w:szCs w:val="24"/>
        </w:rPr>
        <w:t xml:space="preserve"> </w:t>
      </w:r>
    </w:p>
    <w:p w:rsidR="00AE14BC" w:rsidRPr="00561D8B" w:rsidRDefault="00714D19" w:rsidP="00DA1C63">
      <w:pPr>
        <w:autoSpaceDE w:val="0"/>
        <w:autoSpaceDN w:val="0"/>
        <w:adjustRightInd w:val="0"/>
        <w:spacing w:after="120"/>
        <w:ind w:left="0" w:firstLine="0"/>
        <w:jc w:val="left"/>
        <w:rPr>
          <w:sz w:val="22"/>
        </w:rPr>
      </w:pPr>
      <w:r>
        <w:rPr>
          <w:sz w:val="22"/>
        </w:rPr>
        <w:t>Strategic p</w:t>
      </w:r>
      <w:r w:rsidR="00AE14BC" w:rsidRPr="003B3E22">
        <w:rPr>
          <w:sz w:val="22"/>
        </w:rPr>
        <w:t xml:space="preserve">riorities and change drivers placed increased </w:t>
      </w:r>
      <w:r>
        <w:rPr>
          <w:sz w:val="22"/>
        </w:rPr>
        <w:t xml:space="preserve">emphasis </w:t>
      </w:r>
      <w:r w:rsidR="00AE14BC" w:rsidRPr="003B3E22">
        <w:rPr>
          <w:sz w:val="22"/>
        </w:rPr>
        <w:t xml:space="preserve">on </w:t>
      </w:r>
      <w:r w:rsidR="003B3E22">
        <w:rPr>
          <w:sz w:val="22"/>
        </w:rPr>
        <w:t xml:space="preserve">the following mission enhancement </w:t>
      </w:r>
      <w:r w:rsidR="00AE14BC" w:rsidRPr="003B3E22">
        <w:rPr>
          <w:sz w:val="22"/>
        </w:rPr>
        <w:t>areas:</w:t>
      </w:r>
      <w:r w:rsidR="00AE14BC" w:rsidRPr="00561D8B">
        <w:rPr>
          <w:sz w:val="22"/>
        </w:rPr>
        <w:t xml:space="preserve"> </w:t>
      </w:r>
    </w:p>
    <w:p w:rsidR="00AE14BC" w:rsidRPr="00561D8B" w:rsidRDefault="00AE14BC" w:rsidP="00714D19">
      <w:pPr>
        <w:pStyle w:val="ListParagraph"/>
        <w:numPr>
          <w:ilvl w:val="0"/>
          <w:numId w:val="11"/>
        </w:numPr>
        <w:autoSpaceDE w:val="0"/>
        <w:autoSpaceDN w:val="0"/>
        <w:adjustRightInd w:val="0"/>
        <w:spacing w:after="120"/>
        <w:ind w:left="450" w:hanging="270"/>
        <w:jc w:val="left"/>
        <w:rPr>
          <w:rFonts w:cs="Calibri"/>
          <w:sz w:val="22"/>
        </w:rPr>
      </w:pPr>
      <w:r w:rsidRPr="00561D8B">
        <w:rPr>
          <w:rFonts w:cs="Calibri"/>
          <w:sz w:val="22"/>
        </w:rPr>
        <w:t>Implementing sustainable solutions</w:t>
      </w:r>
    </w:p>
    <w:p w:rsidR="00CE015B" w:rsidRPr="00561D8B" w:rsidRDefault="00D957F7" w:rsidP="00714D19">
      <w:pPr>
        <w:pStyle w:val="ListParagraph"/>
        <w:numPr>
          <w:ilvl w:val="0"/>
          <w:numId w:val="11"/>
        </w:numPr>
        <w:autoSpaceDE w:val="0"/>
        <w:autoSpaceDN w:val="0"/>
        <w:adjustRightInd w:val="0"/>
        <w:spacing w:after="120"/>
        <w:ind w:left="450" w:hanging="270"/>
        <w:jc w:val="left"/>
        <w:rPr>
          <w:rFonts w:cs="Calibri"/>
          <w:sz w:val="22"/>
        </w:rPr>
      </w:pPr>
      <w:r>
        <w:rPr>
          <w:rFonts w:cs="Calibri"/>
          <w:sz w:val="22"/>
        </w:rPr>
        <w:t xml:space="preserve">Advancing scientific, energy and </w:t>
      </w:r>
      <w:r w:rsidR="003B3E22">
        <w:rPr>
          <w:rFonts w:cs="Calibri"/>
          <w:sz w:val="22"/>
        </w:rPr>
        <w:t>n</w:t>
      </w:r>
      <w:r>
        <w:rPr>
          <w:rFonts w:cs="Calibri"/>
          <w:sz w:val="22"/>
        </w:rPr>
        <w:t>uclear r</w:t>
      </w:r>
      <w:r w:rsidR="00CE015B" w:rsidRPr="00561D8B">
        <w:rPr>
          <w:rFonts w:cs="Calibri"/>
          <w:sz w:val="22"/>
        </w:rPr>
        <w:t>esearch</w:t>
      </w:r>
    </w:p>
    <w:p w:rsidR="00AE14BC" w:rsidRPr="00561D8B" w:rsidRDefault="00AE14BC" w:rsidP="00714D19">
      <w:pPr>
        <w:pStyle w:val="ListParagraph"/>
        <w:numPr>
          <w:ilvl w:val="0"/>
          <w:numId w:val="11"/>
        </w:numPr>
        <w:autoSpaceDE w:val="0"/>
        <w:autoSpaceDN w:val="0"/>
        <w:adjustRightInd w:val="0"/>
        <w:spacing w:after="120"/>
        <w:ind w:left="450" w:hanging="270"/>
        <w:jc w:val="left"/>
        <w:rPr>
          <w:rFonts w:cs="Calibri"/>
          <w:sz w:val="22"/>
        </w:rPr>
      </w:pPr>
      <w:r w:rsidRPr="00561D8B">
        <w:rPr>
          <w:rFonts w:cs="Calibri"/>
          <w:sz w:val="22"/>
        </w:rPr>
        <w:t>Measuring the impact of research</w:t>
      </w:r>
    </w:p>
    <w:p w:rsidR="007A10EF" w:rsidRPr="00561D8B" w:rsidRDefault="00D957F7" w:rsidP="00714D19">
      <w:pPr>
        <w:pStyle w:val="ListParagraph"/>
        <w:numPr>
          <w:ilvl w:val="0"/>
          <w:numId w:val="11"/>
        </w:numPr>
        <w:autoSpaceDE w:val="0"/>
        <w:autoSpaceDN w:val="0"/>
        <w:adjustRightInd w:val="0"/>
        <w:spacing w:after="120"/>
        <w:ind w:left="450" w:hanging="270"/>
        <w:jc w:val="left"/>
        <w:rPr>
          <w:rFonts w:cs="Calibri"/>
          <w:sz w:val="22"/>
        </w:rPr>
      </w:pPr>
      <w:r>
        <w:rPr>
          <w:rFonts w:cs="Calibri"/>
          <w:sz w:val="22"/>
        </w:rPr>
        <w:t>Making the grid s</w:t>
      </w:r>
      <w:r w:rsidR="00E720A1">
        <w:rPr>
          <w:rFonts w:cs="Calibri"/>
          <w:sz w:val="22"/>
        </w:rPr>
        <w:t>marte</w:t>
      </w:r>
      <w:r w:rsidR="007A10EF" w:rsidRPr="00561D8B">
        <w:rPr>
          <w:rFonts w:cs="Calibri"/>
          <w:sz w:val="22"/>
        </w:rPr>
        <w:t xml:space="preserve">r </w:t>
      </w:r>
    </w:p>
    <w:p w:rsidR="00CE015B" w:rsidRPr="00561D8B" w:rsidRDefault="00CE015B" w:rsidP="00714D19">
      <w:pPr>
        <w:pStyle w:val="ListParagraph"/>
        <w:numPr>
          <w:ilvl w:val="0"/>
          <w:numId w:val="11"/>
        </w:numPr>
        <w:autoSpaceDE w:val="0"/>
        <w:autoSpaceDN w:val="0"/>
        <w:adjustRightInd w:val="0"/>
        <w:spacing w:after="120"/>
        <w:ind w:left="450" w:hanging="270"/>
        <w:jc w:val="left"/>
        <w:rPr>
          <w:rFonts w:cs="Calibri"/>
          <w:sz w:val="22"/>
        </w:rPr>
      </w:pPr>
      <w:r w:rsidRPr="00561D8B">
        <w:rPr>
          <w:rFonts w:cs="Calibri"/>
          <w:sz w:val="22"/>
        </w:rPr>
        <w:t xml:space="preserve">Enhancing financial systems </w:t>
      </w:r>
    </w:p>
    <w:p w:rsidR="00AE14BC" w:rsidRPr="00561D8B" w:rsidRDefault="00AE14BC" w:rsidP="00714D19">
      <w:pPr>
        <w:pStyle w:val="ListParagraph"/>
        <w:numPr>
          <w:ilvl w:val="0"/>
          <w:numId w:val="11"/>
        </w:numPr>
        <w:autoSpaceDE w:val="0"/>
        <w:autoSpaceDN w:val="0"/>
        <w:adjustRightInd w:val="0"/>
        <w:spacing w:after="240"/>
        <w:ind w:left="461" w:hanging="274"/>
        <w:jc w:val="left"/>
        <w:rPr>
          <w:rFonts w:cs="Calibri"/>
          <w:sz w:val="22"/>
        </w:rPr>
      </w:pPr>
      <w:r w:rsidRPr="00561D8B">
        <w:rPr>
          <w:rFonts w:cs="Calibri"/>
          <w:sz w:val="22"/>
        </w:rPr>
        <w:t>Reforming records management</w:t>
      </w:r>
    </w:p>
    <w:p w:rsidR="00AE14BC" w:rsidRPr="00561D8B" w:rsidRDefault="00AE14BC" w:rsidP="00DA1C63">
      <w:pPr>
        <w:autoSpaceDE w:val="0"/>
        <w:autoSpaceDN w:val="0"/>
        <w:adjustRightInd w:val="0"/>
        <w:spacing w:after="120"/>
        <w:ind w:left="0" w:firstLine="0"/>
        <w:jc w:val="left"/>
        <w:rPr>
          <w:sz w:val="22"/>
        </w:rPr>
      </w:pPr>
      <w:r w:rsidRPr="00561D8B">
        <w:rPr>
          <w:sz w:val="22"/>
        </w:rPr>
        <w:t xml:space="preserve">The high-priority focus areas that involve information delivery needs include: </w:t>
      </w:r>
    </w:p>
    <w:p w:rsidR="00D957F7" w:rsidRPr="00561D8B" w:rsidRDefault="00D957F7" w:rsidP="00714D19">
      <w:pPr>
        <w:pStyle w:val="ListParagraph"/>
        <w:numPr>
          <w:ilvl w:val="0"/>
          <w:numId w:val="12"/>
        </w:numPr>
        <w:autoSpaceDE w:val="0"/>
        <w:autoSpaceDN w:val="0"/>
        <w:adjustRightInd w:val="0"/>
        <w:spacing w:after="120"/>
        <w:ind w:left="450" w:hanging="270"/>
        <w:jc w:val="left"/>
        <w:rPr>
          <w:rFonts w:cs="Calibri"/>
          <w:sz w:val="22"/>
        </w:rPr>
      </w:pPr>
      <w:r w:rsidRPr="00561D8B">
        <w:rPr>
          <w:rFonts w:cs="Calibri"/>
          <w:sz w:val="22"/>
        </w:rPr>
        <w:t>Adopting “Cloud First”</w:t>
      </w:r>
    </w:p>
    <w:p w:rsidR="00D957F7" w:rsidRDefault="00D52312" w:rsidP="00714D19">
      <w:pPr>
        <w:pStyle w:val="ListParagraph"/>
        <w:numPr>
          <w:ilvl w:val="0"/>
          <w:numId w:val="12"/>
        </w:numPr>
        <w:autoSpaceDE w:val="0"/>
        <w:autoSpaceDN w:val="0"/>
        <w:adjustRightInd w:val="0"/>
        <w:spacing w:after="120"/>
        <w:ind w:left="450" w:hanging="270"/>
        <w:jc w:val="left"/>
        <w:rPr>
          <w:rFonts w:cs="Calibri"/>
          <w:sz w:val="22"/>
        </w:rPr>
      </w:pPr>
      <w:r w:rsidRPr="00D52312">
        <w:rPr>
          <w:noProof/>
          <w:highlight w:val="yellow"/>
        </w:rPr>
        <w:pict>
          <v:shape id="_x0000_s1224" type="#_x0000_t202" style="position:absolute;left:0;text-align:left;margin-left:193.15pt;margin-top:1.45pt;width:296.45pt;height:21.25pt;z-index:251752448" stroked="f">
            <v:textbox style="mso-next-textbox:#_x0000_s1224" inset="0,0,0,0">
              <w:txbxContent>
                <w:p w:rsidR="00F929E8" w:rsidRPr="00BC4F96" w:rsidRDefault="00F929E8" w:rsidP="0079073B">
                  <w:pPr>
                    <w:pStyle w:val="Caption"/>
                    <w:jc w:val="center"/>
                    <w:rPr>
                      <w:rFonts w:cs="Calibri"/>
                      <w:noProof/>
                      <w:color w:val="000000"/>
                      <w:szCs w:val="24"/>
                    </w:rPr>
                  </w:pPr>
                  <w:bookmarkStart w:id="278" w:name="_Toc286762564"/>
                  <w:r>
                    <w:t xml:space="preserve">Figure </w:t>
                  </w:r>
                  <w:fldSimple w:instr=" SEQ Figure \* ARABIC ">
                    <w:r w:rsidR="00C068AF">
                      <w:rPr>
                        <w:noProof/>
                      </w:rPr>
                      <w:t>6</w:t>
                    </w:r>
                  </w:fldSimple>
                  <w:r>
                    <w:t xml:space="preserve"> – Linkage from EA Strategic Change Drivers to Key Priorities</w:t>
                  </w:r>
                  <w:bookmarkEnd w:id="278"/>
                </w:p>
              </w:txbxContent>
            </v:textbox>
            <w10:wrap type="square"/>
          </v:shape>
        </w:pict>
      </w:r>
      <w:r w:rsidR="00D957F7">
        <w:rPr>
          <w:rFonts w:cs="Calibri"/>
          <w:sz w:val="22"/>
        </w:rPr>
        <w:t>Advancing mobile computing</w:t>
      </w:r>
    </w:p>
    <w:p w:rsidR="00D957F7" w:rsidRPr="00561D8B" w:rsidRDefault="00D957F7" w:rsidP="00714D19">
      <w:pPr>
        <w:pStyle w:val="ListParagraph"/>
        <w:numPr>
          <w:ilvl w:val="0"/>
          <w:numId w:val="12"/>
        </w:numPr>
        <w:autoSpaceDE w:val="0"/>
        <w:autoSpaceDN w:val="0"/>
        <w:adjustRightInd w:val="0"/>
        <w:spacing w:after="120"/>
        <w:ind w:left="450" w:hanging="270"/>
        <w:jc w:val="left"/>
        <w:rPr>
          <w:rFonts w:cs="Calibri"/>
          <w:sz w:val="22"/>
        </w:rPr>
      </w:pPr>
      <w:r>
        <w:rPr>
          <w:rFonts w:cs="Calibri"/>
          <w:sz w:val="22"/>
        </w:rPr>
        <w:t>Employing collaborative tools</w:t>
      </w:r>
    </w:p>
    <w:p w:rsidR="00D957F7" w:rsidRPr="00561D8B" w:rsidRDefault="00D957F7" w:rsidP="00714D19">
      <w:pPr>
        <w:pStyle w:val="ListParagraph"/>
        <w:numPr>
          <w:ilvl w:val="0"/>
          <w:numId w:val="12"/>
        </w:numPr>
        <w:autoSpaceDE w:val="0"/>
        <w:autoSpaceDN w:val="0"/>
        <w:adjustRightInd w:val="0"/>
        <w:spacing w:after="120"/>
        <w:ind w:left="450" w:hanging="270"/>
        <w:jc w:val="left"/>
        <w:rPr>
          <w:rFonts w:cs="Calibri"/>
          <w:sz w:val="22"/>
        </w:rPr>
      </w:pPr>
      <w:r w:rsidRPr="00561D8B">
        <w:rPr>
          <w:rFonts w:cs="Calibri"/>
          <w:sz w:val="22"/>
        </w:rPr>
        <w:t xml:space="preserve">Modernizing DOE’s IT infrastructure </w:t>
      </w:r>
    </w:p>
    <w:p w:rsidR="007D6DC1" w:rsidRDefault="00C3456B" w:rsidP="006C3DD7">
      <w:pPr>
        <w:pStyle w:val="ListParagraph"/>
        <w:autoSpaceDE w:val="0"/>
        <w:autoSpaceDN w:val="0"/>
        <w:adjustRightInd w:val="0"/>
        <w:spacing w:after="120"/>
        <w:ind w:left="360" w:firstLine="0"/>
        <w:jc w:val="left"/>
        <w:rPr>
          <w:rFonts w:cs="Calibri"/>
          <w:sz w:val="22"/>
        </w:rPr>
      </w:pPr>
      <w:r>
        <w:rPr>
          <w:rFonts w:cs="Calibri"/>
          <w:sz w:val="22"/>
        </w:rPr>
        <w:t xml:space="preserve"> </w:t>
      </w:r>
    </w:p>
    <w:p w:rsidR="00E720A1" w:rsidRPr="003D7AAC" w:rsidRDefault="00E720A1" w:rsidP="009E3804">
      <w:pPr>
        <w:pStyle w:val="Heading2"/>
        <w:numPr>
          <w:ilvl w:val="1"/>
          <w:numId w:val="30"/>
        </w:numPr>
        <w:spacing w:before="120" w:after="120"/>
        <w:ind w:left="540" w:hanging="540"/>
        <w:jc w:val="left"/>
        <w:rPr>
          <w:rFonts w:asciiTheme="majorHAnsi" w:hAnsiTheme="majorHAnsi" w:cs="Calibri"/>
          <w:color w:val="365F91"/>
          <w:sz w:val="28"/>
          <w:szCs w:val="24"/>
        </w:rPr>
      </w:pPr>
      <w:bookmarkStart w:id="279" w:name="_Toc286753633"/>
      <w:r w:rsidRPr="003D7AAC">
        <w:rPr>
          <w:rFonts w:asciiTheme="majorHAnsi" w:hAnsiTheme="majorHAnsi" w:cs="Calibri"/>
          <w:color w:val="365F91"/>
          <w:sz w:val="28"/>
        </w:rPr>
        <w:t>Business-Oriented Key Initiatives</w:t>
      </w:r>
      <w:bookmarkEnd w:id="279"/>
    </w:p>
    <w:p w:rsidR="00E720A1" w:rsidRPr="003D7AAC" w:rsidRDefault="00E720A1" w:rsidP="009E3804">
      <w:pPr>
        <w:pStyle w:val="Heading3"/>
        <w:numPr>
          <w:ilvl w:val="2"/>
          <w:numId w:val="30"/>
        </w:numPr>
        <w:spacing w:before="120" w:after="120"/>
        <w:ind w:left="900" w:hanging="900"/>
        <w:jc w:val="left"/>
        <w:rPr>
          <w:rFonts w:asciiTheme="majorHAnsi" w:hAnsiTheme="majorHAnsi" w:cs="Calibri"/>
          <w:color w:val="365F91"/>
          <w:sz w:val="28"/>
        </w:rPr>
      </w:pPr>
      <w:bookmarkStart w:id="280" w:name="_Toc286753634"/>
      <w:r w:rsidRPr="003D7AAC">
        <w:rPr>
          <w:rFonts w:asciiTheme="majorHAnsi" w:hAnsiTheme="majorHAnsi" w:cs="Calibri"/>
          <w:color w:val="365F91"/>
          <w:sz w:val="28"/>
        </w:rPr>
        <w:t>Implementing Sustainability</w:t>
      </w:r>
      <w:bookmarkEnd w:id="280"/>
      <w:r w:rsidRPr="003D7AAC">
        <w:rPr>
          <w:rFonts w:asciiTheme="majorHAnsi" w:hAnsiTheme="majorHAnsi" w:cs="Calibri"/>
          <w:color w:val="365F91"/>
          <w:sz w:val="28"/>
        </w:rPr>
        <w:t xml:space="preserve"> </w:t>
      </w:r>
    </w:p>
    <w:p w:rsidR="00BB31EB" w:rsidRDefault="005A32CF" w:rsidP="00DA1C63">
      <w:pPr>
        <w:ind w:left="0" w:firstLine="0"/>
        <w:jc w:val="left"/>
        <w:rPr>
          <w:color w:val="000000"/>
          <w:sz w:val="24"/>
          <w:szCs w:val="24"/>
        </w:rPr>
      </w:pPr>
      <w:r w:rsidRPr="005A32CF">
        <w:rPr>
          <w:noProof/>
        </w:rPr>
        <w:drawing>
          <wp:anchor distT="0" distB="0" distL="114300" distR="114300" simplePos="0" relativeHeight="251769856" behindDoc="0" locked="0" layoutInCell="1" allowOverlap="1">
            <wp:simplePos x="0" y="0"/>
            <wp:positionH relativeFrom="margin">
              <wp:posOffset>3619500</wp:posOffset>
            </wp:positionH>
            <wp:positionV relativeFrom="margin">
              <wp:posOffset>923925</wp:posOffset>
            </wp:positionV>
            <wp:extent cx="2324100" cy="3200400"/>
            <wp:effectExtent l="1905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324100" cy="3200400"/>
                    </a:xfrm>
                    <a:prstGeom prst="rect">
                      <a:avLst/>
                    </a:prstGeom>
                    <a:noFill/>
                    <a:ln w="9525">
                      <a:noFill/>
                      <a:miter lim="800000"/>
                      <a:headEnd/>
                      <a:tailEnd/>
                    </a:ln>
                  </pic:spPr>
                </pic:pic>
              </a:graphicData>
            </a:graphic>
          </wp:anchor>
        </w:drawing>
      </w:r>
      <w:r w:rsidRPr="005A32CF">
        <w:t xml:space="preserve"> </w:t>
      </w:r>
      <w:r w:rsidR="00E720A1" w:rsidRPr="00561D8B">
        <w:rPr>
          <w:sz w:val="22"/>
          <w:szCs w:val="22"/>
        </w:rPr>
        <w:t>Sustainability</w:t>
      </w:r>
      <w:r w:rsidR="00D957F7">
        <w:rPr>
          <w:sz w:val="22"/>
          <w:szCs w:val="22"/>
        </w:rPr>
        <w:t xml:space="preserve"> </w:t>
      </w:r>
      <w:r w:rsidR="00E720A1" w:rsidRPr="00561D8B">
        <w:rPr>
          <w:sz w:val="22"/>
          <w:szCs w:val="22"/>
        </w:rPr>
        <w:t>considerations are an integral part of DOE’s target architecture planning.</w:t>
      </w:r>
      <w:r w:rsidR="00C3456B">
        <w:rPr>
          <w:sz w:val="22"/>
          <w:szCs w:val="22"/>
        </w:rPr>
        <w:t xml:space="preserve"> </w:t>
      </w:r>
      <w:r w:rsidR="00E720A1" w:rsidRPr="00561D8B">
        <w:rPr>
          <w:sz w:val="22"/>
          <w:szCs w:val="22"/>
        </w:rPr>
        <w:t xml:space="preserve"> DOE is pursuing clean, secure energy, </w:t>
      </w:r>
      <w:r w:rsidR="008E66E8">
        <w:rPr>
          <w:sz w:val="22"/>
          <w:szCs w:val="22"/>
        </w:rPr>
        <w:t>and</w:t>
      </w:r>
      <w:r w:rsidR="00E720A1" w:rsidRPr="00561D8B">
        <w:rPr>
          <w:sz w:val="22"/>
          <w:szCs w:val="22"/>
        </w:rPr>
        <w:t xml:space="preserve"> reducing our dependence on oil and changing the landscape of energy demand and supply. The </w:t>
      </w:r>
      <w:r w:rsidR="001A483E">
        <w:rPr>
          <w:sz w:val="22"/>
          <w:szCs w:val="22"/>
        </w:rPr>
        <w:t>Department</w:t>
      </w:r>
      <w:r w:rsidR="00E720A1" w:rsidRPr="00561D8B">
        <w:rPr>
          <w:sz w:val="22"/>
          <w:szCs w:val="22"/>
        </w:rPr>
        <w:t xml:space="preserve"> is positioning the U.S. to lead on climate change technology and science. DOE advances economic prosperity by creating green jobs and increasing the </w:t>
      </w:r>
      <w:r w:rsidR="00E720A1">
        <w:rPr>
          <w:sz w:val="22"/>
          <w:szCs w:val="22"/>
        </w:rPr>
        <w:t>n</w:t>
      </w:r>
      <w:r w:rsidR="00E720A1" w:rsidRPr="00561D8B">
        <w:rPr>
          <w:sz w:val="22"/>
          <w:szCs w:val="22"/>
        </w:rPr>
        <w:t>ation’s competitiveness</w:t>
      </w:r>
      <w:r w:rsidR="00E720A1">
        <w:rPr>
          <w:sz w:val="22"/>
          <w:szCs w:val="22"/>
        </w:rPr>
        <w:t>.</w:t>
      </w:r>
      <w:bookmarkStart w:id="281" w:name="_Toc285534203"/>
      <w:bookmarkStart w:id="282" w:name="_Toc285548182"/>
    </w:p>
    <w:p w:rsidR="00BB31EB" w:rsidRDefault="00BB31EB" w:rsidP="00DA1C63">
      <w:pPr>
        <w:ind w:left="0" w:firstLine="0"/>
        <w:jc w:val="left"/>
        <w:rPr>
          <w:color w:val="000000"/>
          <w:sz w:val="24"/>
          <w:szCs w:val="24"/>
        </w:rPr>
      </w:pPr>
    </w:p>
    <w:p w:rsidR="00DB5A9D" w:rsidRPr="00E720A1" w:rsidRDefault="000D4E2C" w:rsidP="00DA1C63">
      <w:pPr>
        <w:ind w:left="0" w:firstLine="0"/>
        <w:jc w:val="left"/>
        <w:rPr>
          <w:color w:val="000000"/>
          <w:sz w:val="24"/>
          <w:szCs w:val="24"/>
        </w:rPr>
      </w:pPr>
      <w:r w:rsidRPr="00561D8B">
        <w:rPr>
          <w:sz w:val="22"/>
          <w:szCs w:val="22"/>
        </w:rPr>
        <w:t xml:space="preserve">The DOE Strategic Sustainability Performance Plan (SSPP) is fundamentally based on the </w:t>
      </w:r>
      <w:r w:rsidR="001A483E">
        <w:rPr>
          <w:sz w:val="22"/>
          <w:szCs w:val="22"/>
        </w:rPr>
        <w:t>Department</w:t>
      </w:r>
      <w:r w:rsidRPr="00561D8B">
        <w:rPr>
          <w:sz w:val="22"/>
          <w:szCs w:val="22"/>
        </w:rPr>
        <w:t>’s mission, vision, and strategic plan. It is through these synergies that DOE will meet the goals of all the applicable “greening the government” executive orders and statutes.</w:t>
      </w:r>
      <w:r w:rsidR="00C3456B">
        <w:rPr>
          <w:sz w:val="22"/>
          <w:szCs w:val="22"/>
        </w:rPr>
        <w:t xml:space="preserve"> </w:t>
      </w:r>
      <w:r w:rsidR="00675999">
        <w:rPr>
          <w:sz w:val="22"/>
          <w:szCs w:val="22"/>
        </w:rPr>
        <w:t xml:space="preserve"> The SSPP has three scopes to it</w:t>
      </w:r>
      <w:r w:rsidR="004A1EF4">
        <w:rPr>
          <w:sz w:val="22"/>
          <w:szCs w:val="22"/>
        </w:rPr>
        <w:t xml:space="preserve">s </w:t>
      </w:r>
      <w:r w:rsidR="00675999">
        <w:rPr>
          <w:sz w:val="22"/>
          <w:szCs w:val="22"/>
        </w:rPr>
        <w:t>goals as shown in Figure 1</w:t>
      </w:r>
      <w:r w:rsidR="00083434">
        <w:rPr>
          <w:sz w:val="22"/>
          <w:szCs w:val="22"/>
        </w:rPr>
        <w:t>0</w:t>
      </w:r>
      <w:r w:rsidR="00675999">
        <w:rPr>
          <w:sz w:val="22"/>
          <w:szCs w:val="22"/>
        </w:rPr>
        <w:t>.</w:t>
      </w:r>
    </w:p>
    <w:p w:rsidR="00DB5A9D" w:rsidRDefault="00DB5A9D" w:rsidP="00DA1C63">
      <w:pPr>
        <w:ind w:left="0" w:firstLine="0"/>
        <w:jc w:val="left"/>
        <w:rPr>
          <w:sz w:val="22"/>
          <w:szCs w:val="22"/>
        </w:rPr>
      </w:pPr>
    </w:p>
    <w:p w:rsidR="000F02EC" w:rsidRPr="00561D8B" w:rsidRDefault="008B5044" w:rsidP="00DA1C63">
      <w:pPr>
        <w:ind w:left="0" w:firstLine="0"/>
        <w:jc w:val="left"/>
        <w:rPr>
          <w:sz w:val="22"/>
          <w:szCs w:val="22"/>
        </w:rPr>
      </w:pPr>
      <w:r>
        <w:rPr>
          <w:sz w:val="22"/>
          <w:szCs w:val="22"/>
        </w:rPr>
        <w:t xml:space="preserve">The </w:t>
      </w:r>
      <w:r w:rsidR="000F02EC" w:rsidRPr="00561D8B">
        <w:rPr>
          <w:sz w:val="22"/>
          <w:szCs w:val="22"/>
        </w:rPr>
        <w:t>DOE has established sustainability goals which are:</w:t>
      </w:r>
    </w:p>
    <w:p w:rsidR="000F02EC" w:rsidRPr="00561D8B" w:rsidRDefault="000F02EC" w:rsidP="00DA1C63">
      <w:pPr>
        <w:autoSpaceDE w:val="0"/>
        <w:autoSpaceDN w:val="0"/>
        <w:adjustRightInd w:val="0"/>
        <w:ind w:left="540" w:hanging="360"/>
        <w:jc w:val="left"/>
        <w:rPr>
          <w:sz w:val="22"/>
          <w:szCs w:val="22"/>
        </w:rPr>
      </w:pPr>
      <w:r w:rsidRPr="00561D8B">
        <w:rPr>
          <w:sz w:val="22"/>
          <w:szCs w:val="22"/>
        </w:rPr>
        <w:t xml:space="preserve">• </w:t>
      </w:r>
      <w:r w:rsidRPr="00561D8B">
        <w:rPr>
          <w:sz w:val="22"/>
          <w:szCs w:val="22"/>
        </w:rPr>
        <w:tab/>
      </w:r>
      <w:r w:rsidRPr="00561D8B">
        <w:rPr>
          <w:b/>
          <w:bCs/>
          <w:i/>
          <w:iCs/>
          <w:sz w:val="22"/>
          <w:szCs w:val="22"/>
        </w:rPr>
        <w:t>Innovation</w:t>
      </w:r>
      <w:r w:rsidRPr="00561D8B">
        <w:rPr>
          <w:b/>
          <w:bCs/>
          <w:sz w:val="22"/>
          <w:szCs w:val="22"/>
        </w:rPr>
        <w:t xml:space="preserve">, </w:t>
      </w:r>
      <w:r w:rsidRPr="00561D8B">
        <w:rPr>
          <w:sz w:val="22"/>
          <w:szCs w:val="22"/>
        </w:rPr>
        <w:t>to maintain U.S. global leadership in science and engineering</w:t>
      </w:r>
    </w:p>
    <w:p w:rsidR="000F02EC" w:rsidRPr="00561D8B" w:rsidRDefault="000F02EC" w:rsidP="009E3804">
      <w:pPr>
        <w:pStyle w:val="ListParagraph"/>
        <w:numPr>
          <w:ilvl w:val="0"/>
          <w:numId w:val="7"/>
        </w:numPr>
        <w:autoSpaceDE w:val="0"/>
        <w:autoSpaceDN w:val="0"/>
        <w:adjustRightInd w:val="0"/>
        <w:ind w:left="540"/>
        <w:jc w:val="left"/>
        <w:rPr>
          <w:rFonts w:cs="Calibri"/>
          <w:sz w:val="22"/>
          <w:szCs w:val="22"/>
        </w:rPr>
      </w:pPr>
      <w:r w:rsidRPr="00561D8B">
        <w:rPr>
          <w:rFonts w:cs="Calibri"/>
          <w:sz w:val="22"/>
          <w:szCs w:val="22"/>
        </w:rPr>
        <w:t xml:space="preserve"> </w:t>
      </w:r>
      <w:r w:rsidRPr="00561D8B">
        <w:rPr>
          <w:rFonts w:cs="Calibri"/>
          <w:b/>
          <w:bCs/>
          <w:i/>
          <w:iCs/>
          <w:sz w:val="22"/>
          <w:szCs w:val="22"/>
        </w:rPr>
        <w:t xml:space="preserve">Energy, </w:t>
      </w:r>
      <w:r w:rsidRPr="00561D8B">
        <w:rPr>
          <w:rFonts w:cs="Calibri"/>
          <w:sz w:val="22"/>
          <w:szCs w:val="22"/>
        </w:rPr>
        <w:t>to build a competitive and sustainable clean energy economy to secure America’s energy future</w:t>
      </w:r>
    </w:p>
    <w:p w:rsidR="000F02EC" w:rsidRPr="00561D8B" w:rsidRDefault="000F02EC" w:rsidP="00DA1C63">
      <w:pPr>
        <w:autoSpaceDE w:val="0"/>
        <w:autoSpaceDN w:val="0"/>
        <w:adjustRightInd w:val="0"/>
        <w:spacing w:after="200"/>
        <w:ind w:left="540" w:hanging="360"/>
        <w:jc w:val="left"/>
        <w:rPr>
          <w:sz w:val="22"/>
          <w:szCs w:val="22"/>
        </w:rPr>
      </w:pPr>
      <w:r w:rsidRPr="00561D8B">
        <w:rPr>
          <w:sz w:val="22"/>
          <w:szCs w:val="22"/>
        </w:rPr>
        <w:t xml:space="preserve">• </w:t>
      </w:r>
      <w:r w:rsidRPr="00561D8B">
        <w:rPr>
          <w:sz w:val="22"/>
          <w:szCs w:val="22"/>
        </w:rPr>
        <w:tab/>
      </w:r>
      <w:r w:rsidRPr="00561D8B">
        <w:rPr>
          <w:b/>
          <w:bCs/>
          <w:i/>
          <w:iCs/>
          <w:sz w:val="22"/>
          <w:szCs w:val="22"/>
        </w:rPr>
        <w:t xml:space="preserve">Security, </w:t>
      </w:r>
      <w:r w:rsidRPr="00561D8B">
        <w:rPr>
          <w:sz w:val="22"/>
          <w:szCs w:val="22"/>
        </w:rPr>
        <w:t>to reduce nuclear dangers and environmental risks</w:t>
      </w:r>
    </w:p>
    <w:p w:rsidR="00A278F4" w:rsidRPr="00A278F4" w:rsidRDefault="008B5044" w:rsidP="005A32CF">
      <w:pPr>
        <w:autoSpaceDE w:val="0"/>
        <w:autoSpaceDN w:val="0"/>
        <w:adjustRightInd w:val="0"/>
        <w:ind w:left="0" w:firstLine="0"/>
        <w:jc w:val="left"/>
        <w:rPr>
          <w:b/>
          <w:bCs/>
          <w:vanish/>
          <w:color w:val="548DD4"/>
          <w:sz w:val="24"/>
          <w:szCs w:val="26"/>
        </w:rPr>
      </w:pPr>
      <w:r>
        <w:rPr>
          <w:sz w:val="22"/>
          <w:szCs w:val="22"/>
        </w:rPr>
        <w:t>EA</w:t>
      </w:r>
      <w:r w:rsidR="000F02EC" w:rsidRPr="00561D8B">
        <w:rPr>
          <w:sz w:val="22"/>
          <w:szCs w:val="22"/>
        </w:rPr>
        <w:t xml:space="preserve"> as a discipline can contribute to sustainability from planning through execution.</w:t>
      </w:r>
      <w:bookmarkStart w:id="283" w:name="_Toc285714623"/>
      <w:bookmarkStart w:id="284" w:name="_Toc285714712"/>
      <w:bookmarkStart w:id="285" w:name="_Toc285716079"/>
      <w:bookmarkStart w:id="286" w:name="_Toc285716174"/>
      <w:bookmarkStart w:id="287" w:name="_Toc285720097"/>
      <w:bookmarkStart w:id="288" w:name="_Toc285720193"/>
      <w:bookmarkStart w:id="289" w:name="_Toc285798630"/>
      <w:bookmarkStart w:id="290" w:name="_Toc285798719"/>
      <w:bookmarkStart w:id="291" w:name="_Toc285798808"/>
      <w:bookmarkStart w:id="292" w:name="_Toc285798903"/>
      <w:bookmarkStart w:id="293" w:name="_Toc285534206"/>
      <w:bookmarkStart w:id="294" w:name="_Toc285548185"/>
      <w:bookmarkEnd w:id="283"/>
      <w:bookmarkEnd w:id="284"/>
      <w:bookmarkEnd w:id="285"/>
      <w:bookmarkEnd w:id="286"/>
      <w:bookmarkEnd w:id="287"/>
      <w:bookmarkEnd w:id="288"/>
      <w:bookmarkEnd w:id="289"/>
      <w:bookmarkEnd w:id="290"/>
      <w:bookmarkEnd w:id="291"/>
      <w:bookmarkEnd w:id="292"/>
      <w:r w:rsidR="00C3456B">
        <w:rPr>
          <w:sz w:val="22"/>
          <w:szCs w:val="22"/>
        </w:rPr>
        <w:t xml:space="preserve"> </w:t>
      </w:r>
      <w:r>
        <w:rPr>
          <w:sz w:val="22"/>
          <w:szCs w:val="22"/>
        </w:rPr>
        <w:t xml:space="preserve">DOE </w:t>
      </w:r>
      <w:r w:rsidR="00467A34" w:rsidRPr="00561D8B">
        <w:rPr>
          <w:sz w:val="22"/>
          <w:szCs w:val="22"/>
        </w:rPr>
        <w:t>maintains one‐of‐a‐kind mission essential facilities (accelerators, light sources, nuclear processes, petroleum reserves and supercomputing facilities) that are inherently energy and/or water intensive.</w:t>
      </w:r>
      <w:r w:rsidR="00C3456B">
        <w:rPr>
          <w:sz w:val="22"/>
          <w:szCs w:val="22"/>
        </w:rPr>
        <w:t xml:space="preserve"> </w:t>
      </w:r>
      <w:r w:rsidR="00467A34" w:rsidRPr="00561D8B">
        <w:rPr>
          <w:sz w:val="22"/>
          <w:szCs w:val="22"/>
        </w:rPr>
        <w:t xml:space="preserve">To address these unique sustainability issues, the </w:t>
      </w:r>
      <w:r w:rsidR="001A483E">
        <w:rPr>
          <w:sz w:val="22"/>
          <w:szCs w:val="22"/>
        </w:rPr>
        <w:t>Department</w:t>
      </w:r>
      <w:r w:rsidR="00467A34" w:rsidRPr="00561D8B">
        <w:rPr>
          <w:sz w:val="22"/>
          <w:szCs w:val="22"/>
        </w:rPr>
        <w:t xml:space="preserve"> will establish internal expert transformation teams, accountable to each Under Secretary, to determine opportunities to improve the energy and water use efficiency of these facilities. The </w:t>
      </w:r>
      <w:r w:rsidR="001A483E">
        <w:rPr>
          <w:sz w:val="22"/>
          <w:szCs w:val="22"/>
        </w:rPr>
        <w:t>Department</w:t>
      </w:r>
      <w:r w:rsidR="00467A34" w:rsidRPr="00561D8B">
        <w:rPr>
          <w:sz w:val="22"/>
          <w:szCs w:val="22"/>
        </w:rPr>
        <w:t xml:space="preserve"> will establish a process to account for, and report their energy, water and greenhouse gas </w:t>
      </w:r>
      <w:r w:rsidR="00473911" w:rsidRPr="00561D8B">
        <w:rPr>
          <w:sz w:val="22"/>
          <w:szCs w:val="22"/>
        </w:rPr>
        <w:t>(</w:t>
      </w:r>
      <w:r w:rsidR="00467A34" w:rsidRPr="00561D8B">
        <w:rPr>
          <w:sz w:val="22"/>
          <w:szCs w:val="22"/>
        </w:rPr>
        <w:t>GHG</w:t>
      </w:r>
      <w:r w:rsidR="00473911" w:rsidRPr="00561D8B">
        <w:rPr>
          <w:sz w:val="22"/>
          <w:szCs w:val="22"/>
        </w:rPr>
        <w:t>)</w:t>
      </w:r>
      <w:r w:rsidR="00467A34" w:rsidRPr="00561D8B">
        <w:rPr>
          <w:sz w:val="22"/>
          <w:szCs w:val="22"/>
        </w:rPr>
        <w:t xml:space="preserve"> contribution/reduction concurrent with its normal facilities portfo</w:t>
      </w:r>
      <w:r>
        <w:rPr>
          <w:sz w:val="22"/>
          <w:szCs w:val="22"/>
        </w:rPr>
        <w:t xml:space="preserve">lio. </w:t>
      </w:r>
      <w:bookmarkStart w:id="295" w:name="_Toc285970475"/>
      <w:bookmarkStart w:id="296" w:name="_Toc285970575"/>
      <w:bookmarkStart w:id="297" w:name="_Toc285972202"/>
      <w:bookmarkStart w:id="298" w:name="_Toc285972347"/>
      <w:bookmarkStart w:id="299" w:name="_Toc286088575"/>
      <w:bookmarkStart w:id="300" w:name="_Toc286088651"/>
      <w:bookmarkStart w:id="301" w:name="_Toc286119157"/>
      <w:bookmarkStart w:id="302" w:name="_Toc286119235"/>
      <w:bookmarkStart w:id="303" w:name="_Toc286123535"/>
      <w:bookmarkStart w:id="304" w:name="_Toc286123614"/>
      <w:bookmarkStart w:id="305" w:name="_Toc286714982"/>
      <w:bookmarkStart w:id="306" w:name="_Toc286715090"/>
      <w:bookmarkStart w:id="307" w:name="_Toc286729228"/>
      <w:bookmarkStart w:id="308" w:name="_Toc286729343"/>
      <w:bookmarkStart w:id="309" w:name="_Toc286737826"/>
      <w:bookmarkStart w:id="310" w:name="_Toc286737933"/>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A278F4" w:rsidRPr="00A278F4" w:rsidRDefault="00A278F4" w:rsidP="009E3804">
      <w:pPr>
        <w:pStyle w:val="ListParagraph"/>
        <w:keepNext/>
        <w:numPr>
          <w:ilvl w:val="0"/>
          <w:numId w:val="16"/>
        </w:numPr>
        <w:spacing w:before="120" w:after="120"/>
        <w:contextualSpacing w:val="0"/>
        <w:jc w:val="left"/>
        <w:outlineLvl w:val="2"/>
        <w:rPr>
          <w:rFonts w:cs="Calibri"/>
          <w:b/>
          <w:bCs/>
          <w:vanish/>
          <w:color w:val="548DD4"/>
          <w:sz w:val="24"/>
          <w:szCs w:val="26"/>
        </w:rPr>
      </w:pPr>
      <w:bookmarkStart w:id="311" w:name="_Toc286119158"/>
      <w:bookmarkStart w:id="312" w:name="_Toc286119236"/>
      <w:bookmarkStart w:id="313" w:name="_Toc286123536"/>
      <w:bookmarkStart w:id="314" w:name="_Toc286123615"/>
      <w:bookmarkStart w:id="315" w:name="_Toc286714983"/>
      <w:bookmarkStart w:id="316" w:name="_Toc286715091"/>
      <w:bookmarkStart w:id="317" w:name="_Toc286729229"/>
      <w:bookmarkStart w:id="318" w:name="_Toc286729344"/>
      <w:bookmarkStart w:id="319" w:name="_Toc286737827"/>
      <w:bookmarkStart w:id="320" w:name="_Toc286737934"/>
      <w:bookmarkStart w:id="321" w:name="_Toc286752743"/>
      <w:bookmarkStart w:id="322" w:name="_Toc286752851"/>
      <w:bookmarkStart w:id="323" w:name="_Toc286753635"/>
      <w:bookmarkEnd w:id="311"/>
      <w:bookmarkEnd w:id="312"/>
      <w:bookmarkEnd w:id="313"/>
      <w:bookmarkEnd w:id="314"/>
      <w:bookmarkEnd w:id="315"/>
      <w:bookmarkEnd w:id="316"/>
      <w:bookmarkEnd w:id="317"/>
      <w:bookmarkEnd w:id="318"/>
      <w:bookmarkEnd w:id="319"/>
      <w:bookmarkEnd w:id="320"/>
      <w:bookmarkEnd w:id="321"/>
      <w:bookmarkEnd w:id="322"/>
      <w:bookmarkEnd w:id="323"/>
    </w:p>
    <w:p w:rsidR="00A278F4" w:rsidRPr="00A278F4" w:rsidRDefault="00A278F4" w:rsidP="009E3804">
      <w:pPr>
        <w:pStyle w:val="ListParagraph"/>
        <w:keepNext/>
        <w:numPr>
          <w:ilvl w:val="0"/>
          <w:numId w:val="16"/>
        </w:numPr>
        <w:spacing w:before="120" w:after="120"/>
        <w:contextualSpacing w:val="0"/>
        <w:jc w:val="left"/>
        <w:outlineLvl w:val="2"/>
        <w:rPr>
          <w:rFonts w:cs="Calibri"/>
          <w:b/>
          <w:bCs/>
          <w:vanish/>
          <w:color w:val="548DD4"/>
          <w:sz w:val="24"/>
          <w:szCs w:val="26"/>
        </w:rPr>
      </w:pPr>
      <w:bookmarkStart w:id="324" w:name="_Toc286119159"/>
      <w:bookmarkStart w:id="325" w:name="_Toc286119237"/>
      <w:bookmarkStart w:id="326" w:name="_Toc286123537"/>
      <w:bookmarkStart w:id="327" w:name="_Toc286123616"/>
      <w:bookmarkStart w:id="328" w:name="_Toc286714984"/>
      <w:bookmarkStart w:id="329" w:name="_Toc286715092"/>
      <w:bookmarkStart w:id="330" w:name="_Toc286729230"/>
      <w:bookmarkStart w:id="331" w:name="_Toc286729345"/>
      <w:bookmarkStart w:id="332" w:name="_Toc286737828"/>
      <w:bookmarkStart w:id="333" w:name="_Toc286737935"/>
      <w:bookmarkStart w:id="334" w:name="_Toc286752744"/>
      <w:bookmarkStart w:id="335" w:name="_Toc286752852"/>
      <w:bookmarkStart w:id="336" w:name="_Toc286753636"/>
      <w:bookmarkEnd w:id="324"/>
      <w:bookmarkEnd w:id="325"/>
      <w:bookmarkEnd w:id="326"/>
      <w:bookmarkEnd w:id="327"/>
      <w:bookmarkEnd w:id="328"/>
      <w:bookmarkEnd w:id="329"/>
      <w:bookmarkEnd w:id="330"/>
      <w:bookmarkEnd w:id="331"/>
      <w:bookmarkEnd w:id="332"/>
      <w:bookmarkEnd w:id="333"/>
      <w:bookmarkEnd w:id="334"/>
      <w:bookmarkEnd w:id="335"/>
      <w:bookmarkEnd w:id="336"/>
    </w:p>
    <w:p w:rsidR="00A278F4" w:rsidRPr="00A278F4" w:rsidRDefault="00A278F4" w:rsidP="009E3804">
      <w:pPr>
        <w:pStyle w:val="ListParagraph"/>
        <w:keepNext/>
        <w:numPr>
          <w:ilvl w:val="0"/>
          <w:numId w:val="16"/>
        </w:numPr>
        <w:spacing w:before="120" w:after="120"/>
        <w:contextualSpacing w:val="0"/>
        <w:jc w:val="left"/>
        <w:outlineLvl w:val="2"/>
        <w:rPr>
          <w:rFonts w:cs="Calibri"/>
          <w:b/>
          <w:bCs/>
          <w:vanish/>
          <w:color w:val="548DD4"/>
          <w:sz w:val="24"/>
          <w:szCs w:val="26"/>
        </w:rPr>
      </w:pPr>
      <w:bookmarkStart w:id="337" w:name="_Toc286119160"/>
      <w:bookmarkStart w:id="338" w:name="_Toc286119238"/>
      <w:bookmarkStart w:id="339" w:name="_Toc286123538"/>
      <w:bookmarkStart w:id="340" w:name="_Toc286123617"/>
      <w:bookmarkStart w:id="341" w:name="_Toc286714985"/>
      <w:bookmarkStart w:id="342" w:name="_Toc286715093"/>
      <w:bookmarkStart w:id="343" w:name="_Toc286729231"/>
      <w:bookmarkStart w:id="344" w:name="_Toc286729346"/>
      <w:bookmarkStart w:id="345" w:name="_Toc286737829"/>
      <w:bookmarkStart w:id="346" w:name="_Toc286737936"/>
      <w:bookmarkStart w:id="347" w:name="_Toc286752745"/>
      <w:bookmarkStart w:id="348" w:name="_Toc286752853"/>
      <w:bookmarkStart w:id="349" w:name="_Toc286753637"/>
      <w:bookmarkEnd w:id="337"/>
      <w:bookmarkEnd w:id="338"/>
      <w:bookmarkEnd w:id="339"/>
      <w:bookmarkEnd w:id="340"/>
      <w:bookmarkEnd w:id="341"/>
      <w:bookmarkEnd w:id="342"/>
      <w:bookmarkEnd w:id="343"/>
      <w:bookmarkEnd w:id="344"/>
      <w:bookmarkEnd w:id="345"/>
      <w:bookmarkEnd w:id="346"/>
      <w:bookmarkEnd w:id="347"/>
      <w:bookmarkEnd w:id="348"/>
      <w:bookmarkEnd w:id="349"/>
    </w:p>
    <w:p w:rsidR="00A278F4" w:rsidRPr="00A278F4" w:rsidRDefault="00A278F4" w:rsidP="009E3804">
      <w:pPr>
        <w:pStyle w:val="ListParagraph"/>
        <w:keepNext/>
        <w:numPr>
          <w:ilvl w:val="1"/>
          <w:numId w:val="16"/>
        </w:numPr>
        <w:spacing w:before="120" w:after="120"/>
        <w:contextualSpacing w:val="0"/>
        <w:jc w:val="left"/>
        <w:outlineLvl w:val="2"/>
        <w:rPr>
          <w:rFonts w:cs="Calibri"/>
          <w:b/>
          <w:bCs/>
          <w:vanish/>
          <w:color w:val="548DD4"/>
          <w:sz w:val="24"/>
          <w:szCs w:val="26"/>
        </w:rPr>
      </w:pPr>
      <w:bookmarkStart w:id="350" w:name="_Toc286119161"/>
      <w:bookmarkStart w:id="351" w:name="_Toc286119239"/>
      <w:bookmarkStart w:id="352" w:name="_Toc286123539"/>
      <w:bookmarkStart w:id="353" w:name="_Toc286123618"/>
      <w:bookmarkStart w:id="354" w:name="_Toc286714986"/>
      <w:bookmarkStart w:id="355" w:name="_Toc286715094"/>
      <w:bookmarkStart w:id="356" w:name="_Toc286729232"/>
      <w:bookmarkStart w:id="357" w:name="_Toc286729347"/>
      <w:bookmarkStart w:id="358" w:name="_Toc286737830"/>
      <w:bookmarkStart w:id="359" w:name="_Toc286737937"/>
      <w:bookmarkStart w:id="360" w:name="_Toc286752746"/>
      <w:bookmarkStart w:id="361" w:name="_Toc286752854"/>
      <w:bookmarkStart w:id="362" w:name="_Toc286753638"/>
      <w:bookmarkEnd w:id="350"/>
      <w:bookmarkEnd w:id="351"/>
      <w:bookmarkEnd w:id="352"/>
      <w:bookmarkEnd w:id="353"/>
      <w:bookmarkEnd w:id="354"/>
      <w:bookmarkEnd w:id="355"/>
      <w:bookmarkEnd w:id="356"/>
      <w:bookmarkEnd w:id="357"/>
      <w:bookmarkEnd w:id="358"/>
      <w:bookmarkEnd w:id="359"/>
      <w:bookmarkEnd w:id="360"/>
      <w:bookmarkEnd w:id="361"/>
      <w:bookmarkEnd w:id="362"/>
    </w:p>
    <w:p w:rsidR="00A278F4" w:rsidRPr="00A278F4" w:rsidRDefault="00A278F4" w:rsidP="009E3804">
      <w:pPr>
        <w:pStyle w:val="ListParagraph"/>
        <w:keepNext/>
        <w:numPr>
          <w:ilvl w:val="2"/>
          <w:numId w:val="16"/>
        </w:numPr>
        <w:spacing w:before="120" w:after="120"/>
        <w:contextualSpacing w:val="0"/>
        <w:jc w:val="left"/>
        <w:outlineLvl w:val="2"/>
        <w:rPr>
          <w:rFonts w:cs="Calibri"/>
          <w:b/>
          <w:bCs/>
          <w:vanish/>
          <w:color w:val="548DD4"/>
          <w:sz w:val="24"/>
          <w:szCs w:val="26"/>
        </w:rPr>
      </w:pPr>
      <w:bookmarkStart w:id="363" w:name="_Toc286119162"/>
      <w:bookmarkStart w:id="364" w:name="_Toc286119240"/>
      <w:bookmarkStart w:id="365" w:name="_Toc286123540"/>
      <w:bookmarkStart w:id="366" w:name="_Toc286123619"/>
      <w:bookmarkStart w:id="367" w:name="_Toc286714987"/>
      <w:bookmarkStart w:id="368" w:name="_Toc286715095"/>
      <w:bookmarkStart w:id="369" w:name="_Toc286729233"/>
      <w:bookmarkStart w:id="370" w:name="_Toc286729348"/>
      <w:bookmarkStart w:id="371" w:name="_Toc286737831"/>
      <w:bookmarkStart w:id="372" w:name="_Toc286737938"/>
      <w:bookmarkStart w:id="373" w:name="_Toc286752747"/>
      <w:bookmarkStart w:id="374" w:name="_Toc286752855"/>
      <w:bookmarkStart w:id="375" w:name="_Toc286753639"/>
      <w:bookmarkEnd w:id="363"/>
      <w:bookmarkEnd w:id="364"/>
      <w:bookmarkEnd w:id="365"/>
      <w:bookmarkEnd w:id="366"/>
      <w:bookmarkEnd w:id="367"/>
      <w:bookmarkEnd w:id="368"/>
      <w:bookmarkEnd w:id="369"/>
      <w:bookmarkEnd w:id="370"/>
      <w:bookmarkEnd w:id="371"/>
      <w:bookmarkEnd w:id="372"/>
      <w:bookmarkEnd w:id="373"/>
      <w:bookmarkEnd w:id="374"/>
      <w:bookmarkEnd w:id="375"/>
    </w:p>
    <w:p w:rsidR="008E66E8" w:rsidRDefault="008E66E8">
      <w:pPr>
        <w:spacing w:line="240" w:lineRule="auto"/>
        <w:ind w:left="0" w:firstLine="0"/>
        <w:jc w:val="left"/>
        <w:rPr>
          <w:rFonts w:asciiTheme="majorHAnsi" w:eastAsia="Times New Roman" w:hAnsiTheme="majorHAnsi"/>
          <w:b/>
          <w:bCs/>
          <w:color w:val="365F91"/>
          <w:sz w:val="28"/>
          <w:szCs w:val="26"/>
        </w:rPr>
      </w:pPr>
      <w:r>
        <w:rPr>
          <w:rFonts w:asciiTheme="majorHAnsi" w:hAnsiTheme="majorHAnsi"/>
          <w:color w:val="365F91"/>
          <w:sz w:val="28"/>
        </w:rPr>
        <w:br w:type="page"/>
      </w:r>
    </w:p>
    <w:p w:rsidR="00B73336" w:rsidRPr="003D7AAC" w:rsidRDefault="0019156D" w:rsidP="009E3804">
      <w:pPr>
        <w:pStyle w:val="Heading3"/>
        <w:numPr>
          <w:ilvl w:val="2"/>
          <w:numId w:val="16"/>
        </w:numPr>
        <w:spacing w:before="120" w:after="120"/>
        <w:ind w:left="900" w:hanging="900"/>
        <w:jc w:val="left"/>
        <w:rPr>
          <w:rFonts w:asciiTheme="majorHAnsi" w:hAnsiTheme="majorHAnsi" w:cs="Calibri"/>
          <w:color w:val="365F91"/>
          <w:sz w:val="28"/>
        </w:rPr>
      </w:pPr>
      <w:bookmarkStart w:id="376" w:name="_Toc286753640"/>
      <w:r w:rsidRPr="003D7AAC">
        <w:rPr>
          <w:rFonts w:asciiTheme="majorHAnsi" w:hAnsiTheme="majorHAnsi" w:cs="Calibri"/>
          <w:color w:val="365F91"/>
          <w:sz w:val="28"/>
        </w:rPr>
        <w:t>Advancing Scientific, Energy, and Nuclear Research</w:t>
      </w:r>
      <w:bookmarkEnd w:id="376"/>
    </w:p>
    <w:p w:rsidR="008B5044" w:rsidRPr="00561D8B" w:rsidRDefault="005A32CF" w:rsidP="008B5044">
      <w:pPr>
        <w:pStyle w:val="PlainText"/>
        <w:spacing w:line="276" w:lineRule="auto"/>
        <w:ind w:left="0" w:firstLine="0"/>
        <w:jc w:val="left"/>
        <w:rPr>
          <w:rFonts w:ascii="Calibri" w:hAnsi="Calibri" w:cs="Calibri"/>
          <w:sz w:val="22"/>
          <w:szCs w:val="22"/>
        </w:rPr>
      </w:pPr>
      <w:r>
        <w:rPr>
          <w:rFonts w:ascii="Calibri" w:hAnsi="Calibri" w:cs="Calibri"/>
          <w:noProof/>
          <w:sz w:val="22"/>
          <w:szCs w:val="22"/>
        </w:rPr>
        <w:drawing>
          <wp:anchor distT="0" distB="0" distL="114300" distR="114300" simplePos="0" relativeHeight="251770880" behindDoc="0" locked="0" layoutInCell="1" allowOverlap="1">
            <wp:simplePos x="0" y="0"/>
            <wp:positionH relativeFrom="margin">
              <wp:posOffset>3814445</wp:posOffset>
            </wp:positionH>
            <wp:positionV relativeFrom="margin">
              <wp:posOffset>1752600</wp:posOffset>
            </wp:positionV>
            <wp:extent cx="2129155" cy="1609725"/>
            <wp:effectExtent l="19050" t="0" r="4445"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129155" cy="1609725"/>
                    </a:xfrm>
                    <a:prstGeom prst="rect">
                      <a:avLst/>
                    </a:prstGeom>
                    <a:noFill/>
                    <a:ln w="9525">
                      <a:noFill/>
                      <a:miter lim="800000"/>
                      <a:headEnd/>
                      <a:tailEnd/>
                    </a:ln>
                  </pic:spPr>
                </pic:pic>
              </a:graphicData>
            </a:graphic>
          </wp:anchor>
        </w:drawing>
      </w:r>
      <w:r w:rsidR="008B5044" w:rsidRPr="00561D8B">
        <w:rPr>
          <w:rFonts w:ascii="Calibri" w:hAnsi="Calibri" w:cs="Calibri"/>
          <w:sz w:val="22"/>
          <w:szCs w:val="22"/>
        </w:rPr>
        <w:t>The DOE is one of the world's leaders in developing high-performance computers.</w:t>
      </w:r>
      <w:r w:rsidR="00C3456B">
        <w:rPr>
          <w:rFonts w:ascii="Calibri" w:hAnsi="Calibri" w:cs="Calibri"/>
          <w:sz w:val="22"/>
          <w:szCs w:val="22"/>
        </w:rPr>
        <w:t xml:space="preserve"> </w:t>
      </w:r>
      <w:r w:rsidR="008B5044" w:rsidRPr="00561D8B">
        <w:rPr>
          <w:rFonts w:ascii="Calibri" w:hAnsi="Calibri" w:cs="Calibri"/>
          <w:sz w:val="22"/>
          <w:szCs w:val="22"/>
        </w:rPr>
        <w:t xml:space="preserve">The </w:t>
      </w:r>
      <w:r w:rsidR="001A483E">
        <w:rPr>
          <w:rFonts w:ascii="Calibri" w:hAnsi="Calibri" w:cs="Calibri"/>
          <w:sz w:val="22"/>
          <w:szCs w:val="22"/>
        </w:rPr>
        <w:t>Department</w:t>
      </w:r>
      <w:r w:rsidR="008B5044" w:rsidRPr="00561D8B">
        <w:rPr>
          <w:rFonts w:ascii="Calibri" w:hAnsi="Calibri" w:cs="Calibri"/>
          <w:sz w:val="22"/>
          <w:szCs w:val="22"/>
        </w:rPr>
        <w:t>’s Super Computing Facilities are being used to simulate the performance, safety, and reliability of nuclear weapons and to certify their functionality.</w:t>
      </w:r>
      <w:r w:rsidR="00C3456B">
        <w:rPr>
          <w:rFonts w:ascii="Calibri" w:hAnsi="Calibri" w:cs="Calibri"/>
          <w:sz w:val="22"/>
          <w:szCs w:val="22"/>
        </w:rPr>
        <w:t xml:space="preserve"> </w:t>
      </w:r>
      <w:r w:rsidR="008B5044" w:rsidRPr="00561D8B">
        <w:rPr>
          <w:rFonts w:ascii="Calibri" w:hAnsi="Calibri" w:cs="Calibri"/>
          <w:sz w:val="22"/>
          <w:szCs w:val="22"/>
        </w:rPr>
        <w:t>They are also used to support open science research in many areas including superconductivity, climate modeling, astrophysics, and fusion energy.</w:t>
      </w:r>
      <w:r w:rsidR="00C3456B">
        <w:rPr>
          <w:rFonts w:ascii="Calibri" w:hAnsi="Calibri" w:cs="Calibri"/>
          <w:sz w:val="22"/>
          <w:szCs w:val="22"/>
        </w:rPr>
        <w:t xml:space="preserve"> </w:t>
      </w:r>
      <w:r w:rsidR="008B5044" w:rsidRPr="00561D8B">
        <w:rPr>
          <w:rFonts w:ascii="Calibri" w:hAnsi="Calibri" w:cs="Calibri"/>
          <w:sz w:val="22"/>
          <w:szCs w:val="22"/>
        </w:rPr>
        <w:t xml:space="preserve">In addition, these facilities are dedicated to their responsibilities in the </w:t>
      </w:r>
      <w:r w:rsidR="001A483E">
        <w:rPr>
          <w:rFonts w:ascii="Calibri" w:hAnsi="Calibri" w:cs="Calibri"/>
          <w:sz w:val="22"/>
          <w:szCs w:val="22"/>
        </w:rPr>
        <w:t>Department</w:t>
      </w:r>
      <w:r w:rsidR="008B5044" w:rsidRPr="00561D8B">
        <w:rPr>
          <w:rFonts w:ascii="Calibri" w:hAnsi="Calibri" w:cs="Calibri"/>
          <w:sz w:val="22"/>
          <w:szCs w:val="22"/>
        </w:rPr>
        <w:t>’s fulfillment of the sustainability initiative and green IT principles.</w:t>
      </w:r>
      <w:r w:rsidR="00C3456B">
        <w:rPr>
          <w:rFonts w:ascii="Calibri" w:hAnsi="Calibri" w:cs="Calibri"/>
          <w:sz w:val="22"/>
          <w:szCs w:val="22"/>
        </w:rPr>
        <w:t xml:space="preserve"> </w:t>
      </w:r>
      <w:r w:rsidR="008B5044" w:rsidRPr="00561D8B">
        <w:rPr>
          <w:rFonts w:ascii="Calibri" w:hAnsi="Calibri" w:cs="Calibri"/>
          <w:sz w:val="22"/>
          <w:szCs w:val="22"/>
        </w:rPr>
        <w:t>They do this, for example, by running th</w:t>
      </w:r>
      <w:r w:rsidR="008B5044">
        <w:rPr>
          <w:rFonts w:ascii="Calibri" w:hAnsi="Calibri" w:cs="Calibri"/>
          <w:sz w:val="22"/>
          <w:szCs w:val="22"/>
        </w:rPr>
        <w:t xml:space="preserve">e </w:t>
      </w:r>
      <w:r w:rsidR="008B5044" w:rsidRPr="00561D8B">
        <w:rPr>
          <w:rFonts w:ascii="Calibri" w:hAnsi="Calibri" w:cs="Calibri"/>
          <w:sz w:val="22"/>
          <w:szCs w:val="22"/>
        </w:rPr>
        <w:t xml:space="preserve">computers off-hours </w:t>
      </w:r>
      <w:proofErr w:type="gramStart"/>
      <w:r w:rsidR="008B5044" w:rsidRPr="00561D8B">
        <w:rPr>
          <w:rFonts w:ascii="Calibri" w:hAnsi="Calibri" w:cs="Calibri"/>
          <w:sz w:val="22"/>
          <w:szCs w:val="22"/>
        </w:rPr>
        <w:t xml:space="preserve">when </w:t>
      </w:r>
      <w:r w:rsidRPr="005A32CF">
        <w:t xml:space="preserve"> </w:t>
      </w:r>
      <w:r w:rsidR="008B5044" w:rsidRPr="00561D8B">
        <w:rPr>
          <w:rFonts w:ascii="Calibri" w:hAnsi="Calibri" w:cs="Calibri"/>
          <w:sz w:val="22"/>
          <w:szCs w:val="22"/>
        </w:rPr>
        <w:t>electrical</w:t>
      </w:r>
      <w:proofErr w:type="gramEnd"/>
      <w:r w:rsidR="008B5044" w:rsidRPr="00561D8B">
        <w:rPr>
          <w:rFonts w:ascii="Calibri" w:hAnsi="Calibri" w:cs="Calibri"/>
          <w:sz w:val="22"/>
          <w:szCs w:val="22"/>
        </w:rPr>
        <w:t xml:space="preserve"> consumption is low and cheap.</w:t>
      </w:r>
      <w:r w:rsidR="00C3456B">
        <w:rPr>
          <w:rFonts w:ascii="Calibri" w:hAnsi="Calibri" w:cs="Calibri"/>
          <w:sz w:val="22"/>
          <w:szCs w:val="22"/>
        </w:rPr>
        <w:t xml:space="preserve"> </w:t>
      </w:r>
      <w:r w:rsidR="008B5044" w:rsidRPr="00561D8B">
        <w:rPr>
          <w:rFonts w:ascii="Calibri" w:hAnsi="Calibri" w:cs="Calibri"/>
          <w:sz w:val="22"/>
          <w:szCs w:val="22"/>
        </w:rPr>
        <w:t xml:space="preserve">They also recycle the heat that is </w:t>
      </w:r>
      <w:r w:rsidR="008B5044">
        <w:rPr>
          <w:rFonts w:ascii="Calibri" w:hAnsi="Calibri" w:cs="Calibri"/>
          <w:sz w:val="22"/>
          <w:szCs w:val="22"/>
        </w:rPr>
        <w:t xml:space="preserve">disseminated by the computer’s larger power supplies </w:t>
      </w:r>
      <w:r w:rsidR="008B5044" w:rsidRPr="00561D8B">
        <w:rPr>
          <w:rFonts w:ascii="Calibri" w:hAnsi="Calibri" w:cs="Calibri"/>
          <w:sz w:val="22"/>
          <w:szCs w:val="22"/>
        </w:rPr>
        <w:t>back into heating the facility itself.</w:t>
      </w:r>
      <w:r w:rsidR="00C3456B">
        <w:rPr>
          <w:rFonts w:ascii="Calibri" w:hAnsi="Calibri" w:cs="Calibri"/>
          <w:sz w:val="22"/>
          <w:szCs w:val="22"/>
        </w:rPr>
        <w:t xml:space="preserve"> </w:t>
      </w:r>
      <w:r w:rsidR="008B5044" w:rsidRPr="00561D8B">
        <w:rPr>
          <w:rFonts w:ascii="Calibri" w:hAnsi="Calibri" w:cs="Calibri"/>
          <w:sz w:val="22"/>
          <w:szCs w:val="22"/>
        </w:rPr>
        <w:t>Lastly, High Performance Computing plays another major role in sustainability by replacing older, less energy-efficient computers with newer, more energy-efficient units and by implementing power management procedures during low demand time.</w:t>
      </w:r>
      <w:r w:rsidR="00C3456B">
        <w:rPr>
          <w:rFonts w:ascii="Calibri" w:hAnsi="Calibri" w:cs="Calibri"/>
          <w:sz w:val="22"/>
          <w:szCs w:val="24"/>
        </w:rPr>
        <w:t xml:space="preserve">       </w:t>
      </w:r>
      <w:r w:rsidR="008B5044" w:rsidRPr="00561D8B">
        <w:rPr>
          <w:rFonts w:ascii="Calibri" w:hAnsi="Calibri" w:cs="Calibri"/>
          <w:sz w:val="22"/>
          <w:szCs w:val="24"/>
        </w:rPr>
        <w:t xml:space="preserve"> </w:t>
      </w:r>
    </w:p>
    <w:p w:rsidR="008B5044" w:rsidRDefault="008B5044" w:rsidP="008B5044">
      <w:pPr>
        <w:pStyle w:val="PlainText"/>
        <w:spacing w:line="276" w:lineRule="auto"/>
        <w:ind w:left="0" w:firstLine="0"/>
        <w:jc w:val="left"/>
        <w:rPr>
          <w:rFonts w:ascii="Calibri" w:hAnsi="Calibri" w:cs="Calibri"/>
          <w:sz w:val="22"/>
          <w:szCs w:val="24"/>
        </w:rPr>
      </w:pPr>
    </w:p>
    <w:p w:rsidR="008B5044" w:rsidRPr="008B5044" w:rsidRDefault="008B5044" w:rsidP="008B5044">
      <w:pPr>
        <w:pStyle w:val="PlainText"/>
        <w:spacing w:line="276" w:lineRule="auto"/>
        <w:ind w:left="0" w:firstLine="0"/>
        <w:jc w:val="left"/>
        <w:rPr>
          <w:rFonts w:ascii="Calibri" w:hAnsi="Calibri" w:cs="Calibri"/>
          <w:sz w:val="22"/>
          <w:szCs w:val="24"/>
        </w:rPr>
      </w:pPr>
      <w:r w:rsidRPr="00561D8B">
        <w:rPr>
          <w:rFonts w:ascii="Calibri" w:hAnsi="Calibri" w:cs="Calibri"/>
          <w:sz w:val="22"/>
          <w:szCs w:val="24"/>
        </w:rPr>
        <w:t>DOE has seven high performance computing systems in the world's top 15 in performance.</w:t>
      </w:r>
      <w:r w:rsidR="00C3456B">
        <w:rPr>
          <w:rFonts w:ascii="Calibri" w:hAnsi="Calibri" w:cs="Calibri"/>
          <w:sz w:val="22"/>
          <w:szCs w:val="24"/>
        </w:rPr>
        <w:t xml:space="preserve"> </w:t>
      </w:r>
      <w:r w:rsidRPr="00561D8B">
        <w:rPr>
          <w:rFonts w:ascii="Calibri" w:hAnsi="Calibri" w:cs="Calibri"/>
          <w:sz w:val="22"/>
          <w:szCs w:val="24"/>
        </w:rPr>
        <w:t>They are located at DOE's Oak Ridge National Laboratory, Lawrence Livermore National Laboratory, Argonne National Laboratory, Sandia National Laboratories, and Lawrence Berkeley National Laboratory.</w:t>
      </w:r>
      <w:r w:rsidR="00C3456B">
        <w:rPr>
          <w:rFonts w:ascii="Calibri" w:hAnsi="Calibri" w:cs="Calibri"/>
          <w:sz w:val="22"/>
          <w:szCs w:val="24"/>
        </w:rPr>
        <w:t xml:space="preserve"> </w:t>
      </w:r>
      <w:r w:rsidR="005A32CF">
        <w:rPr>
          <w:rFonts w:ascii="Calibri" w:hAnsi="Calibri" w:cs="Calibri"/>
          <w:sz w:val="22"/>
          <w:szCs w:val="24"/>
        </w:rPr>
        <w:t xml:space="preserve">These computers are critical to advancing DOE’s research mission and operations. </w:t>
      </w:r>
      <w:r w:rsidR="00C3456B">
        <w:rPr>
          <w:rFonts w:ascii="Calibri" w:hAnsi="Calibri" w:cs="Calibri"/>
          <w:sz w:val="22"/>
          <w:szCs w:val="24"/>
        </w:rPr>
        <w:t xml:space="preserve"> </w:t>
      </w:r>
      <w:r w:rsidR="00FD3CE6">
        <w:rPr>
          <w:rFonts w:ascii="Calibri" w:hAnsi="Calibri" w:cs="Calibri"/>
          <w:sz w:val="22"/>
          <w:szCs w:val="24"/>
        </w:rPr>
        <w:t>DOE plans to maintain its position as a world leader in high performance computing by investing in new computing technologies in the future.</w:t>
      </w:r>
    </w:p>
    <w:p w:rsidR="005A32CF" w:rsidRPr="003D7AAC" w:rsidRDefault="005A32CF" w:rsidP="009E3804">
      <w:pPr>
        <w:pStyle w:val="Heading3"/>
        <w:numPr>
          <w:ilvl w:val="2"/>
          <w:numId w:val="16"/>
        </w:numPr>
        <w:spacing w:before="120" w:after="120"/>
        <w:ind w:left="900" w:hanging="900"/>
        <w:jc w:val="left"/>
        <w:rPr>
          <w:rFonts w:asciiTheme="majorHAnsi" w:hAnsiTheme="majorHAnsi" w:cs="Calibri"/>
          <w:color w:val="365F91"/>
          <w:sz w:val="28"/>
        </w:rPr>
      </w:pPr>
      <w:bookmarkStart w:id="377" w:name="_Toc286753641"/>
      <w:r>
        <w:rPr>
          <w:rFonts w:asciiTheme="majorHAnsi" w:hAnsiTheme="majorHAnsi" w:cs="Calibri"/>
          <w:color w:val="365F91"/>
          <w:sz w:val="28"/>
        </w:rPr>
        <w:t>Measuring the Impact of Research</w:t>
      </w:r>
      <w:bookmarkEnd w:id="377"/>
    </w:p>
    <w:p w:rsidR="005A32CF" w:rsidRPr="005A32CF" w:rsidRDefault="005A32CF" w:rsidP="009E3804">
      <w:pPr>
        <w:pStyle w:val="ListParagraph"/>
        <w:keepNext/>
        <w:numPr>
          <w:ilvl w:val="2"/>
          <w:numId w:val="30"/>
        </w:numPr>
        <w:spacing w:before="120" w:after="120"/>
        <w:contextualSpacing w:val="0"/>
        <w:jc w:val="left"/>
        <w:outlineLvl w:val="2"/>
        <w:rPr>
          <w:rFonts w:asciiTheme="majorHAnsi" w:hAnsiTheme="majorHAnsi" w:cs="Calibri"/>
          <w:b/>
          <w:bCs/>
          <w:vanish/>
          <w:color w:val="365F91"/>
          <w:sz w:val="28"/>
          <w:szCs w:val="26"/>
        </w:rPr>
      </w:pPr>
      <w:bookmarkStart w:id="378" w:name="_Toc286088583"/>
      <w:bookmarkStart w:id="379" w:name="_Toc286088659"/>
      <w:bookmarkStart w:id="380" w:name="_Toc286119164"/>
      <w:bookmarkStart w:id="381" w:name="_Toc286119242"/>
      <w:bookmarkStart w:id="382" w:name="_Toc286123542"/>
      <w:bookmarkStart w:id="383" w:name="_Toc286123621"/>
      <w:bookmarkStart w:id="384" w:name="_Toc286714989"/>
      <w:bookmarkStart w:id="385" w:name="_Toc286715097"/>
      <w:bookmarkStart w:id="386" w:name="_Toc286729235"/>
      <w:bookmarkStart w:id="387" w:name="_Toc286729350"/>
      <w:bookmarkStart w:id="388" w:name="_Toc286737833"/>
      <w:bookmarkStart w:id="389" w:name="_Toc286737940"/>
      <w:bookmarkStart w:id="390" w:name="_Toc286752750"/>
      <w:bookmarkStart w:id="391" w:name="_Toc286752858"/>
      <w:bookmarkStart w:id="392" w:name="_Toc28675364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942D37" w:rsidRPr="00055C64" w:rsidRDefault="00083434" w:rsidP="00F929E8">
      <w:pPr>
        <w:ind w:left="0" w:firstLine="0"/>
        <w:jc w:val="left"/>
        <w:rPr>
          <w:sz w:val="22"/>
        </w:rPr>
      </w:pPr>
      <w:r w:rsidRPr="00055C64">
        <w:rPr>
          <w:noProof/>
          <w:sz w:val="28"/>
        </w:rPr>
        <w:drawing>
          <wp:anchor distT="0" distB="0" distL="114300" distR="114300" simplePos="0" relativeHeight="251693056" behindDoc="0" locked="0" layoutInCell="1" allowOverlap="1">
            <wp:simplePos x="0" y="0"/>
            <wp:positionH relativeFrom="margin">
              <wp:posOffset>3743325</wp:posOffset>
            </wp:positionH>
            <wp:positionV relativeFrom="margin">
              <wp:posOffset>5334000</wp:posOffset>
            </wp:positionV>
            <wp:extent cx="2110105" cy="1276350"/>
            <wp:effectExtent l="19050" t="0" r="4445" b="0"/>
            <wp:wrapSquare wrapText="bothSides"/>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110105" cy="1276350"/>
                    </a:xfrm>
                    <a:prstGeom prst="rect">
                      <a:avLst/>
                    </a:prstGeom>
                    <a:noFill/>
                    <a:ln w="9525">
                      <a:noFill/>
                      <a:miter lim="800000"/>
                      <a:headEnd/>
                      <a:tailEnd/>
                    </a:ln>
                  </pic:spPr>
                </pic:pic>
              </a:graphicData>
            </a:graphic>
          </wp:anchor>
        </w:drawing>
      </w:r>
      <w:r w:rsidR="00942D37" w:rsidRPr="00055C64">
        <w:rPr>
          <w:sz w:val="22"/>
        </w:rPr>
        <w:t xml:space="preserve">An additional element of managing Federal research funding is ensuring the </w:t>
      </w:r>
      <w:r w:rsidR="005165BF" w:rsidRPr="00055C64">
        <w:rPr>
          <w:sz w:val="22"/>
        </w:rPr>
        <w:t>n</w:t>
      </w:r>
      <w:r w:rsidR="00942D37" w:rsidRPr="00055C64">
        <w:rPr>
          <w:sz w:val="22"/>
        </w:rPr>
        <w:t>ation realizes a reaso</w:t>
      </w:r>
      <w:r w:rsidR="00FD3CE6" w:rsidRPr="00055C64">
        <w:rPr>
          <w:sz w:val="22"/>
        </w:rPr>
        <w:t>nable return-on-investment</w:t>
      </w:r>
      <w:r w:rsidR="00942D37" w:rsidRPr="00055C64">
        <w:rPr>
          <w:sz w:val="22"/>
        </w:rPr>
        <w:t>.</w:t>
      </w:r>
      <w:r w:rsidR="00C3456B" w:rsidRPr="00055C64">
        <w:rPr>
          <w:sz w:val="22"/>
        </w:rPr>
        <w:t xml:space="preserve"> </w:t>
      </w:r>
      <w:r w:rsidR="00942D37" w:rsidRPr="00055C64">
        <w:rPr>
          <w:sz w:val="22"/>
        </w:rPr>
        <w:t xml:space="preserve">Economic realities, public perception and direct guidance from the administration require the </w:t>
      </w:r>
      <w:r w:rsidR="001A483E" w:rsidRPr="00055C64">
        <w:rPr>
          <w:sz w:val="22"/>
        </w:rPr>
        <w:t>Department</w:t>
      </w:r>
      <w:r w:rsidR="00942D37" w:rsidRPr="00055C64">
        <w:rPr>
          <w:sz w:val="22"/>
        </w:rPr>
        <w:t xml:space="preserve"> understand and deliver on the fiduciary resources invested in this area and assess the impact of spending these program funds</w:t>
      </w:r>
      <w:r w:rsidR="005165BF" w:rsidRPr="00055C64">
        <w:rPr>
          <w:sz w:val="22"/>
        </w:rPr>
        <w:t>.</w:t>
      </w:r>
      <w:r w:rsidR="00C3456B" w:rsidRPr="00055C64">
        <w:rPr>
          <w:sz w:val="22"/>
        </w:rPr>
        <w:t xml:space="preserve"> </w:t>
      </w:r>
      <w:r w:rsidR="00942D37" w:rsidRPr="00055C64">
        <w:rPr>
          <w:sz w:val="22"/>
        </w:rPr>
        <w:t xml:space="preserve"> As a result, the Science and Technology for America's Reinvestment: Measuring the Effect of Research on Innovation, Competitiveness and Science, or </w:t>
      </w:r>
      <w:r w:rsidR="005A32CF" w:rsidRPr="00055C64">
        <w:rPr>
          <w:sz w:val="22"/>
        </w:rPr>
        <w:t>(</w:t>
      </w:r>
      <w:r w:rsidR="00942D37" w:rsidRPr="00055C64">
        <w:rPr>
          <w:sz w:val="22"/>
        </w:rPr>
        <w:t>STAR METRICS</w:t>
      </w:r>
      <w:r w:rsidR="005A32CF" w:rsidRPr="00055C64">
        <w:rPr>
          <w:sz w:val="22"/>
        </w:rPr>
        <w:t>)</w:t>
      </w:r>
      <w:r w:rsidR="00942D37" w:rsidRPr="00055C64">
        <w:rPr>
          <w:sz w:val="22"/>
        </w:rPr>
        <w:t xml:space="preserve"> initiative was begun</w:t>
      </w:r>
      <w:r w:rsidR="005A32CF" w:rsidRPr="00055C64">
        <w:rPr>
          <w:sz w:val="22"/>
        </w:rPr>
        <w:t xml:space="preserve">. </w:t>
      </w:r>
      <w:r w:rsidR="00C3456B" w:rsidRPr="00055C64">
        <w:rPr>
          <w:sz w:val="22"/>
        </w:rPr>
        <w:t xml:space="preserve"> </w:t>
      </w:r>
      <w:r w:rsidR="00942D37" w:rsidRPr="00055C64">
        <w:rPr>
          <w:sz w:val="22"/>
        </w:rPr>
        <w:t>STAR METRICS is a multi-agency venture led by the Nati</w:t>
      </w:r>
      <w:r w:rsidR="00FD3CE6" w:rsidRPr="00055C64">
        <w:rPr>
          <w:sz w:val="22"/>
        </w:rPr>
        <w:t>onal Institutes of Health, the NSF</w:t>
      </w:r>
      <w:r w:rsidR="00942D37" w:rsidRPr="00055C64">
        <w:rPr>
          <w:sz w:val="22"/>
        </w:rPr>
        <w:t xml:space="preserve"> and the White House Office of Science and Technology Policy (OSTP).</w:t>
      </w:r>
      <w:r w:rsidR="00C3456B" w:rsidRPr="00055C64">
        <w:rPr>
          <w:sz w:val="22"/>
        </w:rPr>
        <w:t xml:space="preserve"> </w:t>
      </w:r>
      <w:r w:rsidR="00942D37" w:rsidRPr="00055C64">
        <w:rPr>
          <w:sz w:val="22"/>
        </w:rPr>
        <w:t>DOE’s Office of Science, as well as other federal agencies, and the research community, will collaborate in describing and assessing the impacts of federal investments in science and engineering research and education.</w:t>
      </w:r>
      <w:r w:rsidR="00C3456B" w:rsidRPr="00055C64">
        <w:rPr>
          <w:sz w:val="22"/>
        </w:rPr>
        <w:t xml:space="preserve"> </w:t>
      </w:r>
      <w:r w:rsidR="00942D37" w:rsidRPr="00055C64">
        <w:rPr>
          <w:sz w:val="22"/>
        </w:rPr>
        <w:t>It will monitor the impact of federal science investments on employment, knowledge generation, and health outcomes.</w:t>
      </w:r>
    </w:p>
    <w:p w:rsidR="00B73336" w:rsidRPr="00561D8B" w:rsidRDefault="00B73336" w:rsidP="00DA1C63">
      <w:pPr>
        <w:ind w:left="0" w:firstLine="0"/>
        <w:jc w:val="left"/>
        <w:rPr>
          <w:rFonts w:eastAsia="Times New Roman"/>
          <w:sz w:val="22"/>
          <w:szCs w:val="24"/>
        </w:rPr>
      </w:pPr>
    </w:p>
    <w:p w:rsidR="004C51E2" w:rsidRDefault="000D4E2C" w:rsidP="00F929E8">
      <w:pPr>
        <w:ind w:left="0" w:firstLine="0"/>
        <w:jc w:val="left"/>
        <w:rPr>
          <w:rFonts w:eastAsia="Times New Roman"/>
          <w:sz w:val="22"/>
          <w:szCs w:val="24"/>
        </w:rPr>
      </w:pPr>
      <w:bookmarkStart w:id="393" w:name="_Toc285714634"/>
      <w:bookmarkStart w:id="394" w:name="_Toc285714723"/>
      <w:bookmarkStart w:id="395" w:name="_Toc285716090"/>
      <w:bookmarkStart w:id="396" w:name="_Toc285716185"/>
      <w:bookmarkStart w:id="397" w:name="_Toc285720108"/>
      <w:bookmarkStart w:id="398" w:name="_Toc285720204"/>
      <w:bookmarkStart w:id="399" w:name="_Toc285798641"/>
      <w:bookmarkStart w:id="400" w:name="_Toc285798730"/>
      <w:bookmarkStart w:id="401" w:name="_Toc285798819"/>
      <w:bookmarkStart w:id="402" w:name="_Toc285798914"/>
      <w:bookmarkStart w:id="403" w:name="_Toc285970486"/>
      <w:bookmarkStart w:id="404" w:name="_Toc285970586"/>
      <w:bookmarkStart w:id="405" w:name="_Toc285972213"/>
      <w:bookmarkStart w:id="406" w:name="_Toc285972358"/>
      <w:bookmarkStart w:id="407" w:name="_Toc285534204"/>
      <w:bookmarkStart w:id="408" w:name="_Toc28554818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561D8B">
        <w:rPr>
          <w:rFonts w:eastAsia="Times New Roman"/>
          <w:sz w:val="22"/>
          <w:szCs w:val="24"/>
        </w:rPr>
        <w:t>There are two-phases to the program. The first phase will use university administrative records to calculate the employment impact of federal science spending through the American Recovery and Reinvestment Act and agencies' existing budgets. The second phase will measure the impact of science investment in four key areas</w:t>
      </w:r>
      <w:r w:rsidR="004C51E2">
        <w:rPr>
          <w:rFonts w:eastAsia="Times New Roman"/>
          <w:sz w:val="22"/>
          <w:szCs w:val="24"/>
        </w:rPr>
        <w:t xml:space="preserve"> which are:</w:t>
      </w:r>
    </w:p>
    <w:p w:rsidR="00CA773E" w:rsidRPr="004C51E2" w:rsidRDefault="00CA773E" w:rsidP="009E3804">
      <w:pPr>
        <w:numPr>
          <w:ilvl w:val="0"/>
          <w:numId w:val="29"/>
        </w:numPr>
        <w:tabs>
          <w:tab w:val="clear" w:pos="720"/>
        </w:tabs>
        <w:ind w:left="540"/>
        <w:jc w:val="left"/>
        <w:rPr>
          <w:rFonts w:eastAsia="Times New Roman"/>
          <w:sz w:val="22"/>
          <w:szCs w:val="24"/>
        </w:rPr>
      </w:pPr>
      <w:r w:rsidRPr="004C51E2">
        <w:rPr>
          <w:rFonts w:eastAsia="Times New Roman"/>
          <w:sz w:val="22"/>
          <w:szCs w:val="24"/>
        </w:rPr>
        <w:t>Economic growth will be measured through indicators such as patents and business start-ups.</w:t>
      </w:r>
    </w:p>
    <w:p w:rsidR="00CA773E" w:rsidRPr="004C51E2" w:rsidRDefault="00CA773E" w:rsidP="009E3804">
      <w:pPr>
        <w:numPr>
          <w:ilvl w:val="0"/>
          <w:numId w:val="29"/>
        </w:numPr>
        <w:tabs>
          <w:tab w:val="clear" w:pos="720"/>
        </w:tabs>
        <w:ind w:left="540"/>
        <w:jc w:val="left"/>
        <w:rPr>
          <w:rFonts w:eastAsia="Times New Roman"/>
          <w:sz w:val="22"/>
          <w:szCs w:val="24"/>
        </w:rPr>
      </w:pPr>
      <w:r w:rsidRPr="004C51E2">
        <w:rPr>
          <w:rFonts w:eastAsia="Times New Roman"/>
          <w:sz w:val="22"/>
          <w:szCs w:val="24"/>
        </w:rPr>
        <w:t>Workforce outcomes will be measured by student mobility into the workforce and employment markers.</w:t>
      </w:r>
    </w:p>
    <w:p w:rsidR="00CA773E" w:rsidRPr="004C51E2" w:rsidRDefault="00CA773E" w:rsidP="009E3804">
      <w:pPr>
        <w:numPr>
          <w:ilvl w:val="0"/>
          <w:numId w:val="29"/>
        </w:numPr>
        <w:tabs>
          <w:tab w:val="clear" w:pos="720"/>
        </w:tabs>
        <w:ind w:left="540"/>
        <w:jc w:val="left"/>
        <w:rPr>
          <w:rFonts w:eastAsia="Times New Roman"/>
          <w:sz w:val="22"/>
          <w:szCs w:val="24"/>
        </w:rPr>
      </w:pPr>
      <w:r w:rsidRPr="004C51E2">
        <w:rPr>
          <w:rFonts w:eastAsia="Times New Roman"/>
          <w:sz w:val="22"/>
          <w:szCs w:val="24"/>
        </w:rPr>
        <w:t>Scientific knowledge will be measured through publications and citations.</w:t>
      </w:r>
    </w:p>
    <w:p w:rsidR="00CA773E" w:rsidRPr="004C51E2" w:rsidRDefault="00CA773E" w:rsidP="009E3804">
      <w:pPr>
        <w:numPr>
          <w:ilvl w:val="0"/>
          <w:numId w:val="29"/>
        </w:numPr>
        <w:tabs>
          <w:tab w:val="clear" w:pos="720"/>
        </w:tabs>
        <w:ind w:left="540"/>
        <w:jc w:val="left"/>
        <w:rPr>
          <w:rFonts w:eastAsia="Times New Roman"/>
          <w:sz w:val="22"/>
          <w:szCs w:val="24"/>
        </w:rPr>
      </w:pPr>
      <w:r w:rsidRPr="004C51E2">
        <w:rPr>
          <w:rFonts w:eastAsia="Times New Roman"/>
          <w:sz w:val="22"/>
          <w:szCs w:val="24"/>
        </w:rPr>
        <w:t xml:space="preserve">Social outcomes will be measured by long-term health and environmental impact of funding </w:t>
      </w:r>
    </w:p>
    <w:p w:rsidR="00C179FD" w:rsidRPr="00C179FD" w:rsidRDefault="00C179FD" w:rsidP="00C179FD">
      <w:pPr>
        <w:pStyle w:val="ListParagraph"/>
        <w:keepNext/>
        <w:numPr>
          <w:ilvl w:val="0"/>
          <w:numId w:val="17"/>
        </w:numPr>
        <w:spacing w:before="120" w:after="120"/>
        <w:contextualSpacing w:val="0"/>
        <w:jc w:val="left"/>
        <w:outlineLvl w:val="2"/>
        <w:rPr>
          <w:rFonts w:asciiTheme="majorHAnsi" w:hAnsiTheme="majorHAnsi" w:cs="Calibri"/>
          <w:b/>
          <w:bCs/>
          <w:vanish/>
          <w:color w:val="365F91"/>
          <w:sz w:val="28"/>
          <w:szCs w:val="26"/>
        </w:rPr>
      </w:pPr>
      <w:bookmarkStart w:id="409" w:name="_Toc286088585"/>
      <w:bookmarkStart w:id="410" w:name="_Toc286088661"/>
      <w:bookmarkStart w:id="411" w:name="_Toc286119166"/>
      <w:bookmarkStart w:id="412" w:name="_Toc286119244"/>
      <w:bookmarkStart w:id="413" w:name="_Toc286123544"/>
      <w:bookmarkStart w:id="414" w:name="_Toc286123623"/>
      <w:bookmarkStart w:id="415" w:name="_Toc286714991"/>
      <w:bookmarkStart w:id="416" w:name="_Toc286715099"/>
      <w:bookmarkStart w:id="417" w:name="_Toc286729237"/>
      <w:bookmarkStart w:id="418" w:name="_Toc286729352"/>
      <w:bookmarkStart w:id="419" w:name="_Toc286737835"/>
      <w:bookmarkStart w:id="420" w:name="_Toc286737942"/>
      <w:bookmarkStart w:id="421" w:name="_Toc286752752"/>
      <w:bookmarkStart w:id="422" w:name="_Toc286752860"/>
      <w:bookmarkStart w:id="423" w:name="_Toc286753643"/>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C179FD" w:rsidRPr="00C179FD" w:rsidRDefault="00C179FD" w:rsidP="00C179FD">
      <w:pPr>
        <w:pStyle w:val="ListParagraph"/>
        <w:keepNext/>
        <w:numPr>
          <w:ilvl w:val="0"/>
          <w:numId w:val="17"/>
        </w:numPr>
        <w:spacing w:before="120" w:after="120"/>
        <w:contextualSpacing w:val="0"/>
        <w:jc w:val="left"/>
        <w:outlineLvl w:val="2"/>
        <w:rPr>
          <w:rFonts w:asciiTheme="majorHAnsi" w:hAnsiTheme="majorHAnsi" w:cs="Calibri"/>
          <w:b/>
          <w:bCs/>
          <w:vanish/>
          <w:color w:val="365F91"/>
          <w:sz w:val="28"/>
          <w:szCs w:val="26"/>
        </w:rPr>
      </w:pPr>
      <w:bookmarkStart w:id="424" w:name="_Toc286752753"/>
      <w:bookmarkStart w:id="425" w:name="_Toc286752861"/>
      <w:bookmarkStart w:id="426" w:name="_Toc286753644"/>
      <w:bookmarkEnd w:id="424"/>
      <w:bookmarkEnd w:id="425"/>
      <w:bookmarkEnd w:id="426"/>
    </w:p>
    <w:p w:rsidR="00C179FD" w:rsidRPr="00C179FD" w:rsidRDefault="00C179FD" w:rsidP="00C179FD">
      <w:pPr>
        <w:pStyle w:val="ListParagraph"/>
        <w:keepNext/>
        <w:numPr>
          <w:ilvl w:val="0"/>
          <w:numId w:val="17"/>
        </w:numPr>
        <w:spacing w:before="120" w:after="120"/>
        <w:contextualSpacing w:val="0"/>
        <w:jc w:val="left"/>
        <w:outlineLvl w:val="2"/>
        <w:rPr>
          <w:rFonts w:asciiTheme="majorHAnsi" w:hAnsiTheme="majorHAnsi" w:cs="Calibri"/>
          <w:b/>
          <w:bCs/>
          <w:vanish/>
          <w:color w:val="365F91"/>
          <w:sz w:val="28"/>
          <w:szCs w:val="26"/>
        </w:rPr>
      </w:pPr>
      <w:bookmarkStart w:id="427" w:name="_Toc286752754"/>
      <w:bookmarkStart w:id="428" w:name="_Toc286752862"/>
      <w:bookmarkStart w:id="429" w:name="_Toc286753645"/>
      <w:bookmarkEnd w:id="427"/>
      <w:bookmarkEnd w:id="428"/>
      <w:bookmarkEnd w:id="429"/>
    </w:p>
    <w:p w:rsidR="00C179FD" w:rsidRPr="00C179FD" w:rsidRDefault="00C179FD" w:rsidP="00C179FD">
      <w:pPr>
        <w:pStyle w:val="ListParagraph"/>
        <w:keepNext/>
        <w:numPr>
          <w:ilvl w:val="1"/>
          <w:numId w:val="17"/>
        </w:numPr>
        <w:spacing w:before="120" w:after="120"/>
        <w:contextualSpacing w:val="0"/>
        <w:jc w:val="left"/>
        <w:outlineLvl w:val="2"/>
        <w:rPr>
          <w:rFonts w:asciiTheme="majorHAnsi" w:hAnsiTheme="majorHAnsi" w:cs="Calibri"/>
          <w:b/>
          <w:bCs/>
          <w:vanish/>
          <w:color w:val="365F91"/>
          <w:sz w:val="28"/>
          <w:szCs w:val="26"/>
        </w:rPr>
      </w:pPr>
      <w:bookmarkStart w:id="430" w:name="_Toc286752755"/>
      <w:bookmarkStart w:id="431" w:name="_Toc286752863"/>
      <w:bookmarkStart w:id="432" w:name="_Toc286753646"/>
      <w:bookmarkEnd w:id="430"/>
      <w:bookmarkEnd w:id="431"/>
      <w:bookmarkEnd w:id="432"/>
    </w:p>
    <w:p w:rsidR="00C179FD" w:rsidRPr="00C179FD" w:rsidRDefault="00C179FD" w:rsidP="00C179FD">
      <w:pPr>
        <w:pStyle w:val="ListParagraph"/>
        <w:keepNext/>
        <w:numPr>
          <w:ilvl w:val="2"/>
          <w:numId w:val="17"/>
        </w:numPr>
        <w:spacing w:before="120" w:after="120"/>
        <w:contextualSpacing w:val="0"/>
        <w:jc w:val="left"/>
        <w:outlineLvl w:val="2"/>
        <w:rPr>
          <w:rFonts w:asciiTheme="majorHAnsi" w:hAnsiTheme="majorHAnsi" w:cs="Calibri"/>
          <w:b/>
          <w:bCs/>
          <w:vanish/>
          <w:color w:val="365F91"/>
          <w:sz w:val="28"/>
          <w:szCs w:val="26"/>
        </w:rPr>
      </w:pPr>
      <w:bookmarkStart w:id="433" w:name="_Toc286752756"/>
      <w:bookmarkStart w:id="434" w:name="_Toc286752864"/>
      <w:bookmarkStart w:id="435" w:name="_Toc286753647"/>
      <w:bookmarkEnd w:id="433"/>
      <w:bookmarkEnd w:id="434"/>
      <w:bookmarkEnd w:id="435"/>
    </w:p>
    <w:p w:rsidR="00C179FD" w:rsidRPr="00C179FD" w:rsidRDefault="00C179FD" w:rsidP="00C179FD">
      <w:pPr>
        <w:pStyle w:val="ListParagraph"/>
        <w:keepNext/>
        <w:numPr>
          <w:ilvl w:val="2"/>
          <w:numId w:val="17"/>
        </w:numPr>
        <w:spacing w:before="120" w:after="120"/>
        <w:contextualSpacing w:val="0"/>
        <w:jc w:val="left"/>
        <w:outlineLvl w:val="2"/>
        <w:rPr>
          <w:rFonts w:asciiTheme="majorHAnsi" w:hAnsiTheme="majorHAnsi" w:cs="Calibri"/>
          <w:b/>
          <w:bCs/>
          <w:vanish/>
          <w:color w:val="365F91"/>
          <w:sz w:val="28"/>
          <w:szCs w:val="26"/>
        </w:rPr>
      </w:pPr>
      <w:bookmarkStart w:id="436" w:name="_Toc286752757"/>
      <w:bookmarkStart w:id="437" w:name="_Toc286752865"/>
      <w:bookmarkStart w:id="438" w:name="_Toc286753648"/>
      <w:bookmarkEnd w:id="436"/>
      <w:bookmarkEnd w:id="437"/>
      <w:bookmarkEnd w:id="438"/>
    </w:p>
    <w:p w:rsidR="00C179FD" w:rsidRPr="00C179FD" w:rsidRDefault="00C179FD" w:rsidP="00C179FD">
      <w:pPr>
        <w:pStyle w:val="ListParagraph"/>
        <w:keepNext/>
        <w:numPr>
          <w:ilvl w:val="2"/>
          <w:numId w:val="17"/>
        </w:numPr>
        <w:spacing w:before="120" w:after="120"/>
        <w:contextualSpacing w:val="0"/>
        <w:jc w:val="left"/>
        <w:outlineLvl w:val="2"/>
        <w:rPr>
          <w:rFonts w:asciiTheme="majorHAnsi" w:hAnsiTheme="majorHAnsi" w:cs="Calibri"/>
          <w:b/>
          <w:bCs/>
          <w:vanish/>
          <w:color w:val="365F91"/>
          <w:sz w:val="28"/>
          <w:szCs w:val="26"/>
        </w:rPr>
      </w:pPr>
      <w:bookmarkStart w:id="439" w:name="_Toc286752758"/>
      <w:bookmarkStart w:id="440" w:name="_Toc286752866"/>
      <w:bookmarkStart w:id="441" w:name="_Toc286753649"/>
      <w:bookmarkEnd w:id="439"/>
      <w:bookmarkEnd w:id="440"/>
      <w:bookmarkEnd w:id="441"/>
    </w:p>
    <w:p w:rsidR="00DA21FE" w:rsidRPr="003D7AAC" w:rsidRDefault="00DA21FE" w:rsidP="00C179FD">
      <w:pPr>
        <w:pStyle w:val="Heading3"/>
        <w:numPr>
          <w:ilvl w:val="2"/>
          <w:numId w:val="17"/>
        </w:numPr>
        <w:spacing w:before="120" w:after="120"/>
        <w:ind w:left="900" w:hanging="857"/>
        <w:jc w:val="left"/>
        <w:rPr>
          <w:rFonts w:asciiTheme="majorHAnsi" w:hAnsiTheme="majorHAnsi" w:cs="Calibri"/>
          <w:color w:val="365F91"/>
          <w:sz w:val="24"/>
          <w:szCs w:val="24"/>
        </w:rPr>
      </w:pPr>
      <w:bookmarkStart w:id="442" w:name="_Toc286753650"/>
      <w:r w:rsidRPr="003D7AAC">
        <w:rPr>
          <w:rFonts w:asciiTheme="majorHAnsi" w:hAnsiTheme="majorHAnsi" w:cs="Calibri"/>
          <w:color w:val="365F91"/>
          <w:sz w:val="28"/>
        </w:rPr>
        <w:t xml:space="preserve">Making </w:t>
      </w:r>
      <w:r w:rsidR="002C2A0A" w:rsidRPr="003D7AAC">
        <w:rPr>
          <w:rFonts w:asciiTheme="majorHAnsi" w:hAnsiTheme="majorHAnsi" w:cs="Calibri"/>
          <w:color w:val="365F91"/>
          <w:sz w:val="28"/>
        </w:rPr>
        <w:t>the</w:t>
      </w:r>
      <w:r w:rsidRPr="003D7AAC">
        <w:rPr>
          <w:rFonts w:asciiTheme="majorHAnsi" w:hAnsiTheme="majorHAnsi" w:cs="Calibri"/>
          <w:color w:val="365F91"/>
          <w:sz w:val="28"/>
        </w:rPr>
        <w:t xml:space="preserve"> Grid Smarter</w:t>
      </w:r>
      <w:bookmarkEnd w:id="407"/>
      <w:bookmarkEnd w:id="408"/>
      <w:bookmarkEnd w:id="442"/>
    </w:p>
    <w:p w:rsidR="00245211" w:rsidRDefault="005A32CF" w:rsidP="009B420D">
      <w:pPr>
        <w:ind w:left="0" w:firstLine="0"/>
        <w:jc w:val="left"/>
        <w:rPr>
          <w:sz w:val="22"/>
          <w:szCs w:val="22"/>
        </w:rPr>
      </w:pPr>
      <w:r>
        <w:rPr>
          <w:noProof/>
          <w:color w:val="000000"/>
          <w:sz w:val="22"/>
          <w:szCs w:val="22"/>
        </w:rPr>
        <w:drawing>
          <wp:anchor distT="0" distB="0" distL="114300" distR="114300" simplePos="0" relativeHeight="251649024" behindDoc="1" locked="0" layoutInCell="1" allowOverlap="1">
            <wp:simplePos x="0" y="0"/>
            <wp:positionH relativeFrom="margin">
              <wp:posOffset>1971675</wp:posOffset>
            </wp:positionH>
            <wp:positionV relativeFrom="margin">
              <wp:posOffset>2105025</wp:posOffset>
            </wp:positionV>
            <wp:extent cx="3952875" cy="2781300"/>
            <wp:effectExtent l="57150" t="38100" r="47625" b="19050"/>
            <wp:wrapSquare wrapText="bothSides"/>
            <wp:docPr id="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srcRect/>
                    <a:stretch>
                      <a:fillRect/>
                    </a:stretch>
                  </pic:blipFill>
                  <pic:spPr bwMode="auto">
                    <a:xfrm>
                      <a:off x="0" y="0"/>
                      <a:ext cx="3952875" cy="2781300"/>
                    </a:xfrm>
                    <a:prstGeom prst="roundRect">
                      <a:avLst>
                        <a:gd name="adj" fmla="val 8594"/>
                      </a:avLst>
                    </a:prstGeom>
                    <a:solidFill>
                      <a:srgbClr val="FFFFFF">
                        <a:shade val="85000"/>
                      </a:srgbClr>
                    </a:solidFill>
                    <a:ln w="28575">
                      <a:solidFill>
                        <a:schemeClr val="accent1"/>
                      </a:solidFill>
                    </a:ln>
                    <a:effectLst/>
                  </pic:spPr>
                </pic:pic>
              </a:graphicData>
            </a:graphic>
          </wp:anchor>
        </w:drawing>
      </w:r>
      <w:r w:rsidR="00327060" w:rsidRPr="00561D8B">
        <w:rPr>
          <w:color w:val="000000"/>
          <w:sz w:val="22"/>
          <w:szCs w:val="22"/>
        </w:rPr>
        <w:t xml:space="preserve">One of DOE’s high-priority mission goals is to </w:t>
      </w:r>
      <w:r w:rsidR="00FD3CE6">
        <w:rPr>
          <w:color w:val="000000"/>
          <w:sz w:val="22"/>
          <w:szCs w:val="22"/>
        </w:rPr>
        <w:t>moderniz</w:t>
      </w:r>
      <w:r>
        <w:rPr>
          <w:color w:val="000000"/>
          <w:sz w:val="22"/>
          <w:szCs w:val="22"/>
        </w:rPr>
        <w:t>e</w:t>
      </w:r>
      <w:r w:rsidR="00FD3CE6">
        <w:rPr>
          <w:color w:val="000000"/>
          <w:sz w:val="22"/>
          <w:szCs w:val="22"/>
        </w:rPr>
        <w:t xml:space="preserve"> the</w:t>
      </w:r>
      <w:r w:rsidR="00327060" w:rsidRPr="00561D8B">
        <w:rPr>
          <w:color w:val="000000"/>
          <w:sz w:val="22"/>
          <w:szCs w:val="22"/>
        </w:rPr>
        <w:t xml:space="preserve"> nation’s electronic grid.</w:t>
      </w:r>
      <w:r w:rsidR="00C3456B">
        <w:rPr>
          <w:color w:val="000000"/>
          <w:sz w:val="22"/>
          <w:szCs w:val="22"/>
        </w:rPr>
        <w:t xml:space="preserve"> </w:t>
      </w:r>
      <w:r w:rsidR="00327060" w:rsidRPr="00561D8B">
        <w:rPr>
          <w:color w:val="000000"/>
          <w:sz w:val="22"/>
          <w:szCs w:val="22"/>
        </w:rPr>
        <w:t xml:space="preserve">The </w:t>
      </w:r>
      <w:r w:rsidR="001A483E">
        <w:rPr>
          <w:color w:val="000000"/>
          <w:sz w:val="22"/>
          <w:szCs w:val="22"/>
        </w:rPr>
        <w:t>Department</w:t>
      </w:r>
      <w:r w:rsidR="00327060" w:rsidRPr="00561D8B">
        <w:rPr>
          <w:color w:val="000000"/>
          <w:sz w:val="22"/>
          <w:szCs w:val="22"/>
        </w:rPr>
        <w:t xml:space="preserve">’s plan to meet this goal is through a </w:t>
      </w:r>
      <w:r w:rsidR="00327060" w:rsidRPr="00561D8B">
        <w:rPr>
          <w:sz w:val="22"/>
          <w:szCs w:val="22"/>
        </w:rPr>
        <w:t>smarter electric grid that will function more efficiently, minimize environmental impacts and spur transformation.</w:t>
      </w:r>
      <w:r w:rsidR="00C3456B">
        <w:rPr>
          <w:sz w:val="22"/>
          <w:szCs w:val="22"/>
        </w:rPr>
        <w:t xml:space="preserve"> </w:t>
      </w:r>
      <w:r w:rsidR="00327060" w:rsidRPr="00561D8B">
        <w:rPr>
          <w:sz w:val="22"/>
          <w:szCs w:val="22"/>
        </w:rPr>
        <w:t xml:space="preserve">This multi-initiative plan involves the integration of organizational elements and technologies which are described in the following paragraphs. </w:t>
      </w:r>
    </w:p>
    <w:p w:rsidR="000D4E2C" w:rsidRPr="00561D8B" w:rsidRDefault="00D52312" w:rsidP="009A4DD0">
      <w:pPr>
        <w:spacing w:before="100" w:beforeAutospacing="1" w:after="100" w:afterAutospacing="1"/>
        <w:ind w:left="0" w:firstLine="0"/>
        <w:jc w:val="left"/>
        <w:rPr>
          <w:color w:val="000000"/>
          <w:sz w:val="22"/>
          <w:szCs w:val="16"/>
        </w:rPr>
      </w:pPr>
      <w:r w:rsidRPr="00D52312">
        <w:rPr>
          <w:noProof/>
        </w:rPr>
        <w:pict>
          <v:shape id="_x0000_s1227" type="#_x0000_t202" style="position:absolute;margin-left:134.25pt;margin-top:61.75pt;width:341.6pt;height:14.05pt;z-index:251758592" stroked="f">
            <v:textbox style="mso-next-textbox:#_x0000_s1227;mso-fit-shape-to-text:t" inset="0,0,0,0">
              <w:txbxContent>
                <w:p w:rsidR="00F929E8" w:rsidRPr="00BF7BD0" w:rsidRDefault="00F929E8" w:rsidP="00083434">
                  <w:pPr>
                    <w:pStyle w:val="Caption"/>
                    <w:jc w:val="center"/>
                    <w:rPr>
                      <w:rFonts w:eastAsia="Calibri" w:cs="Calibri"/>
                      <w:noProof/>
                      <w:color w:val="000000"/>
                    </w:rPr>
                  </w:pPr>
                  <w:bookmarkStart w:id="443" w:name="_Toc286762565"/>
                  <w:r>
                    <w:t xml:space="preserve">Figure </w:t>
                  </w:r>
                  <w:fldSimple w:instr=" SEQ Figure \* ARABIC ">
                    <w:r w:rsidR="00C068AF">
                      <w:rPr>
                        <w:noProof/>
                      </w:rPr>
                      <w:t>7</w:t>
                    </w:r>
                  </w:fldSimple>
                  <w:r>
                    <w:t xml:space="preserve"> - Migration to the Smart Grid</w:t>
                  </w:r>
                  <w:bookmarkEnd w:id="443"/>
                </w:p>
              </w:txbxContent>
            </v:textbox>
            <w10:wrap type="square"/>
          </v:shape>
        </w:pict>
      </w:r>
      <w:r w:rsidR="00327060" w:rsidRPr="00561D8B">
        <w:rPr>
          <w:sz w:val="22"/>
          <w:szCs w:val="22"/>
        </w:rPr>
        <w:t>Architecturally, DOE identified the need for a new organizational element to facilitate the information and new processes needed for transformation to a smarter grid.</w:t>
      </w:r>
      <w:r w:rsidR="00C3456B">
        <w:rPr>
          <w:sz w:val="22"/>
          <w:szCs w:val="22"/>
        </w:rPr>
        <w:t xml:space="preserve"> </w:t>
      </w:r>
      <w:r w:rsidR="000D4E2C" w:rsidRPr="00561D8B">
        <w:rPr>
          <w:color w:val="000000"/>
          <w:sz w:val="22"/>
          <w:szCs w:val="16"/>
        </w:rPr>
        <w:t>Formed at the recommendation of the Federal Energy Regulatory Commission (FERC), an Independent System Operator (ISO) or Regional Transmission Organization (RTO) is a profit-neutral organization in charge of reconciling supply and demand as it coordinates controls and monitors the operation of the power system. The ISO’s control area can encompass one state or several.</w:t>
      </w:r>
      <w:r w:rsidR="00C3456B">
        <w:rPr>
          <w:color w:val="000000"/>
          <w:sz w:val="22"/>
          <w:szCs w:val="16"/>
        </w:rPr>
        <w:t xml:space="preserve"> </w:t>
      </w:r>
      <w:r w:rsidR="000D4E2C" w:rsidRPr="00561D8B">
        <w:rPr>
          <w:color w:val="000000"/>
          <w:sz w:val="22"/>
          <w:szCs w:val="16"/>
        </w:rPr>
        <w:t>The role of these organizations is significant in making the Smart Grid real.</w:t>
      </w:r>
      <w:r w:rsidR="00C3456B">
        <w:rPr>
          <w:color w:val="000000"/>
          <w:sz w:val="22"/>
          <w:szCs w:val="16"/>
        </w:rPr>
        <w:t xml:space="preserve"> </w:t>
      </w:r>
      <w:r w:rsidR="000D4E2C" w:rsidRPr="00561D8B">
        <w:rPr>
          <w:color w:val="000000"/>
          <w:sz w:val="22"/>
          <w:szCs w:val="16"/>
        </w:rPr>
        <w:t>ISOs and RTOs will use the smart distribution system as another resource for managing a secure and most economic transmission system.</w:t>
      </w:r>
      <w:r w:rsidR="00C3456B">
        <w:rPr>
          <w:color w:val="000000"/>
          <w:sz w:val="22"/>
          <w:szCs w:val="16"/>
        </w:rPr>
        <w:t xml:space="preserve"> </w:t>
      </w:r>
      <w:r w:rsidR="009E2E7C">
        <w:rPr>
          <w:color w:val="000000"/>
          <w:sz w:val="22"/>
          <w:szCs w:val="16"/>
        </w:rPr>
        <w:t xml:space="preserve">This migration to the Smart Grid is illustrated in Figure </w:t>
      </w:r>
      <w:r w:rsidR="00F929E8">
        <w:rPr>
          <w:color w:val="000000"/>
          <w:sz w:val="22"/>
          <w:szCs w:val="16"/>
        </w:rPr>
        <w:t>7</w:t>
      </w:r>
      <w:r w:rsidR="00083434">
        <w:rPr>
          <w:color w:val="000000"/>
          <w:sz w:val="22"/>
          <w:szCs w:val="16"/>
        </w:rPr>
        <w:t xml:space="preserve"> above</w:t>
      </w:r>
      <w:r w:rsidR="009E2E7C">
        <w:rPr>
          <w:color w:val="000000"/>
          <w:sz w:val="22"/>
          <w:szCs w:val="16"/>
        </w:rPr>
        <w:t>.</w:t>
      </w:r>
      <w:r w:rsidR="00C3456B">
        <w:rPr>
          <w:color w:val="000000"/>
          <w:sz w:val="22"/>
          <w:szCs w:val="16"/>
        </w:rPr>
        <w:t xml:space="preserve"> </w:t>
      </w:r>
      <w:r w:rsidR="00FD3CE6">
        <w:rPr>
          <w:color w:val="000000"/>
          <w:sz w:val="22"/>
          <w:szCs w:val="16"/>
        </w:rPr>
        <w:t>The technologies and innovations required to implement a Smart Grid are discussed below.</w:t>
      </w:r>
    </w:p>
    <w:p w:rsidR="00DA21FE" w:rsidRPr="00561D8B" w:rsidRDefault="00DA21FE" w:rsidP="009E3804">
      <w:pPr>
        <w:pStyle w:val="ListParagraph"/>
        <w:numPr>
          <w:ilvl w:val="2"/>
          <w:numId w:val="19"/>
        </w:numPr>
        <w:autoSpaceDE w:val="0"/>
        <w:autoSpaceDN w:val="0"/>
        <w:adjustRightInd w:val="0"/>
        <w:jc w:val="left"/>
        <w:rPr>
          <w:rFonts w:cs="Calibri"/>
          <w:b/>
          <w:bCs/>
          <w:vanish/>
          <w:color w:val="000000"/>
          <w:sz w:val="22"/>
          <w:szCs w:val="24"/>
        </w:rPr>
      </w:pPr>
    </w:p>
    <w:p w:rsidR="00DA21FE" w:rsidRPr="00561D8B" w:rsidRDefault="00942D37" w:rsidP="009E3804">
      <w:pPr>
        <w:pStyle w:val="ListParagraph"/>
        <w:numPr>
          <w:ilvl w:val="3"/>
          <w:numId w:val="19"/>
        </w:numPr>
        <w:autoSpaceDE w:val="0"/>
        <w:autoSpaceDN w:val="0"/>
        <w:adjustRightInd w:val="0"/>
        <w:ind w:left="360"/>
        <w:jc w:val="left"/>
        <w:rPr>
          <w:rFonts w:cs="Calibri"/>
          <w:color w:val="000000"/>
          <w:sz w:val="22"/>
          <w:szCs w:val="24"/>
        </w:rPr>
      </w:pPr>
      <w:r w:rsidRPr="00561D8B">
        <w:rPr>
          <w:rFonts w:cs="Calibri"/>
          <w:b/>
          <w:bCs/>
          <w:color w:val="000000"/>
          <w:sz w:val="22"/>
          <w:szCs w:val="24"/>
        </w:rPr>
        <w:t xml:space="preserve">Advanced Metering Infrastructure (AMI) </w:t>
      </w:r>
      <w:r w:rsidRPr="00561D8B">
        <w:rPr>
          <w:rFonts w:cs="Calibri"/>
          <w:color w:val="000000"/>
          <w:sz w:val="22"/>
          <w:szCs w:val="24"/>
        </w:rPr>
        <w:t>is an approach to integrat</w:t>
      </w:r>
      <w:r w:rsidR="005A32CF">
        <w:rPr>
          <w:rFonts w:cs="Calibri"/>
          <w:color w:val="000000"/>
          <w:sz w:val="22"/>
          <w:szCs w:val="24"/>
        </w:rPr>
        <w:t>e</w:t>
      </w:r>
      <w:r w:rsidRPr="00561D8B">
        <w:rPr>
          <w:rFonts w:cs="Calibri"/>
          <w:color w:val="000000"/>
          <w:sz w:val="22"/>
          <w:szCs w:val="24"/>
        </w:rPr>
        <w:t xml:space="preserve"> consumers based upon the development of open standards. DOE is deploying these </w:t>
      </w:r>
      <w:r w:rsidR="00561D8B" w:rsidRPr="00561D8B">
        <w:rPr>
          <w:rFonts w:cs="Calibri"/>
          <w:color w:val="000000"/>
          <w:sz w:val="22"/>
          <w:szCs w:val="24"/>
        </w:rPr>
        <w:t>technologies to</w:t>
      </w:r>
      <w:r w:rsidRPr="00561D8B">
        <w:rPr>
          <w:rFonts w:cs="Calibri"/>
          <w:color w:val="000000"/>
          <w:sz w:val="22"/>
          <w:szCs w:val="24"/>
        </w:rPr>
        <w:t xml:space="preserve"> provide consumers with the ability to use electricity more efficiently and provide utilities with the ability to detect problems on their systems and operate them more efficiently.</w:t>
      </w:r>
      <w:r w:rsidR="00C3456B">
        <w:rPr>
          <w:rFonts w:cs="Calibri"/>
          <w:color w:val="000000"/>
          <w:sz w:val="22"/>
          <w:szCs w:val="24"/>
        </w:rPr>
        <w:t xml:space="preserve"> </w:t>
      </w:r>
      <w:r w:rsidRPr="00561D8B">
        <w:rPr>
          <w:rFonts w:cs="Calibri"/>
          <w:color w:val="000000"/>
          <w:sz w:val="22"/>
          <w:szCs w:val="24"/>
        </w:rPr>
        <w:t>AMI enables consumer-friendly efficiency c</w:t>
      </w:r>
      <w:r w:rsidR="005A32CF">
        <w:rPr>
          <w:rFonts w:cs="Calibri"/>
          <w:color w:val="000000"/>
          <w:sz w:val="22"/>
          <w:szCs w:val="24"/>
        </w:rPr>
        <w:t xml:space="preserve">oncepts like “Prices to Devices.” </w:t>
      </w:r>
      <w:r w:rsidRPr="00561D8B">
        <w:rPr>
          <w:rFonts w:cs="Calibri"/>
          <w:color w:val="000000"/>
          <w:sz w:val="22"/>
          <w:szCs w:val="24"/>
        </w:rPr>
        <w:t>Assuming that energy is priced on what it costs in near real-time – a Smart Grid imperative – price signals are relayed to “smart” home controllers or end-consumer devices like thermostats, washer/dryers and refrigerators – the home’s major energy-users. This type of program has been tried in the past, but without Smart Grid tools such as enabling technologies, interoperability based on standards, and low-cost communication and electronics, it possessed none of the potential that it does today.</w:t>
      </w:r>
    </w:p>
    <w:p w:rsidR="00DA21FE" w:rsidRPr="00561D8B" w:rsidRDefault="00DA21FE" w:rsidP="00AE6B43">
      <w:pPr>
        <w:autoSpaceDE w:val="0"/>
        <w:autoSpaceDN w:val="0"/>
        <w:adjustRightInd w:val="0"/>
        <w:ind w:left="360" w:firstLine="0"/>
        <w:jc w:val="left"/>
        <w:rPr>
          <w:color w:val="000000"/>
          <w:sz w:val="22"/>
          <w:szCs w:val="24"/>
        </w:rPr>
      </w:pPr>
    </w:p>
    <w:p w:rsidR="004A6967" w:rsidRDefault="00DA21FE" w:rsidP="009E3804">
      <w:pPr>
        <w:pStyle w:val="ListParagraph"/>
        <w:numPr>
          <w:ilvl w:val="0"/>
          <w:numId w:val="20"/>
        </w:numPr>
        <w:autoSpaceDE w:val="0"/>
        <w:autoSpaceDN w:val="0"/>
        <w:adjustRightInd w:val="0"/>
        <w:ind w:left="360"/>
        <w:jc w:val="left"/>
        <w:rPr>
          <w:rFonts w:cs="Calibri"/>
          <w:color w:val="000000"/>
          <w:sz w:val="22"/>
          <w:szCs w:val="24"/>
        </w:rPr>
      </w:pPr>
      <w:r w:rsidRPr="00561D8B">
        <w:rPr>
          <w:rFonts w:cs="Calibri"/>
          <w:b/>
          <w:bCs/>
          <w:color w:val="000000"/>
          <w:sz w:val="22"/>
          <w:szCs w:val="24"/>
        </w:rPr>
        <w:t xml:space="preserve">Visualization Technology. </w:t>
      </w:r>
      <w:r w:rsidRPr="00561D8B">
        <w:rPr>
          <w:rFonts w:cs="Calibri"/>
          <w:color w:val="000000"/>
          <w:sz w:val="22"/>
          <w:szCs w:val="24"/>
        </w:rPr>
        <w:t>Of particular note is VERDE, a project in development for DOE at the Oak Ridge National Laboratory.</w:t>
      </w:r>
      <w:r w:rsidR="00C3456B">
        <w:rPr>
          <w:rFonts w:cs="Calibri"/>
          <w:color w:val="000000"/>
          <w:sz w:val="22"/>
          <w:szCs w:val="24"/>
        </w:rPr>
        <w:t xml:space="preserve"> </w:t>
      </w:r>
      <w:r w:rsidRPr="00561D8B">
        <w:rPr>
          <w:rFonts w:cs="Calibri"/>
          <w:color w:val="000000"/>
          <w:sz w:val="22"/>
          <w:szCs w:val="24"/>
        </w:rPr>
        <w:t>VERDE (Visualizing Energy Resources Dynamically on Earth) will provide wide-area grid awareness, integrating real-time sensor data, weather information and grid modeling with geographical information.</w:t>
      </w:r>
      <w:r w:rsidR="00C3456B">
        <w:rPr>
          <w:rFonts w:cs="Calibri"/>
          <w:color w:val="000000"/>
          <w:sz w:val="22"/>
          <w:szCs w:val="24"/>
        </w:rPr>
        <w:t xml:space="preserve"> </w:t>
      </w:r>
      <w:r w:rsidRPr="00561D8B">
        <w:rPr>
          <w:rFonts w:cs="Calibri"/>
          <w:color w:val="000000"/>
          <w:sz w:val="22"/>
          <w:szCs w:val="24"/>
        </w:rPr>
        <w:t>Potentially, it will be able to explore the state of the grid at the national level and switch within seconds to explore specific details at the street level. It will provide rapid information about blackouts and power quality as well as insights into system operation for utilities.</w:t>
      </w:r>
      <w:r w:rsidR="00C3456B">
        <w:rPr>
          <w:rFonts w:cs="Calibri"/>
          <w:color w:val="000000"/>
          <w:sz w:val="22"/>
          <w:szCs w:val="24"/>
        </w:rPr>
        <w:t xml:space="preserve"> </w:t>
      </w:r>
      <w:r w:rsidRPr="00561D8B">
        <w:rPr>
          <w:rFonts w:cs="Calibri"/>
          <w:color w:val="000000"/>
          <w:sz w:val="22"/>
          <w:szCs w:val="24"/>
        </w:rPr>
        <w:t>With a platform built on Google Earth, it can also take advantage of content generated by Google Earth’s user community.</w:t>
      </w:r>
    </w:p>
    <w:p w:rsidR="004A6967" w:rsidRPr="004A6967" w:rsidRDefault="004A6967" w:rsidP="004A6967">
      <w:pPr>
        <w:autoSpaceDE w:val="0"/>
        <w:autoSpaceDN w:val="0"/>
        <w:adjustRightInd w:val="0"/>
        <w:ind w:left="0" w:firstLine="0"/>
        <w:jc w:val="left"/>
        <w:rPr>
          <w:color w:val="000000"/>
          <w:sz w:val="22"/>
          <w:szCs w:val="24"/>
        </w:rPr>
      </w:pPr>
    </w:p>
    <w:p w:rsidR="00AE14BC" w:rsidRPr="003D7AAC" w:rsidRDefault="00AE14BC" w:rsidP="009E3804">
      <w:pPr>
        <w:pStyle w:val="Heading3"/>
        <w:numPr>
          <w:ilvl w:val="2"/>
          <w:numId w:val="17"/>
        </w:numPr>
        <w:spacing w:before="120" w:after="120"/>
        <w:ind w:left="810" w:hanging="767"/>
        <w:jc w:val="left"/>
        <w:rPr>
          <w:rFonts w:asciiTheme="majorHAnsi" w:hAnsiTheme="majorHAnsi" w:cs="Calibri"/>
          <w:color w:val="365F91"/>
          <w:sz w:val="28"/>
        </w:rPr>
      </w:pPr>
      <w:bookmarkStart w:id="444" w:name="_Toc286753651"/>
      <w:r w:rsidRPr="003D7AAC">
        <w:rPr>
          <w:rFonts w:asciiTheme="majorHAnsi" w:hAnsiTheme="majorHAnsi" w:cs="Calibri"/>
          <w:color w:val="365F91"/>
          <w:sz w:val="28"/>
        </w:rPr>
        <w:t>Enhancing Financial Systems</w:t>
      </w:r>
      <w:bookmarkEnd w:id="444"/>
      <w:r w:rsidRPr="003D7AAC">
        <w:rPr>
          <w:rFonts w:asciiTheme="majorHAnsi" w:hAnsiTheme="majorHAnsi" w:cs="Calibri"/>
          <w:color w:val="365F91"/>
          <w:sz w:val="28"/>
        </w:rPr>
        <w:t xml:space="preserve"> </w:t>
      </w:r>
    </w:p>
    <w:p w:rsidR="004A6967" w:rsidRDefault="006E432B" w:rsidP="004A6967">
      <w:pPr>
        <w:spacing w:after="120"/>
        <w:ind w:left="0" w:firstLine="0"/>
        <w:jc w:val="left"/>
        <w:rPr>
          <w:rFonts w:asciiTheme="minorHAnsi" w:hAnsiTheme="minorHAnsi"/>
          <w:sz w:val="22"/>
          <w:szCs w:val="24"/>
        </w:rPr>
      </w:pPr>
      <w:bookmarkStart w:id="445" w:name="_Toc285622119"/>
      <w:bookmarkStart w:id="446" w:name="_Toc285622189"/>
      <w:bookmarkStart w:id="447" w:name="_Toc285622980"/>
      <w:bookmarkStart w:id="448" w:name="_Toc285698826"/>
      <w:bookmarkStart w:id="449" w:name="_Toc285698968"/>
      <w:bookmarkStart w:id="450" w:name="_Toc285714646"/>
      <w:bookmarkStart w:id="451" w:name="_Toc285714735"/>
      <w:bookmarkStart w:id="452" w:name="_Toc285716102"/>
      <w:bookmarkStart w:id="453" w:name="_Toc285716197"/>
      <w:bookmarkStart w:id="454" w:name="_Toc285720120"/>
      <w:bookmarkStart w:id="455" w:name="_Toc285720216"/>
      <w:bookmarkStart w:id="456" w:name="_Toc285798654"/>
      <w:bookmarkStart w:id="457" w:name="_Toc285798743"/>
      <w:bookmarkStart w:id="458" w:name="_Toc285798832"/>
      <w:bookmarkStart w:id="459" w:name="_Toc285798927"/>
      <w:bookmarkStart w:id="460" w:name="_Toc285970508"/>
      <w:bookmarkStart w:id="461" w:name="_Toc285970608"/>
      <w:bookmarkStart w:id="462" w:name="_Toc285972235"/>
      <w:bookmarkStart w:id="463" w:name="_Toc285972370"/>
      <w:bookmarkStart w:id="464" w:name="_Toc286088596"/>
      <w:bookmarkStart w:id="465" w:name="_Toc286088672"/>
      <w:bookmarkStart w:id="466" w:name="_Toc286119176"/>
      <w:bookmarkStart w:id="467" w:name="_Toc286119254"/>
      <w:bookmarkStart w:id="468" w:name="_Toc286123554"/>
      <w:bookmarkStart w:id="469" w:name="_Toc286123633"/>
      <w:bookmarkEnd w:id="281"/>
      <w:bookmarkEnd w:id="282"/>
      <w:bookmarkEnd w:id="293"/>
      <w:bookmarkEnd w:id="29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asciiTheme="minorHAnsi" w:hAnsiTheme="minorHAnsi"/>
          <w:noProof/>
          <w:sz w:val="22"/>
          <w:szCs w:val="24"/>
        </w:rPr>
        <w:drawing>
          <wp:anchor distT="0" distB="0" distL="114300" distR="114300" simplePos="0" relativeHeight="251721728" behindDoc="0" locked="0" layoutInCell="1" allowOverlap="1">
            <wp:simplePos x="0" y="0"/>
            <wp:positionH relativeFrom="margin">
              <wp:posOffset>3552825</wp:posOffset>
            </wp:positionH>
            <wp:positionV relativeFrom="margin">
              <wp:posOffset>4305300</wp:posOffset>
            </wp:positionV>
            <wp:extent cx="2228215" cy="2095500"/>
            <wp:effectExtent l="0" t="0" r="635" b="0"/>
            <wp:wrapSquare wrapText="bothSides"/>
            <wp:docPr id="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2228215" cy="2095500"/>
                    </a:xfrm>
                    <a:prstGeom prst="rect">
                      <a:avLst/>
                    </a:prstGeom>
                    <a:noFill/>
                    <a:ln w="9525">
                      <a:noFill/>
                      <a:miter lim="800000"/>
                      <a:headEnd/>
                      <a:tailEnd/>
                    </a:ln>
                  </pic:spPr>
                </pic:pic>
              </a:graphicData>
            </a:graphic>
          </wp:anchor>
        </w:drawing>
      </w:r>
      <w:r w:rsidR="00203174" w:rsidRPr="00203174">
        <w:rPr>
          <w:rFonts w:asciiTheme="minorHAnsi" w:hAnsiTheme="minorHAnsi"/>
          <w:sz w:val="22"/>
          <w:szCs w:val="24"/>
        </w:rPr>
        <w:t xml:space="preserve">Grants are a key aspect of how DOE </w:t>
      </w:r>
      <w:r w:rsidR="005A32CF">
        <w:rPr>
          <w:rFonts w:asciiTheme="minorHAnsi" w:hAnsiTheme="minorHAnsi"/>
          <w:sz w:val="22"/>
          <w:szCs w:val="24"/>
        </w:rPr>
        <w:t>achieves</w:t>
      </w:r>
      <w:r w:rsidR="00203174" w:rsidRPr="00203174">
        <w:rPr>
          <w:rFonts w:asciiTheme="minorHAnsi" w:hAnsiTheme="minorHAnsi"/>
          <w:sz w:val="22"/>
          <w:szCs w:val="24"/>
        </w:rPr>
        <w:t xml:space="preserve"> its mission and supports the </w:t>
      </w:r>
      <w:r w:rsidR="005A32CF">
        <w:rPr>
          <w:rFonts w:asciiTheme="minorHAnsi" w:hAnsiTheme="minorHAnsi"/>
          <w:sz w:val="22"/>
          <w:szCs w:val="24"/>
        </w:rPr>
        <w:t>n</w:t>
      </w:r>
      <w:r w:rsidR="00203174" w:rsidRPr="00203174">
        <w:rPr>
          <w:rFonts w:asciiTheme="minorHAnsi" w:hAnsiTheme="minorHAnsi"/>
          <w:sz w:val="22"/>
          <w:szCs w:val="24"/>
        </w:rPr>
        <w:t>ation’s innovation objectives and the underlying infrastructure critical to DOE’s success. To support federal IT modernization initiatives and identify opportunities for sharing, consolidation and reuse of enterprise-wide applications, the OCIO conducted an initial inventory of financial assistance systems across the Department.</w:t>
      </w:r>
      <w:r w:rsidR="00C76AEF">
        <w:rPr>
          <w:rFonts w:asciiTheme="minorHAnsi" w:hAnsiTheme="minorHAnsi"/>
          <w:sz w:val="22"/>
          <w:szCs w:val="24"/>
        </w:rPr>
        <w:t xml:space="preserve"> </w:t>
      </w:r>
      <w:r w:rsidR="00203174" w:rsidRPr="00203174">
        <w:rPr>
          <w:rFonts w:asciiTheme="minorHAnsi" w:hAnsiTheme="minorHAnsi"/>
          <w:sz w:val="22"/>
          <w:szCs w:val="24"/>
        </w:rPr>
        <w:t xml:space="preserve">The preliminary assessment identified 29 unique departmental and federal systems actively in use. </w:t>
      </w:r>
    </w:p>
    <w:p w:rsidR="006E432B" w:rsidRDefault="00203174" w:rsidP="006E432B">
      <w:pPr>
        <w:spacing w:after="120"/>
        <w:ind w:left="0" w:firstLine="0"/>
        <w:jc w:val="left"/>
        <w:rPr>
          <w:rFonts w:asciiTheme="minorHAnsi" w:hAnsiTheme="minorHAnsi"/>
          <w:sz w:val="22"/>
          <w:szCs w:val="24"/>
        </w:rPr>
      </w:pPr>
      <w:r w:rsidRPr="00203174">
        <w:rPr>
          <w:rFonts w:asciiTheme="minorHAnsi" w:hAnsiTheme="minorHAnsi"/>
          <w:sz w:val="22"/>
          <w:szCs w:val="24"/>
        </w:rPr>
        <w:t>For financial assistance activities, there are distinct conceptual phases, including: “Plan &amp; Announce,” “Find &amp; Apply,” “Evaluate &amp; Select,” “Award,” “Administer,” and “Closeout.” In addition, other functions such as outreach and support (i.e., call center) functions and information sharing should be included to insure that consolidated systems are consistently and productively utilized.</w:t>
      </w:r>
      <w:r w:rsidR="00C76AEF">
        <w:rPr>
          <w:rFonts w:asciiTheme="minorHAnsi" w:hAnsiTheme="minorHAnsi"/>
          <w:sz w:val="22"/>
          <w:szCs w:val="24"/>
        </w:rPr>
        <w:t xml:space="preserve"> </w:t>
      </w:r>
      <w:r w:rsidRPr="00203174">
        <w:rPr>
          <w:rFonts w:asciiTheme="minorHAnsi" w:hAnsiTheme="minorHAnsi"/>
          <w:sz w:val="22"/>
          <w:szCs w:val="24"/>
        </w:rPr>
        <w:t xml:space="preserve">Each current system has been deployed with an emphasis on specific phases of the process, in various mission-specific ways. However, there are opportunities to build a more integrated environment for DOE. The initial findings represent an opportunity to build collaborative partnerships, identify points of interoperability and </w:t>
      </w:r>
      <w:r w:rsidR="004A6967">
        <w:rPr>
          <w:rFonts w:asciiTheme="minorHAnsi" w:hAnsiTheme="minorHAnsi"/>
          <w:sz w:val="22"/>
          <w:szCs w:val="24"/>
        </w:rPr>
        <w:t>e</w:t>
      </w:r>
      <w:r w:rsidRPr="00203174">
        <w:rPr>
          <w:rFonts w:asciiTheme="minorHAnsi" w:hAnsiTheme="minorHAnsi"/>
          <w:sz w:val="22"/>
          <w:szCs w:val="24"/>
        </w:rPr>
        <w:t>nsure data sharing is maximized for grants and financial activities across DOE.</w:t>
      </w:r>
    </w:p>
    <w:p w:rsidR="004A6967" w:rsidRPr="00203174" w:rsidRDefault="00203174" w:rsidP="006E432B">
      <w:pPr>
        <w:spacing w:after="120"/>
        <w:ind w:left="0" w:firstLine="0"/>
        <w:jc w:val="left"/>
        <w:rPr>
          <w:rFonts w:asciiTheme="minorHAnsi" w:hAnsiTheme="minorHAnsi"/>
          <w:sz w:val="22"/>
          <w:szCs w:val="24"/>
        </w:rPr>
      </w:pPr>
      <w:r w:rsidRPr="00203174">
        <w:rPr>
          <w:rFonts w:asciiTheme="minorHAnsi" w:hAnsiTheme="minorHAnsi"/>
          <w:sz w:val="22"/>
          <w:szCs w:val="24"/>
        </w:rPr>
        <w:t>The OCIO is continuing this modernization initiative by building on the original research and expanding activities to engage broader IT management communities across the Department.  The focus will be on identifying ‘best of breed’ components to define an integrated environment for financial assistance activities throughout the department.</w:t>
      </w:r>
      <w:r w:rsidR="00C76AEF">
        <w:rPr>
          <w:rFonts w:asciiTheme="minorHAnsi" w:hAnsiTheme="minorHAnsi"/>
          <w:sz w:val="22"/>
          <w:szCs w:val="24"/>
        </w:rPr>
        <w:t xml:space="preserve"> </w:t>
      </w:r>
      <w:r w:rsidRPr="00203174">
        <w:rPr>
          <w:rFonts w:asciiTheme="minorHAnsi" w:hAnsiTheme="minorHAnsi"/>
          <w:sz w:val="22"/>
          <w:szCs w:val="24"/>
        </w:rPr>
        <w:t xml:space="preserve">A skilled team has been assembled to review the findings, and identify and design a path forward. </w:t>
      </w:r>
    </w:p>
    <w:p w:rsidR="00203174" w:rsidRPr="004A6967" w:rsidRDefault="00203174" w:rsidP="004A6967">
      <w:pPr>
        <w:spacing w:after="120"/>
        <w:ind w:left="0" w:firstLine="0"/>
        <w:jc w:val="left"/>
        <w:rPr>
          <w:rFonts w:asciiTheme="minorHAnsi" w:hAnsiTheme="minorHAnsi"/>
          <w:sz w:val="22"/>
          <w:szCs w:val="24"/>
        </w:rPr>
      </w:pPr>
    </w:p>
    <w:p w:rsidR="00C179FD" w:rsidRPr="00C179FD" w:rsidRDefault="00C179FD" w:rsidP="00C179FD">
      <w:pPr>
        <w:pStyle w:val="ListParagraph"/>
        <w:keepNext/>
        <w:numPr>
          <w:ilvl w:val="0"/>
          <w:numId w:val="13"/>
        </w:numPr>
        <w:spacing w:before="120" w:after="120"/>
        <w:contextualSpacing w:val="0"/>
        <w:jc w:val="left"/>
        <w:outlineLvl w:val="2"/>
        <w:rPr>
          <w:rFonts w:asciiTheme="majorHAnsi" w:hAnsiTheme="majorHAnsi" w:cs="Calibri"/>
          <w:b/>
          <w:bCs/>
          <w:noProof/>
          <w:vanish/>
          <w:color w:val="365F91"/>
          <w:sz w:val="24"/>
          <w:szCs w:val="26"/>
        </w:rPr>
      </w:pPr>
      <w:bookmarkStart w:id="470" w:name="_Toc286715001"/>
      <w:bookmarkStart w:id="471" w:name="_Toc286715109"/>
      <w:bookmarkStart w:id="472" w:name="_Toc286729247"/>
      <w:bookmarkStart w:id="473" w:name="_Toc286729362"/>
      <w:bookmarkStart w:id="474" w:name="_Toc286737845"/>
      <w:bookmarkStart w:id="475" w:name="_Toc286737952"/>
      <w:bookmarkStart w:id="476" w:name="_Toc286752761"/>
      <w:bookmarkStart w:id="477" w:name="_Toc286752869"/>
      <w:bookmarkStart w:id="478" w:name="_Toc286753652"/>
      <w:bookmarkEnd w:id="470"/>
      <w:bookmarkEnd w:id="471"/>
      <w:bookmarkEnd w:id="472"/>
      <w:bookmarkEnd w:id="473"/>
      <w:bookmarkEnd w:id="474"/>
      <w:bookmarkEnd w:id="475"/>
      <w:bookmarkEnd w:id="476"/>
      <w:bookmarkEnd w:id="477"/>
      <w:bookmarkEnd w:id="478"/>
    </w:p>
    <w:p w:rsidR="00C179FD" w:rsidRPr="00C179FD" w:rsidRDefault="00C179FD" w:rsidP="00C179FD">
      <w:pPr>
        <w:pStyle w:val="ListParagraph"/>
        <w:keepNext/>
        <w:numPr>
          <w:ilvl w:val="0"/>
          <w:numId w:val="13"/>
        </w:numPr>
        <w:spacing w:before="120" w:after="120"/>
        <w:contextualSpacing w:val="0"/>
        <w:jc w:val="left"/>
        <w:outlineLvl w:val="2"/>
        <w:rPr>
          <w:rFonts w:asciiTheme="majorHAnsi" w:hAnsiTheme="majorHAnsi" w:cs="Calibri"/>
          <w:b/>
          <w:bCs/>
          <w:noProof/>
          <w:vanish/>
          <w:color w:val="365F91"/>
          <w:sz w:val="24"/>
          <w:szCs w:val="26"/>
        </w:rPr>
      </w:pPr>
      <w:bookmarkStart w:id="479" w:name="_Toc286752762"/>
      <w:bookmarkStart w:id="480" w:name="_Toc286752870"/>
      <w:bookmarkStart w:id="481" w:name="_Toc286753653"/>
      <w:bookmarkEnd w:id="479"/>
      <w:bookmarkEnd w:id="480"/>
      <w:bookmarkEnd w:id="481"/>
    </w:p>
    <w:p w:rsidR="00C179FD" w:rsidRPr="00C179FD" w:rsidRDefault="00C179FD" w:rsidP="00C179FD">
      <w:pPr>
        <w:pStyle w:val="ListParagraph"/>
        <w:keepNext/>
        <w:numPr>
          <w:ilvl w:val="0"/>
          <w:numId w:val="13"/>
        </w:numPr>
        <w:spacing w:before="120" w:after="120"/>
        <w:contextualSpacing w:val="0"/>
        <w:jc w:val="left"/>
        <w:outlineLvl w:val="2"/>
        <w:rPr>
          <w:rFonts w:asciiTheme="majorHAnsi" w:hAnsiTheme="majorHAnsi" w:cs="Calibri"/>
          <w:b/>
          <w:bCs/>
          <w:noProof/>
          <w:vanish/>
          <w:color w:val="365F91"/>
          <w:sz w:val="24"/>
          <w:szCs w:val="26"/>
        </w:rPr>
      </w:pPr>
      <w:bookmarkStart w:id="482" w:name="_Toc286752763"/>
      <w:bookmarkStart w:id="483" w:name="_Toc286752871"/>
      <w:bookmarkStart w:id="484" w:name="_Toc286753654"/>
      <w:bookmarkEnd w:id="482"/>
      <w:bookmarkEnd w:id="483"/>
      <w:bookmarkEnd w:id="484"/>
    </w:p>
    <w:p w:rsidR="00C179FD" w:rsidRPr="00C179FD" w:rsidRDefault="00C179FD" w:rsidP="00C179FD">
      <w:pPr>
        <w:pStyle w:val="ListParagraph"/>
        <w:keepNext/>
        <w:numPr>
          <w:ilvl w:val="1"/>
          <w:numId w:val="13"/>
        </w:numPr>
        <w:spacing w:before="120" w:after="120"/>
        <w:contextualSpacing w:val="0"/>
        <w:jc w:val="left"/>
        <w:outlineLvl w:val="2"/>
        <w:rPr>
          <w:rFonts w:asciiTheme="majorHAnsi" w:hAnsiTheme="majorHAnsi" w:cs="Calibri"/>
          <w:b/>
          <w:bCs/>
          <w:noProof/>
          <w:vanish/>
          <w:color w:val="365F91"/>
          <w:sz w:val="24"/>
          <w:szCs w:val="26"/>
        </w:rPr>
      </w:pPr>
      <w:bookmarkStart w:id="485" w:name="_Toc286752764"/>
      <w:bookmarkStart w:id="486" w:name="_Toc286752872"/>
      <w:bookmarkStart w:id="487" w:name="_Toc286753655"/>
      <w:bookmarkEnd w:id="485"/>
      <w:bookmarkEnd w:id="486"/>
      <w:bookmarkEnd w:id="487"/>
    </w:p>
    <w:p w:rsidR="00C179FD" w:rsidRPr="00C179FD" w:rsidRDefault="00C179FD" w:rsidP="00C179FD">
      <w:pPr>
        <w:pStyle w:val="ListParagraph"/>
        <w:keepNext/>
        <w:numPr>
          <w:ilvl w:val="2"/>
          <w:numId w:val="13"/>
        </w:numPr>
        <w:spacing w:before="120" w:after="120"/>
        <w:contextualSpacing w:val="0"/>
        <w:jc w:val="left"/>
        <w:outlineLvl w:val="2"/>
        <w:rPr>
          <w:rFonts w:asciiTheme="majorHAnsi" w:hAnsiTheme="majorHAnsi" w:cs="Calibri"/>
          <w:b/>
          <w:bCs/>
          <w:noProof/>
          <w:vanish/>
          <w:color w:val="365F91"/>
          <w:sz w:val="24"/>
          <w:szCs w:val="26"/>
        </w:rPr>
      </w:pPr>
      <w:bookmarkStart w:id="488" w:name="_Toc286752765"/>
      <w:bookmarkStart w:id="489" w:name="_Toc286752873"/>
      <w:bookmarkStart w:id="490" w:name="_Toc286753656"/>
      <w:bookmarkEnd w:id="488"/>
      <w:bookmarkEnd w:id="489"/>
      <w:bookmarkEnd w:id="490"/>
    </w:p>
    <w:p w:rsidR="00C179FD" w:rsidRPr="00C179FD" w:rsidRDefault="00C179FD" w:rsidP="00C179FD">
      <w:pPr>
        <w:pStyle w:val="ListParagraph"/>
        <w:keepNext/>
        <w:numPr>
          <w:ilvl w:val="2"/>
          <w:numId w:val="13"/>
        </w:numPr>
        <w:spacing w:before="120" w:after="120"/>
        <w:contextualSpacing w:val="0"/>
        <w:jc w:val="left"/>
        <w:outlineLvl w:val="2"/>
        <w:rPr>
          <w:rFonts w:asciiTheme="majorHAnsi" w:hAnsiTheme="majorHAnsi" w:cs="Calibri"/>
          <w:b/>
          <w:bCs/>
          <w:noProof/>
          <w:vanish/>
          <w:color w:val="365F91"/>
          <w:sz w:val="24"/>
          <w:szCs w:val="26"/>
        </w:rPr>
      </w:pPr>
      <w:bookmarkStart w:id="491" w:name="_Toc286752766"/>
      <w:bookmarkStart w:id="492" w:name="_Toc286752874"/>
      <w:bookmarkStart w:id="493" w:name="_Toc286753657"/>
      <w:bookmarkEnd w:id="491"/>
      <w:bookmarkEnd w:id="492"/>
      <w:bookmarkEnd w:id="493"/>
    </w:p>
    <w:p w:rsidR="00C179FD" w:rsidRPr="00C179FD" w:rsidRDefault="00C179FD" w:rsidP="00C179FD">
      <w:pPr>
        <w:pStyle w:val="ListParagraph"/>
        <w:keepNext/>
        <w:numPr>
          <w:ilvl w:val="2"/>
          <w:numId w:val="13"/>
        </w:numPr>
        <w:spacing w:before="120" w:after="120"/>
        <w:contextualSpacing w:val="0"/>
        <w:jc w:val="left"/>
        <w:outlineLvl w:val="2"/>
        <w:rPr>
          <w:rFonts w:asciiTheme="majorHAnsi" w:hAnsiTheme="majorHAnsi" w:cs="Calibri"/>
          <w:b/>
          <w:bCs/>
          <w:noProof/>
          <w:vanish/>
          <w:color w:val="365F91"/>
          <w:sz w:val="24"/>
          <w:szCs w:val="26"/>
        </w:rPr>
      </w:pPr>
      <w:bookmarkStart w:id="494" w:name="_Toc286752767"/>
      <w:bookmarkStart w:id="495" w:name="_Toc286752875"/>
      <w:bookmarkStart w:id="496" w:name="_Toc286753658"/>
      <w:bookmarkEnd w:id="494"/>
      <w:bookmarkEnd w:id="495"/>
      <w:bookmarkEnd w:id="496"/>
    </w:p>
    <w:p w:rsidR="00C179FD" w:rsidRPr="00C179FD" w:rsidRDefault="00C179FD" w:rsidP="00C179FD">
      <w:pPr>
        <w:pStyle w:val="ListParagraph"/>
        <w:keepNext/>
        <w:numPr>
          <w:ilvl w:val="2"/>
          <w:numId w:val="13"/>
        </w:numPr>
        <w:spacing w:before="120" w:after="120"/>
        <w:contextualSpacing w:val="0"/>
        <w:jc w:val="left"/>
        <w:outlineLvl w:val="2"/>
        <w:rPr>
          <w:rFonts w:asciiTheme="majorHAnsi" w:hAnsiTheme="majorHAnsi" w:cs="Calibri"/>
          <w:b/>
          <w:bCs/>
          <w:noProof/>
          <w:vanish/>
          <w:color w:val="365F91"/>
          <w:sz w:val="24"/>
          <w:szCs w:val="26"/>
        </w:rPr>
      </w:pPr>
      <w:bookmarkStart w:id="497" w:name="_Toc286752768"/>
      <w:bookmarkStart w:id="498" w:name="_Toc286752876"/>
      <w:bookmarkStart w:id="499" w:name="_Toc286753659"/>
      <w:bookmarkEnd w:id="497"/>
      <w:bookmarkEnd w:id="498"/>
      <w:bookmarkEnd w:id="499"/>
    </w:p>
    <w:p w:rsidR="00C179FD" w:rsidRPr="00C179FD" w:rsidRDefault="00C179FD" w:rsidP="00C179FD">
      <w:pPr>
        <w:pStyle w:val="ListParagraph"/>
        <w:keepNext/>
        <w:numPr>
          <w:ilvl w:val="2"/>
          <w:numId w:val="13"/>
        </w:numPr>
        <w:spacing w:before="120" w:after="120"/>
        <w:contextualSpacing w:val="0"/>
        <w:jc w:val="left"/>
        <w:outlineLvl w:val="2"/>
        <w:rPr>
          <w:rFonts w:asciiTheme="majorHAnsi" w:hAnsiTheme="majorHAnsi" w:cs="Calibri"/>
          <w:b/>
          <w:bCs/>
          <w:noProof/>
          <w:vanish/>
          <w:color w:val="365F91"/>
          <w:sz w:val="24"/>
          <w:szCs w:val="26"/>
        </w:rPr>
      </w:pPr>
      <w:bookmarkStart w:id="500" w:name="_Toc286752769"/>
      <w:bookmarkStart w:id="501" w:name="_Toc286752877"/>
      <w:bookmarkStart w:id="502" w:name="_Toc286753660"/>
      <w:bookmarkEnd w:id="500"/>
      <w:bookmarkEnd w:id="501"/>
      <w:bookmarkEnd w:id="502"/>
    </w:p>
    <w:p w:rsidR="00AE14BC" w:rsidRPr="003D7AAC" w:rsidRDefault="00AE6B43" w:rsidP="00C179FD">
      <w:pPr>
        <w:pStyle w:val="Heading3"/>
        <w:numPr>
          <w:ilvl w:val="2"/>
          <w:numId w:val="13"/>
        </w:numPr>
        <w:spacing w:before="120" w:after="120"/>
        <w:ind w:left="900" w:hanging="857"/>
        <w:jc w:val="left"/>
        <w:rPr>
          <w:rFonts w:asciiTheme="majorHAnsi" w:hAnsiTheme="majorHAnsi" w:cs="Calibri"/>
          <w:color w:val="365F91"/>
          <w:sz w:val="28"/>
        </w:rPr>
      </w:pPr>
      <w:r w:rsidRPr="003D7AAC">
        <w:rPr>
          <w:rFonts w:asciiTheme="majorHAnsi" w:hAnsiTheme="majorHAnsi" w:cs="Calibri"/>
          <w:noProof/>
          <w:color w:val="365F91"/>
          <w:sz w:val="24"/>
        </w:rPr>
        <w:t xml:space="preserve"> </w:t>
      </w:r>
      <w:bookmarkStart w:id="503" w:name="_Toc286753661"/>
      <w:r w:rsidR="00AE14BC" w:rsidRPr="003D7AAC">
        <w:rPr>
          <w:rFonts w:asciiTheme="majorHAnsi" w:hAnsiTheme="majorHAnsi" w:cs="Calibri"/>
          <w:color w:val="365F91"/>
          <w:sz w:val="28"/>
        </w:rPr>
        <w:t>Reforming Records Management</w:t>
      </w:r>
      <w:bookmarkEnd w:id="503"/>
    </w:p>
    <w:p w:rsidR="00A71A79" w:rsidRDefault="00BB31EB" w:rsidP="0026093F">
      <w:pPr>
        <w:autoSpaceDE w:val="0"/>
        <w:autoSpaceDN w:val="0"/>
        <w:adjustRightInd w:val="0"/>
        <w:ind w:left="0" w:firstLine="0"/>
        <w:jc w:val="left"/>
        <w:rPr>
          <w:sz w:val="22"/>
          <w:szCs w:val="24"/>
        </w:rPr>
      </w:pPr>
      <w:bookmarkStart w:id="504" w:name="_Toc285534210"/>
      <w:bookmarkStart w:id="505" w:name="_Toc285548189"/>
      <w:r>
        <w:rPr>
          <w:noProof/>
          <w:sz w:val="22"/>
          <w:szCs w:val="24"/>
        </w:rPr>
        <w:drawing>
          <wp:anchor distT="0" distB="0" distL="114300" distR="114300" simplePos="0" relativeHeight="251759616" behindDoc="0" locked="0" layoutInCell="1" allowOverlap="1">
            <wp:simplePos x="0" y="0"/>
            <wp:positionH relativeFrom="margin">
              <wp:posOffset>3457575</wp:posOffset>
            </wp:positionH>
            <wp:positionV relativeFrom="margin">
              <wp:posOffset>600075</wp:posOffset>
            </wp:positionV>
            <wp:extent cx="2468880" cy="3629025"/>
            <wp:effectExtent l="19050" t="0" r="762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468880" cy="3629025"/>
                    </a:xfrm>
                    <a:prstGeom prst="rect">
                      <a:avLst/>
                    </a:prstGeom>
                    <a:noFill/>
                    <a:ln w="9525">
                      <a:noFill/>
                      <a:miter lim="800000"/>
                      <a:headEnd/>
                      <a:tailEnd/>
                    </a:ln>
                  </pic:spPr>
                </pic:pic>
              </a:graphicData>
            </a:graphic>
          </wp:anchor>
        </w:drawing>
      </w:r>
      <w:r w:rsidR="00A71A79">
        <w:rPr>
          <w:sz w:val="22"/>
          <w:szCs w:val="24"/>
        </w:rPr>
        <w:t>DOE is in the process of reforming its records management processes as a result of key recommendations identified in a DOE Inspector General (IG) report, the CIO’s new focus on records management, and on-going work with the Information and Records Management (IRM) segment.</w:t>
      </w:r>
      <w:r w:rsidR="00C3456B">
        <w:rPr>
          <w:sz w:val="22"/>
          <w:szCs w:val="24"/>
        </w:rPr>
        <w:t xml:space="preserve"> </w:t>
      </w:r>
    </w:p>
    <w:p w:rsidR="0026093F" w:rsidRPr="00561D8B" w:rsidRDefault="0026093F" w:rsidP="0026093F">
      <w:pPr>
        <w:autoSpaceDE w:val="0"/>
        <w:autoSpaceDN w:val="0"/>
        <w:adjustRightInd w:val="0"/>
        <w:ind w:left="0" w:firstLine="0"/>
        <w:jc w:val="left"/>
        <w:rPr>
          <w:sz w:val="22"/>
          <w:szCs w:val="24"/>
        </w:rPr>
      </w:pPr>
    </w:p>
    <w:p w:rsidR="00A71A79" w:rsidRPr="00561D8B" w:rsidRDefault="00A71A79" w:rsidP="00A71A79">
      <w:pPr>
        <w:autoSpaceDE w:val="0"/>
        <w:autoSpaceDN w:val="0"/>
        <w:adjustRightInd w:val="0"/>
        <w:ind w:left="0" w:firstLine="0"/>
        <w:jc w:val="left"/>
        <w:rPr>
          <w:sz w:val="22"/>
          <w:szCs w:val="24"/>
        </w:rPr>
      </w:pPr>
      <w:r w:rsidRPr="00561D8B">
        <w:rPr>
          <w:sz w:val="22"/>
          <w:szCs w:val="24"/>
        </w:rPr>
        <w:t xml:space="preserve">In response to the report, </w:t>
      </w:r>
      <w:r>
        <w:rPr>
          <w:sz w:val="22"/>
          <w:szCs w:val="24"/>
        </w:rPr>
        <w:t xml:space="preserve">the DOE </w:t>
      </w:r>
      <w:r w:rsidRPr="00561D8B">
        <w:rPr>
          <w:sz w:val="22"/>
          <w:szCs w:val="24"/>
        </w:rPr>
        <w:t xml:space="preserve">CIO has identified </w:t>
      </w:r>
      <w:r w:rsidR="004A6967">
        <w:rPr>
          <w:sz w:val="22"/>
          <w:szCs w:val="24"/>
        </w:rPr>
        <w:t>actions to improve records management Department-wide</w:t>
      </w:r>
      <w:r w:rsidRPr="00561D8B">
        <w:rPr>
          <w:sz w:val="22"/>
          <w:szCs w:val="24"/>
        </w:rPr>
        <w:t>:</w:t>
      </w:r>
    </w:p>
    <w:p w:rsidR="00A71A79" w:rsidRPr="00561D8B" w:rsidRDefault="00A71A79" w:rsidP="009E3804">
      <w:pPr>
        <w:pStyle w:val="ListParagraph"/>
        <w:numPr>
          <w:ilvl w:val="0"/>
          <w:numId w:val="25"/>
        </w:numPr>
        <w:autoSpaceDE w:val="0"/>
        <w:autoSpaceDN w:val="0"/>
        <w:adjustRightInd w:val="0"/>
        <w:jc w:val="left"/>
        <w:rPr>
          <w:rFonts w:cs="Calibri"/>
          <w:sz w:val="22"/>
          <w:szCs w:val="24"/>
        </w:rPr>
      </w:pPr>
      <w:r>
        <w:rPr>
          <w:rFonts w:cs="Calibri"/>
          <w:sz w:val="22"/>
          <w:szCs w:val="24"/>
        </w:rPr>
        <w:t xml:space="preserve">Finalize and implement </w:t>
      </w:r>
      <w:r w:rsidR="001A483E">
        <w:rPr>
          <w:rFonts w:cs="Calibri"/>
          <w:sz w:val="22"/>
          <w:szCs w:val="24"/>
        </w:rPr>
        <w:t>Department</w:t>
      </w:r>
      <w:r w:rsidRPr="00561D8B">
        <w:rPr>
          <w:rFonts w:cs="Calibri"/>
          <w:sz w:val="22"/>
          <w:szCs w:val="24"/>
        </w:rPr>
        <w:t>al policies and guidance supporting</w:t>
      </w:r>
      <w:r>
        <w:rPr>
          <w:rFonts w:cs="Calibri"/>
          <w:sz w:val="22"/>
          <w:szCs w:val="24"/>
        </w:rPr>
        <w:t xml:space="preserve"> the Records Management Program</w:t>
      </w:r>
    </w:p>
    <w:p w:rsidR="00A71A79" w:rsidRPr="00561D8B" w:rsidRDefault="00A71A79" w:rsidP="009E3804">
      <w:pPr>
        <w:pStyle w:val="ListParagraph"/>
        <w:numPr>
          <w:ilvl w:val="0"/>
          <w:numId w:val="25"/>
        </w:numPr>
        <w:autoSpaceDE w:val="0"/>
        <w:autoSpaceDN w:val="0"/>
        <w:adjustRightInd w:val="0"/>
        <w:jc w:val="left"/>
        <w:rPr>
          <w:rFonts w:cs="Calibri"/>
          <w:sz w:val="22"/>
          <w:szCs w:val="24"/>
        </w:rPr>
      </w:pPr>
      <w:r w:rsidRPr="00561D8B">
        <w:rPr>
          <w:rFonts w:cs="Calibri"/>
          <w:sz w:val="22"/>
          <w:szCs w:val="24"/>
        </w:rPr>
        <w:t xml:space="preserve">Utilize a central authority, such as the </w:t>
      </w:r>
      <w:r w:rsidR="001A483E">
        <w:rPr>
          <w:rFonts w:cs="Calibri"/>
          <w:sz w:val="22"/>
          <w:szCs w:val="24"/>
        </w:rPr>
        <w:t>Department</w:t>
      </w:r>
      <w:r w:rsidRPr="00561D8B">
        <w:rPr>
          <w:rFonts w:cs="Calibri"/>
          <w:sz w:val="22"/>
          <w:szCs w:val="24"/>
        </w:rPr>
        <w:t>'s Record Management Council, to help ensure a coordinated approach for records management a</w:t>
      </w:r>
      <w:r>
        <w:rPr>
          <w:rFonts w:cs="Calibri"/>
          <w:sz w:val="22"/>
          <w:szCs w:val="24"/>
        </w:rPr>
        <w:t xml:space="preserve">ctivities across the </w:t>
      </w:r>
      <w:r w:rsidR="001A483E">
        <w:rPr>
          <w:rFonts w:cs="Calibri"/>
          <w:sz w:val="22"/>
          <w:szCs w:val="24"/>
        </w:rPr>
        <w:t>Department</w:t>
      </w:r>
    </w:p>
    <w:p w:rsidR="00A71A79" w:rsidRPr="00561D8B" w:rsidRDefault="00A71A79" w:rsidP="009E3804">
      <w:pPr>
        <w:pStyle w:val="ListParagraph"/>
        <w:numPr>
          <w:ilvl w:val="0"/>
          <w:numId w:val="25"/>
        </w:numPr>
        <w:autoSpaceDE w:val="0"/>
        <w:autoSpaceDN w:val="0"/>
        <w:adjustRightInd w:val="0"/>
        <w:jc w:val="left"/>
        <w:rPr>
          <w:rFonts w:cs="Calibri"/>
          <w:sz w:val="22"/>
          <w:szCs w:val="24"/>
        </w:rPr>
      </w:pPr>
      <w:r>
        <w:rPr>
          <w:rFonts w:cs="Calibri"/>
          <w:sz w:val="22"/>
          <w:szCs w:val="24"/>
        </w:rPr>
        <w:t xml:space="preserve">Ensure </w:t>
      </w:r>
      <w:r w:rsidRPr="00561D8B">
        <w:rPr>
          <w:rFonts w:cs="Calibri"/>
          <w:sz w:val="22"/>
          <w:szCs w:val="24"/>
        </w:rPr>
        <w:t>the identification, maintenance, and disposition of electronic records is managed through the use of records management applications, in accordance with Federal and</w:t>
      </w:r>
      <w:r w:rsidR="00083434" w:rsidRPr="00083434">
        <w:rPr>
          <w:rFonts w:cs="Calibri"/>
          <w:sz w:val="22"/>
          <w:szCs w:val="24"/>
        </w:rPr>
        <w:t xml:space="preserve"> </w:t>
      </w:r>
      <w:r w:rsidRPr="00561D8B">
        <w:rPr>
          <w:rFonts w:cs="Calibri"/>
          <w:sz w:val="22"/>
          <w:szCs w:val="24"/>
        </w:rPr>
        <w:t xml:space="preserve"> </w:t>
      </w:r>
      <w:r w:rsidR="001A483E">
        <w:rPr>
          <w:rFonts w:cs="Calibri"/>
          <w:sz w:val="22"/>
          <w:szCs w:val="24"/>
        </w:rPr>
        <w:t>Department</w:t>
      </w:r>
      <w:r w:rsidRPr="00561D8B">
        <w:rPr>
          <w:rFonts w:cs="Calibri"/>
          <w:sz w:val="22"/>
          <w:szCs w:val="24"/>
        </w:rPr>
        <w:t xml:space="preserve"> requirements and guidelines</w:t>
      </w:r>
    </w:p>
    <w:p w:rsidR="00A71A79" w:rsidRPr="00561D8B" w:rsidRDefault="00A71A79" w:rsidP="009E3804">
      <w:pPr>
        <w:pStyle w:val="ListParagraph"/>
        <w:numPr>
          <w:ilvl w:val="0"/>
          <w:numId w:val="25"/>
        </w:numPr>
        <w:autoSpaceDE w:val="0"/>
        <w:autoSpaceDN w:val="0"/>
        <w:adjustRightInd w:val="0"/>
        <w:jc w:val="left"/>
        <w:rPr>
          <w:rFonts w:cs="Calibri"/>
          <w:sz w:val="22"/>
          <w:szCs w:val="24"/>
        </w:rPr>
      </w:pPr>
      <w:r w:rsidRPr="00561D8B">
        <w:rPr>
          <w:rFonts w:cs="Calibri"/>
          <w:sz w:val="22"/>
          <w:szCs w:val="24"/>
        </w:rPr>
        <w:t>Develop and implement mandatory records management training for all Federal and contractor personnel, as necessary, to include management of electronic and vital records.</w:t>
      </w:r>
    </w:p>
    <w:p w:rsidR="00A71A79" w:rsidRPr="00561D8B" w:rsidRDefault="00A71A79" w:rsidP="00A71A79">
      <w:pPr>
        <w:autoSpaceDE w:val="0"/>
        <w:autoSpaceDN w:val="0"/>
        <w:adjustRightInd w:val="0"/>
        <w:spacing w:line="240" w:lineRule="auto"/>
        <w:jc w:val="left"/>
        <w:rPr>
          <w:sz w:val="22"/>
          <w:szCs w:val="24"/>
        </w:rPr>
      </w:pPr>
    </w:p>
    <w:p w:rsidR="00A71A79" w:rsidRPr="00561D8B" w:rsidRDefault="00A71A79" w:rsidP="00A71A79">
      <w:pPr>
        <w:autoSpaceDE w:val="0"/>
        <w:autoSpaceDN w:val="0"/>
        <w:adjustRightInd w:val="0"/>
        <w:ind w:left="0" w:firstLine="0"/>
        <w:jc w:val="left"/>
        <w:rPr>
          <w:sz w:val="22"/>
          <w:szCs w:val="24"/>
        </w:rPr>
      </w:pPr>
      <w:r w:rsidRPr="00561D8B">
        <w:rPr>
          <w:sz w:val="22"/>
          <w:szCs w:val="24"/>
        </w:rPr>
        <w:t>These recommendations have be</w:t>
      </w:r>
      <w:r>
        <w:rPr>
          <w:sz w:val="22"/>
          <w:szCs w:val="24"/>
        </w:rPr>
        <w:t>en integrated with the IRM s</w:t>
      </w:r>
      <w:r w:rsidRPr="00561D8B">
        <w:rPr>
          <w:sz w:val="22"/>
          <w:szCs w:val="24"/>
        </w:rPr>
        <w:t xml:space="preserve">egment. In addition to these new initiatives, the </w:t>
      </w:r>
      <w:r w:rsidR="001A483E">
        <w:rPr>
          <w:sz w:val="22"/>
          <w:szCs w:val="24"/>
        </w:rPr>
        <w:t>Department</w:t>
      </w:r>
      <w:r w:rsidRPr="00561D8B">
        <w:rPr>
          <w:sz w:val="22"/>
          <w:szCs w:val="24"/>
        </w:rPr>
        <w:t xml:space="preserve"> continues to execute the original IRM segment plans to distribute survey tool</w:t>
      </w:r>
      <w:r>
        <w:rPr>
          <w:sz w:val="22"/>
          <w:szCs w:val="24"/>
        </w:rPr>
        <w:t>s</w:t>
      </w:r>
      <w:r w:rsidRPr="00561D8B">
        <w:rPr>
          <w:sz w:val="22"/>
          <w:szCs w:val="24"/>
        </w:rPr>
        <w:t xml:space="preserve"> to </w:t>
      </w:r>
      <w:r>
        <w:rPr>
          <w:sz w:val="22"/>
          <w:szCs w:val="24"/>
        </w:rPr>
        <w:t xml:space="preserve">the </w:t>
      </w:r>
      <w:r w:rsidRPr="00561D8B">
        <w:rPr>
          <w:sz w:val="22"/>
          <w:szCs w:val="24"/>
        </w:rPr>
        <w:t xml:space="preserve">records community </w:t>
      </w:r>
      <w:r>
        <w:rPr>
          <w:sz w:val="22"/>
          <w:szCs w:val="24"/>
        </w:rPr>
        <w:t>to collection infor</w:t>
      </w:r>
      <w:r w:rsidRPr="00561D8B">
        <w:rPr>
          <w:sz w:val="22"/>
          <w:szCs w:val="24"/>
        </w:rPr>
        <w:t>mation</w:t>
      </w:r>
      <w:r w:rsidRPr="00561D8B">
        <w:rPr>
          <w:color w:val="FF0000"/>
          <w:sz w:val="22"/>
          <w:szCs w:val="24"/>
        </w:rPr>
        <w:t xml:space="preserve"> </w:t>
      </w:r>
      <w:r w:rsidRPr="00561D8B">
        <w:rPr>
          <w:sz w:val="22"/>
          <w:szCs w:val="24"/>
        </w:rPr>
        <w:t>on systems relating to record</w:t>
      </w:r>
      <w:r>
        <w:rPr>
          <w:sz w:val="22"/>
          <w:szCs w:val="24"/>
        </w:rPr>
        <w:t>s, continue the SF-135 scanning p</w:t>
      </w:r>
      <w:r w:rsidRPr="00561D8B">
        <w:rPr>
          <w:sz w:val="22"/>
          <w:szCs w:val="24"/>
        </w:rPr>
        <w:t>roject to eliminate paper process</w:t>
      </w:r>
      <w:r>
        <w:rPr>
          <w:sz w:val="22"/>
          <w:szCs w:val="24"/>
        </w:rPr>
        <w:t>es</w:t>
      </w:r>
      <w:r w:rsidRPr="00561D8B">
        <w:rPr>
          <w:sz w:val="22"/>
          <w:szCs w:val="24"/>
        </w:rPr>
        <w:t>, a</w:t>
      </w:r>
      <w:r>
        <w:rPr>
          <w:sz w:val="22"/>
          <w:szCs w:val="24"/>
        </w:rPr>
        <w:t xml:space="preserve">nd streamline the </w:t>
      </w:r>
      <w:r w:rsidR="001A483E">
        <w:rPr>
          <w:sz w:val="22"/>
          <w:szCs w:val="24"/>
        </w:rPr>
        <w:t>Department</w:t>
      </w:r>
      <w:r>
        <w:rPr>
          <w:sz w:val="22"/>
          <w:szCs w:val="24"/>
        </w:rPr>
        <w:t>’s retention s</w:t>
      </w:r>
      <w:r w:rsidRPr="00561D8B">
        <w:rPr>
          <w:sz w:val="22"/>
          <w:szCs w:val="24"/>
        </w:rPr>
        <w:t>chedules to consolidate retention requirements.</w:t>
      </w:r>
    </w:p>
    <w:p w:rsidR="00AE14BC" w:rsidRPr="003D7AAC" w:rsidRDefault="00AE14BC" w:rsidP="009E3804">
      <w:pPr>
        <w:pStyle w:val="Heading2"/>
        <w:numPr>
          <w:ilvl w:val="1"/>
          <w:numId w:val="13"/>
        </w:numPr>
        <w:spacing w:before="120" w:after="120"/>
        <w:ind w:left="547" w:hanging="547"/>
        <w:jc w:val="left"/>
        <w:rPr>
          <w:rFonts w:asciiTheme="majorHAnsi" w:hAnsiTheme="majorHAnsi" w:cs="Calibri"/>
          <w:color w:val="365F91"/>
          <w:sz w:val="28"/>
        </w:rPr>
      </w:pPr>
      <w:bookmarkStart w:id="506" w:name="_Toc286753662"/>
      <w:r w:rsidRPr="003D7AAC">
        <w:rPr>
          <w:rFonts w:asciiTheme="majorHAnsi" w:hAnsiTheme="majorHAnsi" w:cs="Calibri"/>
          <w:color w:val="365F91"/>
          <w:sz w:val="28"/>
        </w:rPr>
        <w:t>IT-Oriented Key Initiatives</w:t>
      </w:r>
      <w:bookmarkEnd w:id="504"/>
      <w:bookmarkEnd w:id="505"/>
      <w:bookmarkEnd w:id="506"/>
    </w:p>
    <w:p w:rsidR="00AE14BC" w:rsidRPr="003D7AAC" w:rsidRDefault="00AE14BC" w:rsidP="009E3804">
      <w:pPr>
        <w:pStyle w:val="Heading3"/>
        <w:numPr>
          <w:ilvl w:val="2"/>
          <w:numId w:val="13"/>
        </w:numPr>
        <w:spacing w:before="120" w:after="120"/>
        <w:ind w:left="720" w:hanging="720"/>
        <w:jc w:val="left"/>
        <w:rPr>
          <w:rFonts w:asciiTheme="majorHAnsi" w:hAnsiTheme="majorHAnsi" w:cs="Calibri"/>
          <w:color w:val="365F91"/>
          <w:sz w:val="28"/>
        </w:rPr>
      </w:pPr>
      <w:bookmarkStart w:id="507" w:name="_Toc285534211"/>
      <w:bookmarkStart w:id="508" w:name="_Toc285548190"/>
      <w:bookmarkStart w:id="509" w:name="_Toc286753663"/>
      <w:r w:rsidRPr="003D7AAC">
        <w:rPr>
          <w:rFonts w:asciiTheme="majorHAnsi" w:hAnsiTheme="majorHAnsi" w:cs="Calibri"/>
          <w:color w:val="365F91"/>
          <w:sz w:val="28"/>
        </w:rPr>
        <w:t>Adopting Cloud First</w:t>
      </w:r>
      <w:bookmarkEnd w:id="507"/>
      <w:bookmarkEnd w:id="508"/>
      <w:bookmarkEnd w:id="509"/>
    </w:p>
    <w:p w:rsidR="00C91F32" w:rsidRPr="00561D8B" w:rsidRDefault="00052B08" w:rsidP="00DA1C63">
      <w:pPr>
        <w:autoSpaceDE w:val="0"/>
        <w:autoSpaceDN w:val="0"/>
        <w:adjustRightInd w:val="0"/>
        <w:ind w:left="0" w:firstLine="0"/>
        <w:jc w:val="left"/>
        <w:rPr>
          <w:sz w:val="22"/>
          <w:szCs w:val="24"/>
        </w:rPr>
      </w:pPr>
      <w:r w:rsidRPr="00561D8B">
        <w:rPr>
          <w:sz w:val="22"/>
          <w:szCs w:val="24"/>
        </w:rPr>
        <w:t>DOE is pursuing business management excellence by adopting a cloud-centric approach, which aligns internal communities</w:t>
      </w:r>
      <w:r w:rsidR="00561D8B" w:rsidRPr="00561D8B">
        <w:rPr>
          <w:sz w:val="22"/>
          <w:szCs w:val="24"/>
        </w:rPr>
        <w:t>, with</w:t>
      </w:r>
      <w:r w:rsidRPr="00561D8B">
        <w:rPr>
          <w:sz w:val="22"/>
          <w:szCs w:val="24"/>
        </w:rPr>
        <w:t xml:space="preserve"> industry best practices, and develops an education program to grow a mature cloud computing practice to meet business requirements.</w:t>
      </w:r>
      <w:r w:rsidR="00C3456B">
        <w:rPr>
          <w:sz w:val="22"/>
          <w:szCs w:val="24"/>
        </w:rPr>
        <w:t xml:space="preserve"> </w:t>
      </w:r>
      <w:r w:rsidRPr="00561D8B">
        <w:rPr>
          <w:rFonts w:eastAsia="Times New Roman"/>
          <w:sz w:val="22"/>
          <w:szCs w:val="24"/>
        </w:rPr>
        <w:t>Cloud computing is a type of computing that provides simple, on-demand access to pools of highly elastic computing resources. These resources are provided as a service over a network (often the Internet), and are now possible due to a series of innovations across computing technologies, operations, and business models</w:t>
      </w:r>
      <w:r w:rsidRPr="00561D8B">
        <w:rPr>
          <w:sz w:val="22"/>
          <w:szCs w:val="24"/>
        </w:rPr>
        <w:t>.</w:t>
      </w:r>
      <w:r w:rsidR="00C3456B">
        <w:rPr>
          <w:sz w:val="22"/>
          <w:szCs w:val="24"/>
        </w:rPr>
        <w:t xml:space="preserve"> </w:t>
      </w:r>
      <w:r w:rsidRPr="00561D8B">
        <w:rPr>
          <w:sz w:val="22"/>
          <w:szCs w:val="24"/>
        </w:rPr>
        <w:t xml:space="preserve">Rather than a new IT initiative, cloud computing is a paradigm shift for the </w:t>
      </w:r>
      <w:r w:rsidR="001A483E">
        <w:rPr>
          <w:sz w:val="22"/>
          <w:szCs w:val="24"/>
        </w:rPr>
        <w:t>Department</w:t>
      </w:r>
      <w:r w:rsidRPr="00561D8B">
        <w:rPr>
          <w:sz w:val="22"/>
          <w:szCs w:val="24"/>
        </w:rPr>
        <w:t xml:space="preserve"> to realize economies of scale for reducing IT-related costs.</w:t>
      </w:r>
      <w:r w:rsidR="00C3456B">
        <w:rPr>
          <w:sz w:val="22"/>
          <w:szCs w:val="24"/>
        </w:rPr>
        <w:t xml:space="preserve"> </w:t>
      </w:r>
      <w:r w:rsidR="00845F6E" w:rsidRPr="00561D8B">
        <w:rPr>
          <w:sz w:val="22"/>
          <w:szCs w:val="24"/>
        </w:rPr>
        <w:t>Cloud Computing will enable DOE’s mission by:</w:t>
      </w:r>
    </w:p>
    <w:p w:rsidR="006A67D4" w:rsidRPr="00561D8B" w:rsidRDefault="006A67D4" w:rsidP="009E3804">
      <w:pPr>
        <w:pStyle w:val="ListParagraph"/>
        <w:numPr>
          <w:ilvl w:val="0"/>
          <w:numId w:val="27"/>
        </w:numPr>
        <w:autoSpaceDE w:val="0"/>
        <w:autoSpaceDN w:val="0"/>
        <w:adjustRightInd w:val="0"/>
        <w:jc w:val="left"/>
        <w:rPr>
          <w:rFonts w:cs="Calibri"/>
          <w:sz w:val="22"/>
          <w:szCs w:val="24"/>
        </w:rPr>
      </w:pPr>
      <w:r w:rsidRPr="00561D8B">
        <w:rPr>
          <w:rFonts w:cs="Calibri"/>
          <w:bCs/>
          <w:iCs/>
          <w:sz w:val="22"/>
          <w:szCs w:val="24"/>
        </w:rPr>
        <w:t>Providing scientists with an environment that supports discovery and innovation that is less constrained by process and policy,</w:t>
      </w:r>
    </w:p>
    <w:p w:rsidR="006A67D4" w:rsidRPr="00561D8B" w:rsidRDefault="006A67D4" w:rsidP="009E3804">
      <w:pPr>
        <w:pStyle w:val="ListParagraph"/>
        <w:numPr>
          <w:ilvl w:val="0"/>
          <w:numId w:val="26"/>
        </w:numPr>
        <w:autoSpaceDE w:val="0"/>
        <w:autoSpaceDN w:val="0"/>
        <w:adjustRightInd w:val="0"/>
        <w:jc w:val="left"/>
        <w:rPr>
          <w:rFonts w:cs="Calibri"/>
          <w:sz w:val="22"/>
          <w:szCs w:val="24"/>
        </w:rPr>
      </w:pPr>
      <w:r w:rsidRPr="00561D8B">
        <w:rPr>
          <w:rFonts w:cs="Calibri"/>
          <w:bCs/>
          <w:iCs/>
          <w:sz w:val="22"/>
          <w:szCs w:val="24"/>
        </w:rPr>
        <w:t>Allowing DOE to operate more efficiently by permitting investments in development, modernization</w:t>
      </w:r>
      <w:r w:rsidR="00561D8B" w:rsidRPr="00561D8B">
        <w:rPr>
          <w:rFonts w:cs="Calibri"/>
          <w:bCs/>
          <w:iCs/>
          <w:sz w:val="22"/>
          <w:szCs w:val="24"/>
        </w:rPr>
        <w:t>,</w:t>
      </w:r>
      <w:r w:rsidRPr="00561D8B">
        <w:rPr>
          <w:rFonts w:cs="Calibri"/>
          <w:bCs/>
          <w:iCs/>
          <w:sz w:val="22"/>
          <w:szCs w:val="24"/>
        </w:rPr>
        <w:t xml:space="preserve"> and enhancements, and</w:t>
      </w:r>
    </w:p>
    <w:p w:rsidR="006A67D4" w:rsidRPr="00561D8B" w:rsidRDefault="006A67D4" w:rsidP="009E3804">
      <w:pPr>
        <w:pStyle w:val="ListParagraph"/>
        <w:numPr>
          <w:ilvl w:val="0"/>
          <w:numId w:val="26"/>
        </w:numPr>
        <w:autoSpaceDE w:val="0"/>
        <w:autoSpaceDN w:val="0"/>
        <w:adjustRightInd w:val="0"/>
        <w:jc w:val="left"/>
        <w:rPr>
          <w:rFonts w:cs="Calibri"/>
          <w:sz w:val="22"/>
          <w:szCs w:val="24"/>
        </w:rPr>
      </w:pPr>
      <w:r w:rsidRPr="00561D8B">
        <w:rPr>
          <w:rFonts w:cs="Calibri"/>
          <w:bCs/>
          <w:iCs/>
          <w:sz w:val="22"/>
          <w:szCs w:val="24"/>
        </w:rPr>
        <w:t>Spending less on steady state costs.</w:t>
      </w:r>
    </w:p>
    <w:p w:rsidR="006A67D4" w:rsidRPr="00561D8B" w:rsidRDefault="006E432B" w:rsidP="00DA1C63">
      <w:pPr>
        <w:autoSpaceDE w:val="0"/>
        <w:autoSpaceDN w:val="0"/>
        <w:adjustRightInd w:val="0"/>
        <w:ind w:left="0" w:firstLine="0"/>
        <w:jc w:val="left"/>
        <w:rPr>
          <w:sz w:val="22"/>
          <w:szCs w:val="24"/>
        </w:rPr>
      </w:pPr>
      <w:r>
        <w:rPr>
          <w:noProof/>
          <w:sz w:val="22"/>
          <w:szCs w:val="24"/>
        </w:rPr>
        <w:drawing>
          <wp:anchor distT="0" distB="0" distL="114300" distR="114300" simplePos="0" relativeHeight="251771904" behindDoc="0" locked="0" layoutInCell="1" allowOverlap="1">
            <wp:simplePos x="0" y="0"/>
            <wp:positionH relativeFrom="margin">
              <wp:posOffset>3695700</wp:posOffset>
            </wp:positionH>
            <wp:positionV relativeFrom="margin">
              <wp:posOffset>1581150</wp:posOffset>
            </wp:positionV>
            <wp:extent cx="2066925" cy="2600325"/>
            <wp:effectExtent l="1905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066925" cy="2600325"/>
                    </a:xfrm>
                    <a:prstGeom prst="rect">
                      <a:avLst/>
                    </a:prstGeom>
                    <a:noFill/>
                    <a:ln w="9525">
                      <a:noFill/>
                      <a:miter lim="800000"/>
                      <a:headEnd/>
                      <a:tailEnd/>
                    </a:ln>
                  </pic:spPr>
                </pic:pic>
              </a:graphicData>
            </a:graphic>
          </wp:anchor>
        </w:drawing>
      </w:r>
    </w:p>
    <w:p w:rsidR="006A67D4" w:rsidRPr="00561D8B" w:rsidRDefault="00A71A79" w:rsidP="00DA1C63">
      <w:pPr>
        <w:autoSpaceDE w:val="0"/>
        <w:autoSpaceDN w:val="0"/>
        <w:adjustRightInd w:val="0"/>
        <w:ind w:left="0" w:firstLine="0"/>
        <w:jc w:val="left"/>
        <w:rPr>
          <w:sz w:val="22"/>
          <w:szCs w:val="24"/>
        </w:rPr>
      </w:pPr>
      <w:r>
        <w:rPr>
          <w:sz w:val="22"/>
          <w:szCs w:val="24"/>
        </w:rPr>
        <w:t xml:space="preserve">The </w:t>
      </w:r>
      <w:r w:rsidR="001A483E">
        <w:rPr>
          <w:sz w:val="22"/>
          <w:szCs w:val="24"/>
        </w:rPr>
        <w:t>Department</w:t>
      </w:r>
      <w:r>
        <w:rPr>
          <w:sz w:val="22"/>
          <w:szCs w:val="24"/>
        </w:rPr>
        <w:t xml:space="preserve"> has created a Cloud Computing Work Group to develop a cloud strategy for the </w:t>
      </w:r>
      <w:r w:rsidR="001A483E">
        <w:rPr>
          <w:sz w:val="22"/>
          <w:szCs w:val="24"/>
        </w:rPr>
        <w:t>Department</w:t>
      </w:r>
      <w:r>
        <w:rPr>
          <w:sz w:val="22"/>
          <w:szCs w:val="24"/>
        </w:rPr>
        <w:t>.</w:t>
      </w:r>
      <w:r w:rsidR="00C3456B">
        <w:rPr>
          <w:sz w:val="22"/>
          <w:szCs w:val="24"/>
        </w:rPr>
        <w:t xml:space="preserve"> </w:t>
      </w:r>
      <w:r w:rsidR="006A67D4" w:rsidRPr="00561D8B">
        <w:rPr>
          <w:sz w:val="22"/>
          <w:szCs w:val="24"/>
        </w:rPr>
        <w:t xml:space="preserve">The </w:t>
      </w:r>
      <w:r>
        <w:rPr>
          <w:sz w:val="22"/>
          <w:szCs w:val="24"/>
        </w:rPr>
        <w:t>DOE i</w:t>
      </w:r>
      <w:r w:rsidR="006A67D4" w:rsidRPr="00561D8B">
        <w:rPr>
          <w:sz w:val="22"/>
          <w:szCs w:val="24"/>
        </w:rPr>
        <w:t>s currently planning on moving three key functions over to Cloud Computing.</w:t>
      </w:r>
      <w:r w:rsidR="00C3456B">
        <w:rPr>
          <w:sz w:val="22"/>
          <w:szCs w:val="24"/>
        </w:rPr>
        <w:t xml:space="preserve"> </w:t>
      </w:r>
      <w:r w:rsidR="006A67D4" w:rsidRPr="00561D8B">
        <w:rPr>
          <w:sz w:val="22"/>
          <w:szCs w:val="24"/>
        </w:rPr>
        <w:t>The first to be migrated will be DOE’s public web site within 12 months.</w:t>
      </w:r>
      <w:r w:rsidR="00C3456B">
        <w:rPr>
          <w:sz w:val="22"/>
          <w:szCs w:val="24"/>
        </w:rPr>
        <w:t xml:space="preserve"> </w:t>
      </w:r>
      <w:r w:rsidR="006A67D4" w:rsidRPr="00561D8B">
        <w:rPr>
          <w:sz w:val="22"/>
          <w:szCs w:val="24"/>
        </w:rPr>
        <w:t>The next two are HSPD-12 processing and Financial Assistance support.</w:t>
      </w:r>
    </w:p>
    <w:p w:rsidR="00C91F32" w:rsidRPr="00561D8B" w:rsidRDefault="00C91F32" w:rsidP="00DA1C63">
      <w:pPr>
        <w:autoSpaceDE w:val="0"/>
        <w:autoSpaceDN w:val="0"/>
        <w:adjustRightInd w:val="0"/>
        <w:ind w:left="0" w:firstLine="0"/>
        <w:jc w:val="left"/>
        <w:rPr>
          <w:sz w:val="22"/>
          <w:szCs w:val="24"/>
        </w:rPr>
      </w:pPr>
    </w:p>
    <w:p w:rsidR="00052B08" w:rsidRPr="00561D8B" w:rsidRDefault="00052B08" w:rsidP="00DA1C63">
      <w:pPr>
        <w:autoSpaceDE w:val="0"/>
        <w:autoSpaceDN w:val="0"/>
        <w:adjustRightInd w:val="0"/>
        <w:ind w:left="0" w:firstLine="0"/>
        <w:jc w:val="left"/>
        <w:rPr>
          <w:color w:val="000000"/>
          <w:sz w:val="22"/>
          <w:szCs w:val="24"/>
        </w:rPr>
      </w:pPr>
      <w:bookmarkStart w:id="510" w:name="_Toc285622134"/>
      <w:bookmarkStart w:id="511" w:name="_Toc285622204"/>
      <w:bookmarkStart w:id="512" w:name="_Toc285622995"/>
      <w:bookmarkStart w:id="513" w:name="_Toc285698841"/>
      <w:bookmarkStart w:id="514" w:name="_Toc285698983"/>
      <w:bookmarkStart w:id="515" w:name="_Toc285714661"/>
      <w:bookmarkStart w:id="516" w:name="_Toc285714750"/>
      <w:bookmarkStart w:id="517" w:name="_Toc285716117"/>
      <w:bookmarkStart w:id="518" w:name="_Toc285716212"/>
      <w:bookmarkStart w:id="519" w:name="_Toc285720135"/>
      <w:bookmarkStart w:id="520" w:name="_Toc285720231"/>
      <w:bookmarkStart w:id="521" w:name="_Toc285798669"/>
      <w:bookmarkStart w:id="522" w:name="_Toc285798758"/>
      <w:bookmarkStart w:id="523" w:name="_Toc285798847"/>
      <w:bookmarkStart w:id="524" w:name="_Toc285798942"/>
      <w:bookmarkStart w:id="525" w:name="_Toc285970523"/>
      <w:bookmarkStart w:id="526" w:name="_Toc285970623"/>
      <w:bookmarkStart w:id="527" w:name="_Toc285972250"/>
      <w:bookmarkStart w:id="528" w:name="_Toc285972385"/>
      <w:bookmarkStart w:id="529" w:name="_Toc285548191"/>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561D8B">
        <w:rPr>
          <w:color w:val="000000"/>
          <w:sz w:val="22"/>
          <w:szCs w:val="24"/>
        </w:rPr>
        <w:t xml:space="preserve">Cloud Computing is </w:t>
      </w:r>
      <w:r w:rsidR="00C87D9C">
        <w:rPr>
          <w:color w:val="000000"/>
          <w:sz w:val="22"/>
          <w:szCs w:val="24"/>
        </w:rPr>
        <w:t>under serious consideration at the Department</w:t>
      </w:r>
      <w:r w:rsidRPr="00561D8B">
        <w:rPr>
          <w:color w:val="000000"/>
          <w:sz w:val="22"/>
          <w:szCs w:val="24"/>
        </w:rPr>
        <w:t>.</w:t>
      </w:r>
      <w:r w:rsidR="00C3456B">
        <w:rPr>
          <w:color w:val="000000"/>
          <w:sz w:val="22"/>
          <w:szCs w:val="24"/>
        </w:rPr>
        <w:t xml:space="preserve"> </w:t>
      </w:r>
      <w:r w:rsidRPr="00561D8B">
        <w:rPr>
          <w:color w:val="000000"/>
          <w:sz w:val="22"/>
          <w:szCs w:val="24"/>
        </w:rPr>
        <w:t>Examples include the use of a cloud solution to crowd-source new IT needs and requirements and the Office of Human Capital (HC) “</w:t>
      </w:r>
      <w:proofErr w:type="spellStart"/>
      <w:r w:rsidRPr="00561D8B">
        <w:rPr>
          <w:color w:val="000000"/>
          <w:sz w:val="22"/>
          <w:szCs w:val="24"/>
        </w:rPr>
        <w:t>OnePortal</w:t>
      </w:r>
      <w:proofErr w:type="spellEnd"/>
      <w:r w:rsidRPr="00561D8B">
        <w:rPr>
          <w:color w:val="000000"/>
          <w:sz w:val="22"/>
          <w:szCs w:val="24"/>
        </w:rPr>
        <w:t xml:space="preserve">” solution being developed as a consolidated portal for human resource and recruiting activities across the </w:t>
      </w:r>
      <w:r w:rsidR="001A483E">
        <w:rPr>
          <w:color w:val="000000"/>
          <w:sz w:val="22"/>
          <w:szCs w:val="24"/>
        </w:rPr>
        <w:t>Department</w:t>
      </w:r>
      <w:r w:rsidRPr="00561D8B">
        <w:rPr>
          <w:color w:val="000000"/>
          <w:sz w:val="22"/>
          <w:szCs w:val="24"/>
        </w:rPr>
        <w:t>.</w:t>
      </w:r>
      <w:r w:rsidR="00C3456B">
        <w:rPr>
          <w:color w:val="000000"/>
          <w:sz w:val="22"/>
          <w:szCs w:val="24"/>
        </w:rPr>
        <w:t xml:space="preserve"> </w:t>
      </w:r>
      <w:r w:rsidRPr="00561D8B">
        <w:rPr>
          <w:color w:val="000000"/>
          <w:sz w:val="22"/>
          <w:szCs w:val="24"/>
        </w:rPr>
        <w:t>The key cloud technology of virtualization has been deployed in DOE’s key federal data centers already resulting in retiring about 300 servers, and an estimated energy savings of 1.7million KW-hr/yr and decommissioning 15 data centers.</w:t>
      </w:r>
    </w:p>
    <w:p w:rsidR="00052B08" w:rsidRPr="00561D8B" w:rsidRDefault="00052B08" w:rsidP="00DA1C63">
      <w:pPr>
        <w:ind w:left="0" w:firstLine="0"/>
        <w:jc w:val="left"/>
        <w:rPr>
          <w:color w:val="000000"/>
          <w:sz w:val="22"/>
          <w:szCs w:val="24"/>
        </w:rPr>
      </w:pPr>
    </w:p>
    <w:p w:rsidR="00F94B03" w:rsidRDefault="00052B08" w:rsidP="00DA1C63">
      <w:pPr>
        <w:ind w:left="0" w:firstLine="0"/>
        <w:jc w:val="left"/>
        <w:rPr>
          <w:color w:val="000000"/>
          <w:sz w:val="22"/>
          <w:szCs w:val="24"/>
        </w:rPr>
      </w:pPr>
      <w:r w:rsidRPr="00561D8B">
        <w:rPr>
          <w:color w:val="000000"/>
          <w:sz w:val="22"/>
          <w:szCs w:val="24"/>
        </w:rPr>
        <w:t>In order to capitalize on cloud advantages, DOE is taking a multi-pronged approach to acquisition and use of cloud technologies and solutions.</w:t>
      </w:r>
      <w:r w:rsidR="00C3456B">
        <w:rPr>
          <w:color w:val="000000"/>
          <w:sz w:val="22"/>
          <w:szCs w:val="24"/>
        </w:rPr>
        <w:t xml:space="preserve"> </w:t>
      </w:r>
      <w:r w:rsidRPr="00561D8B">
        <w:rPr>
          <w:color w:val="000000"/>
          <w:sz w:val="22"/>
          <w:szCs w:val="24"/>
        </w:rPr>
        <w:t>On the scientific front, there is work that is currently being done to investigate cloud computing in the Magellan and Nimbus projects.</w:t>
      </w:r>
      <w:r w:rsidR="00C3456B">
        <w:rPr>
          <w:color w:val="000000"/>
          <w:sz w:val="22"/>
          <w:szCs w:val="24"/>
        </w:rPr>
        <w:t xml:space="preserve"> </w:t>
      </w:r>
      <w:r w:rsidRPr="00561D8B">
        <w:rPr>
          <w:color w:val="000000"/>
          <w:sz w:val="22"/>
          <w:szCs w:val="24"/>
        </w:rPr>
        <w:t>Magellan is a research and development effort to establish a nationwide scientific mid-range distributed computing and data analysis test bed.</w:t>
      </w:r>
      <w:r w:rsidR="00C3456B">
        <w:rPr>
          <w:color w:val="000000"/>
          <w:sz w:val="22"/>
          <w:szCs w:val="24"/>
        </w:rPr>
        <w:t xml:space="preserve"> </w:t>
      </w:r>
      <w:r w:rsidRPr="00561D8B">
        <w:rPr>
          <w:color w:val="000000"/>
          <w:sz w:val="22"/>
          <w:szCs w:val="24"/>
        </w:rPr>
        <w:t xml:space="preserve">It has two sites with multiple thousands of teraflops of computing capacity and multiple </w:t>
      </w:r>
      <w:proofErr w:type="spellStart"/>
      <w:r w:rsidRPr="00561D8B">
        <w:rPr>
          <w:color w:val="000000"/>
          <w:sz w:val="22"/>
          <w:szCs w:val="24"/>
        </w:rPr>
        <w:t>petabytes</w:t>
      </w:r>
      <w:proofErr w:type="spellEnd"/>
      <w:r w:rsidRPr="00561D8B">
        <w:rPr>
          <w:color w:val="000000"/>
          <w:sz w:val="22"/>
          <w:szCs w:val="24"/>
        </w:rPr>
        <w:t xml:space="preserve"> of storage, as well as appropriate cloud software to enable moderate concurrency.</w:t>
      </w:r>
      <w:r w:rsidR="00C3456B">
        <w:rPr>
          <w:color w:val="000000"/>
          <w:sz w:val="22"/>
          <w:szCs w:val="24"/>
        </w:rPr>
        <w:t xml:space="preserve"> </w:t>
      </w:r>
      <w:r w:rsidRPr="00561D8B">
        <w:rPr>
          <w:color w:val="000000"/>
          <w:sz w:val="22"/>
          <w:szCs w:val="24"/>
        </w:rPr>
        <w:t>Magellan will further advance cloud computing technologies, by supporting the development of potentially new software and protocols. Magellan supports a community of researchers working on both the underlying technologies, i.e. cloud computing itself, as well as those taking advantage of cloud computing paradigms in conducting ongoing research activities, for example a scientist might leverage Magellan to conduct research in advanced materials or green energy while her colleagues understand the cloud architecture.</w:t>
      </w:r>
      <w:r w:rsidR="00C3456B">
        <w:rPr>
          <w:color w:val="000000"/>
          <w:sz w:val="22"/>
          <w:szCs w:val="24"/>
        </w:rPr>
        <w:t xml:space="preserve"> </w:t>
      </w:r>
    </w:p>
    <w:p w:rsidR="008E66E8" w:rsidRDefault="008E66E8" w:rsidP="00DA1C63">
      <w:pPr>
        <w:ind w:left="0" w:firstLine="0"/>
        <w:jc w:val="left"/>
        <w:rPr>
          <w:color w:val="000000"/>
          <w:sz w:val="22"/>
          <w:szCs w:val="24"/>
        </w:rPr>
      </w:pPr>
    </w:p>
    <w:p w:rsidR="00052B08" w:rsidRDefault="00052B08" w:rsidP="00DA1C63">
      <w:pPr>
        <w:ind w:left="0" w:firstLine="0"/>
        <w:jc w:val="left"/>
        <w:rPr>
          <w:color w:val="000000"/>
          <w:sz w:val="22"/>
          <w:szCs w:val="24"/>
        </w:rPr>
      </w:pPr>
      <w:r w:rsidRPr="00561D8B">
        <w:rPr>
          <w:color w:val="000000"/>
          <w:sz w:val="22"/>
          <w:szCs w:val="24"/>
        </w:rPr>
        <w:t>By itself, Magellan does not represent a direct replacement of existing systems but as researchers better understand the context of how cloud computing applies to High Performance Computing, and develop solutions, the architecture has the potential to assist in the consolidation of low and possibly mid-range clusters.</w:t>
      </w:r>
      <w:r w:rsidR="00C3456B">
        <w:rPr>
          <w:color w:val="000000"/>
          <w:sz w:val="22"/>
          <w:szCs w:val="24"/>
        </w:rPr>
        <w:t xml:space="preserve"> </w:t>
      </w:r>
      <w:r w:rsidRPr="00561D8B">
        <w:rPr>
          <w:color w:val="000000"/>
          <w:sz w:val="22"/>
          <w:szCs w:val="24"/>
        </w:rPr>
        <w:t>Nimbus is an open-source project to provide a toolkit for Infrastructure-as-a-Service (</w:t>
      </w:r>
      <w:proofErr w:type="spellStart"/>
      <w:r w:rsidRPr="00561D8B">
        <w:rPr>
          <w:color w:val="000000"/>
          <w:sz w:val="22"/>
          <w:szCs w:val="24"/>
        </w:rPr>
        <w:t>IaaS</w:t>
      </w:r>
      <w:proofErr w:type="spellEnd"/>
      <w:r w:rsidRPr="00561D8B">
        <w:rPr>
          <w:color w:val="000000"/>
          <w:sz w:val="22"/>
          <w:szCs w:val="24"/>
        </w:rPr>
        <w:t>) capabilities for the scientific community.</w:t>
      </w:r>
      <w:r w:rsidR="00C3456B">
        <w:rPr>
          <w:color w:val="000000"/>
          <w:sz w:val="22"/>
          <w:szCs w:val="24"/>
        </w:rPr>
        <w:t xml:space="preserve"> </w:t>
      </w:r>
      <w:r w:rsidRPr="00561D8B">
        <w:rPr>
          <w:color w:val="000000"/>
          <w:sz w:val="22"/>
          <w:szCs w:val="24"/>
        </w:rPr>
        <w:t>The toolkit has been successfully deployed on private clouds and on Amazon’s EC2.</w:t>
      </w:r>
    </w:p>
    <w:p w:rsidR="00C179FD" w:rsidRPr="00C179FD" w:rsidRDefault="00C179FD" w:rsidP="00C179FD">
      <w:pPr>
        <w:pStyle w:val="ListParagraph"/>
        <w:keepNext/>
        <w:numPr>
          <w:ilvl w:val="0"/>
          <w:numId w:val="14"/>
        </w:numPr>
        <w:spacing w:before="120" w:after="120"/>
        <w:contextualSpacing w:val="0"/>
        <w:jc w:val="left"/>
        <w:outlineLvl w:val="3"/>
        <w:rPr>
          <w:rFonts w:asciiTheme="majorHAnsi" w:hAnsiTheme="majorHAnsi" w:cs="Calibri"/>
          <w:b/>
          <w:bCs/>
          <w:vanish/>
          <w:color w:val="365F91"/>
          <w:sz w:val="28"/>
          <w:szCs w:val="28"/>
        </w:rPr>
      </w:pPr>
      <w:bookmarkStart w:id="530" w:name="_Toc285534213"/>
      <w:bookmarkStart w:id="531" w:name="_Toc285548192"/>
      <w:bookmarkEnd w:id="529"/>
    </w:p>
    <w:p w:rsidR="00C179FD" w:rsidRPr="00C179FD" w:rsidRDefault="00C179FD" w:rsidP="00C179FD">
      <w:pPr>
        <w:pStyle w:val="ListParagraph"/>
        <w:keepNext/>
        <w:numPr>
          <w:ilvl w:val="0"/>
          <w:numId w:val="14"/>
        </w:numPr>
        <w:spacing w:before="120" w:after="120"/>
        <w:contextualSpacing w:val="0"/>
        <w:jc w:val="left"/>
        <w:outlineLvl w:val="3"/>
        <w:rPr>
          <w:rFonts w:asciiTheme="majorHAnsi" w:hAnsiTheme="majorHAnsi" w:cs="Calibri"/>
          <w:b/>
          <w:bCs/>
          <w:vanish/>
          <w:color w:val="365F91"/>
          <w:sz w:val="28"/>
          <w:szCs w:val="28"/>
        </w:rPr>
      </w:pPr>
    </w:p>
    <w:p w:rsidR="00C179FD" w:rsidRPr="00C179FD" w:rsidRDefault="00C179FD" w:rsidP="00C179FD">
      <w:pPr>
        <w:pStyle w:val="ListParagraph"/>
        <w:keepNext/>
        <w:numPr>
          <w:ilvl w:val="0"/>
          <w:numId w:val="14"/>
        </w:numPr>
        <w:spacing w:before="120" w:after="120"/>
        <w:contextualSpacing w:val="0"/>
        <w:jc w:val="left"/>
        <w:outlineLvl w:val="3"/>
        <w:rPr>
          <w:rFonts w:asciiTheme="majorHAnsi" w:hAnsiTheme="majorHAnsi" w:cs="Calibri"/>
          <w:b/>
          <w:bCs/>
          <w:vanish/>
          <w:color w:val="365F91"/>
          <w:sz w:val="28"/>
          <w:szCs w:val="28"/>
        </w:rPr>
      </w:pPr>
    </w:p>
    <w:p w:rsidR="00C179FD" w:rsidRPr="00C179FD" w:rsidRDefault="00C179FD" w:rsidP="00C179FD">
      <w:pPr>
        <w:pStyle w:val="ListParagraph"/>
        <w:keepNext/>
        <w:numPr>
          <w:ilvl w:val="1"/>
          <w:numId w:val="14"/>
        </w:numPr>
        <w:spacing w:before="120" w:after="120"/>
        <w:contextualSpacing w:val="0"/>
        <w:jc w:val="left"/>
        <w:outlineLvl w:val="3"/>
        <w:rPr>
          <w:rFonts w:asciiTheme="majorHAnsi" w:hAnsiTheme="majorHAnsi" w:cs="Calibri"/>
          <w:b/>
          <w:bCs/>
          <w:vanish/>
          <w:color w:val="365F91"/>
          <w:sz w:val="28"/>
          <w:szCs w:val="28"/>
        </w:rPr>
      </w:pPr>
    </w:p>
    <w:p w:rsidR="00C179FD" w:rsidRPr="00C179FD" w:rsidRDefault="00C179FD" w:rsidP="00C179FD">
      <w:pPr>
        <w:pStyle w:val="ListParagraph"/>
        <w:keepNext/>
        <w:numPr>
          <w:ilvl w:val="1"/>
          <w:numId w:val="14"/>
        </w:numPr>
        <w:spacing w:before="120" w:after="120"/>
        <w:contextualSpacing w:val="0"/>
        <w:jc w:val="left"/>
        <w:outlineLvl w:val="3"/>
        <w:rPr>
          <w:rFonts w:asciiTheme="majorHAnsi" w:hAnsiTheme="majorHAnsi" w:cs="Calibri"/>
          <w:b/>
          <w:bCs/>
          <w:vanish/>
          <w:color w:val="365F91"/>
          <w:sz w:val="28"/>
          <w:szCs w:val="28"/>
        </w:rPr>
      </w:pPr>
    </w:p>
    <w:p w:rsidR="00C179FD" w:rsidRPr="00C179FD" w:rsidRDefault="00C179FD" w:rsidP="00C179FD">
      <w:pPr>
        <w:pStyle w:val="ListParagraph"/>
        <w:keepNext/>
        <w:numPr>
          <w:ilvl w:val="2"/>
          <w:numId w:val="14"/>
        </w:numPr>
        <w:spacing w:before="120" w:after="120"/>
        <w:contextualSpacing w:val="0"/>
        <w:jc w:val="left"/>
        <w:outlineLvl w:val="3"/>
        <w:rPr>
          <w:rFonts w:asciiTheme="majorHAnsi" w:hAnsiTheme="majorHAnsi" w:cs="Calibri"/>
          <w:b/>
          <w:bCs/>
          <w:vanish/>
          <w:color w:val="365F91"/>
          <w:sz w:val="28"/>
          <w:szCs w:val="28"/>
        </w:rPr>
      </w:pPr>
    </w:p>
    <w:p w:rsidR="00EC3EE4" w:rsidRPr="003D7AAC" w:rsidRDefault="00B1277C" w:rsidP="00C179FD">
      <w:pPr>
        <w:pStyle w:val="Heading4"/>
        <w:numPr>
          <w:ilvl w:val="2"/>
          <w:numId w:val="14"/>
        </w:numPr>
        <w:spacing w:before="120" w:after="120"/>
        <w:ind w:left="900" w:hanging="900"/>
        <w:jc w:val="left"/>
        <w:rPr>
          <w:rFonts w:asciiTheme="majorHAnsi" w:hAnsiTheme="majorHAnsi" w:cs="Calibri"/>
          <w:color w:val="365F91"/>
        </w:rPr>
      </w:pPr>
      <w:r w:rsidRPr="003D7AAC">
        <w:rPr>
          <w:rFonts w:asciiTheme="majorHAnsi" w:hAnsiTheme="majorHAnsi" w:cs="Calibri"/>
          <w:color w:val="365F91"/>
        </w:rPr>
        <w:t xml:space="preserve">Advancing to </w:t>
      </w:r>
      <w:r w:rsidR="00EC3EE4" w:rsidRPr="003D7AAC">
        <w:rPr>
          <w:rFonts w:asciiTheme="majorHAnsi" w:hAnsiTheme="majorHAnsi" w:cs="Calibri"/>
          <w:color w:val="365F91"/>
        </w:rPr>
        <w:t>Mobile Computing</w:t>
      </w:r>
    </w:p>
    <w:p w:rsidR="007D6DC1" w:rsidRPr="007D6DC1" w:rsidRDefault="007D6DC1" w:rsidP="007D6DC1">
      <w:pPr>
        <w:ind w:left="0" w:firstLine="0"/>
        <w:jc w:val="left"/>
        <w:rPr>
          <w:sz w:val="22"/>
          <w:szCs w:val="24"/>
        </w:rPr>
      </w:pPr>
      <w:r w:rsidRPr="007D6DC1">
        <w:rPr>
          <w:sz w:val="24"/>
          <w:szCs w:val="24"/>
        </w:rPr>
        <w:t>A</w:t>
      </w:r>
      <w:r w:rsidRPr="007D6DC1">
        <w:rPr>
          <w:sz w:val="22"/>
          <w:szCs w:val="24"/>
        </w:rPr>
        <w:t>ccording to Gartner, mobile computing now ranks second among “Top Strategic Technologies” in 2011, and it has experience</w:t>
      </w:r>
      <w:r w:rsidR="00C23409">
        <w:rPr>
          <w:sz w:val="22"/>
          <w:szCs w:val="24"/>
        </w:rPr>
        <w:t>d</w:t>
      </w:r>
      <w:r w:rsidRPr="007D6DC1">
        <w:rPr>
          <w:sz w:val="22"/>
          <w:szCs w:val="24"/>
        </w:rPr>
        <w:t xml:space="preserve"> a significant rise in a short amount of time; moving from being outside the top 10 </w:t>
      </w:r>
      <w:r w:rsidR="00C23409">
        <w:rPr>
          <w:sz w:val="22"/>
          <w:szCs w:val="24"/>
        </w:rPr>
        <w:t xml:space="preserve">strategic technologies </w:t>
      </w:r>
      <w:r w:rsidRPr="007D6DC1">
        <w:rPr>
          <w:sz w:val="22"/>
          <w:szCs w:val="24"/>
        </w:rPr>
        <w:t>in 2009 to ranking 10</w:t>
      </w:r>
      <w:r w:rsidRPr="007D6DC1">
        <w:rPr>
          <w:sz w:val="22"/>
          <w:szCs w:val="24"/>
          <w:vertAlign w:val="superscript"/>
        </w:rPr>
        <w:t>th</w:t>
      </w:r>
      <w:r w:rsidRPr="007D6DC1">
        <w:rPr>
          <w:sz w:val="22"/>
          <w:szCs w:val="24"/>
        </w:rPr>
        <w:t xml:space="preserve"> in 2010.</w:t>
      </w:r>
      <w:r w:rsidR="00C3456B">
        <w:rPr>
          <w:sz w:val="22"/>
          <w:szCs w:val="24"/>
        </w:rPr>
        <w:t xml:space="preserve"> </w:t>
      </w:r>
      <w:r w:rsidRPr="007D6DC1">
        <w:rPr>
          <w:sz w:val="22"/>
          <w:szCs w:val="24"/>
        </w:rPr>
        <w:t>DOE has taken note of this rapid rise and taken steps to investigate, organize, collaborate, and deploy mobile technologies.</w:t>
      </w:r>
      <w:r w:rsidR="00C3456B">
        <w:rPr>
          <w:sz w:val="22"/>
          <w:szCs w:val="24"/>
        </w:rPr>
        <w:t xml:space="preserve"> </w:t>
      </w:r>
      <w:r w:rsidRPr="007D6DC1">
        <w:rPr>
          <w:sz w:val="22"/>
          <w:szCs w:val="24"/>
        </w:rPr>
        <w:t>One of the first activities taken at the end of 2010 was the inaugural</w:t>
      </w:r>
      <w:r w:rsidR="00C23409">
        <w:rPr>
          <w:sz w:val="22"/>
          <w:szCs w:val="24"/>
        </w:rPr>
        <w:t xml:space="preserve"> DOE “Mobile Computing Summit.”  The following table summarizes work </w:t>
      </w:r>
      <w:r w:rsidRPr="007D6DC1">
        <w:rPr>
          <w:sz w:val="22"/>
          <w:szCs w:val="24"/>
        </w:rPr>
        <w:t xml:space="preserve">already taking place in the area of </w:t>
      </w:r>
      <w:r w:rsidR="00C23409">
        <w:rPr>
          <w:sz w:val="22"/>
          <w:szCs w:val="24"/>
        </w:rPr>
        <w:t>m</w:t>
      </w:r>
      <w:r w:rsidRPr="007D6DC1">
        <w:rPr>
          <w:sz w:val="22"/>
          <w:szCs w:val="24"/>
        </w:rPr>
        <w:t xml:space="preserve">obile </w:t>
      </w:r>
      <w:r w:rsidR="00C23409">
        <w:rPr>
          <w:sz w:val="22"/>
          <w:szCs w:val="24"/>
        </w:rPr>
        <w:t>c</w:t>
      </w:r>
      <w:r w:rsidRPr="007D6DC1">
        <w:rPr>
          <w:sz w:val="22"/>
          <w:szCs w:val="24"/>
        </w:rPr>
        <w:t xml:space="preserve">omputing and </w:t>
      </w:r>
      <w:r w:rsidR="00C23409">
        <w:rPr>
          <w:sz w:val="22"/>
          <w:szCs w:val="24"/>
        </w:rPr>
        <w:t>m</w:t>
      </w:r>
      <w:r w:rsidRPr="007D6DC1">
        <w:rPr>
          <w:sz w:val="22"/>
          <w:szCs w:val="24"/>
        </w:rPr>
        <w:t xml:space="preserve">obile </w:t>
      </w:r>
      <w:r w:rsidR="00C23409">
        <w:rPr>
          <w:sz w:val="22"/>
          <w:szCs w:val="24"/>
        </w:rPr>
        <w:t>t</w:t>
      </w:r>
      <w:r w:rsidRPr="007D6DC1">
        <w:rPr>
          <w:sz w:val="22"/>
          <w:szCs w:val="24"/>
        </w:rPr>
        <w:t xml:space="preserve">echnology at DOE </w:t>
      </w:r>
      <w:r>
        <w:rPr>
          <w:sz w:val="22"/>
          <w:szCs w:val="24"/>
        </w:rPr>
        <w:t>as listed below in Table 2</w:t>
      </w:r>
      <w:r w:rsidRPr="007D6DC1">
        <w:rPr>
          <w:sz w:val="22"/>
          <w:szCs w:val="24"/>
        </w:rPr>
        <w:t>.</w:t>
      </w:r>
      <w:r w:rsidR="00C3456B">
        <w:rPr>
          <w:sz w:val="22"/>
          <w:szCs w:val="24"/>
        </w:rPr>
        <w:t xml:space="preserve"> </w:t>
      </w:r>
    </w:p>
    <w:p w:rsidR="00BE71BA" w:rsidRDefault="00BE71BA" w:rsidP="00BE71BA">
      <w:pPr>
        <w:pStyle w:val="Caption"/>
        <w:keepNext/>
        <w:jc w:val="center"/>
      </w:pPr>
      <w:r>
        <w:t xml:space="preserve">Table </w:t>
      </w:r>
      <w:fldSimple w:instr=" SEQ Table \* ARABIC ">
        <w:r w:rsidR="00C068AF">
          <w:rPr>
            <w:noProof/>
          </w:rPr>
          <w:t>2</w:t>
        </w:r>
      </w:fldSimple>
      <w:r>
        <w:t xml:space="preserve"> - </w:t>
      </w:r>
      <w:r w:rsidRPr="00CD5201">
        <w:t>Mobil</w:t>
      </w:r>
      <w:r>
        <w:t>e</w:t>
      </w:r>
      <w:r w:rsidRPr="00CD5201">
        <w:t xml:space="preserve"> Computing Summit Highlights</w:t>
      </w:r>
    </w:p>
    <w:tbl>
      <w:tblPr>
        <w:tblW w:w="0" w:type="auto"/>
        <w:tblBorders>
          <w:top w:val="single" w:sz="8" w:space="0" w:color="4F81BD"/>
          <w:bottom w:val="single" w:sz="8" w:space="0" w:color="4F81BD"/>
        </w:tblBorders>
        <w:tblLayout w:type="fixed"/>
        <w:tblLook w:val="04A0"/>
      </w:tblPr>
      <w:tblGrid>
        <w:gridCol w:w="2088"/>
        <w:gridCol w:w="3780"/>
        <w:gridCol w:w="1710"/>
        <w:gridCol w:w="1710"/>
      </w:tblGrid>
      <w:tr w:rsidR="00891BFE" w:rsidRPr="00561D8B" w:rsidTr="006A237F">
        <w:tc>
          <w:tcPr>
            <w:tcW w:w="2088" w:type="dxa"/>
            <w:tcBorders>
              <w:top w:val="single" w:sz="8" w:space="0" w:color="4F81BD"/>
              <w:left w:val="nil"/>
              <w:bottom w:val="single" w:sz="8" w:space="0" w:color="4F81BD"/>
              <w:right w:val="nil"/>
            </w:tcBorders>
          </w:tcPr>
          <w:p w:rsidR="00EC3EE4" w:rsidRPr="00561D8B" w:rsidRDefault="00EC3EE4" w:rsidP="007D6DC1">
            <w:pPr>
              <w:ind w:left="0" w:firstLine="0"/>
              <w:jc w:val="center"/>
              <w:rPr>
                <w:b/>
                <w:bCs/>
                <w:color w:val="365F91"/>
                <w:sz w:val="18"/>
                <w:szCs w:val="18"/>
              </w:rPr>
            </w:pPr>
            <w:r w:rsidRPr="00561D8B">
              <w:rPr>
                <w:b/>
                <w:bCs/>
                <w:color w:val="365F91"/>
                <w:sz w:val="18"/>
                <w:szCs w:val="18"/>
              </w:rPr>
              <w:t>Initiative Name</w:t>
            </w:r>
          </w:p>
        </w:tc>
        <w:tc>
          <w:tcPr>
            <w:tcW w:w="3780" w:type="dxa"/>
            <w:tcBorders>
              <w:top w:val="single" w:sz="8" w:space="0" w:color="4F81BD"/>
              <w:left w:val="nil"/>
              <w:bottom w:val="single" w:sz="8" w:space="0" w:color="4F81BD"/>
              <w:right w:val="nil"/>
            </w:tcBorders>
          </w:tcPr>
          <w:p w:rsidR="00EC3EE4" w:rsidRPr="00561D8B" w:rsidRDefault="00EC3EE4" w:rsidP="007D6DC1">
            <w:pPr>
              <w:ind w:left="252" w:hanging="252"/>
              <w:jc w:val="center"/>
              <w:rPr>
                <w:b/>
                <w:bCs/>
                <w:color w:val="365F91"/>
                <w:sz w:val="18"/>
                <w:szCs w:val="18"/>
              </w:rPr>
            </w:pPr>
            <w:r w:rsidRPr="00561D8B">
              <w:rPr>
                <w:b/>
                <w:bCs/>
                <w:color w:val="365F91"/>
                <w:sz w:val="18"/>
                <w:szCs w:val="18"/>
              </w:rPr>
              <w:t>Description</w:t>
            </w:r>
          </w:p>
        </w:tc>
        <w:tc>
          <w:tcPr>
            <w:tcW w:w="1710" w:type="dxa"/>
            <w:tcBorders>
              <w:top w:val="single" w:sz="8" w:space="0" w:color="4F81BD"/>
              <w:left w:val="nil"/>
              <w:bottom w:val="single" w:sz="8" w:space="0" w:color="4F81BD"/>
              <w:right w:val="nil"/>
            </w:tcBorders>
          </w:tcPr>
          <w:p w:rsidR="00EC3EE4" w:rsidRPr="00561D8B" w:rsidRDefault="00EC3EE4" w:rsidP="007D6DC1">
            <w:pPr>
              <w:ind w:left="72" w:hanging="72"/>
              <w:jc w:val="center"/>
              <w:rPr>
                <w:b/>
                <w:bCs/>
                <w:color w:val="365F91"/>
                <w:sz w:val="18"/>
                <w:szCs w:val="18"/>
              </w:rPr>
            </w:pPr>
            <w:r w:rsidRPr="00561D8B">
              <w:rPr>
                <w:b/>
                <w:bCs/>
                <w:color w:val="365F91"/>
                <w:sz w:val="18"/>
                <w:szCs w:val="18"/>
              </w:rPr>
              <w:t>Status</w:t>
            </w:r>
          </w:p>
        </w:tc>
        <w:tc>
          <w:tcPr>
            <w:tcW w:w="1710" w:type="dxa"/>
            <w:tcBorders>
              <w:top w:val="single" w:sz="8" w:space="0" w:color="4F81BD"/>
              <w:left w:val="nil"/>
              <w:bottom w:val="single" w:sz="8" w:space="0" w:color="4F81BD"/>
              <w:right w:val="nil"/>
            </w:tcBorders>
          </w:tcPr>
          <w:p w:rsidR="00EC3EE4" w:rsidRPr="00561D8B" w:rsidRDefault="00EC3EE4" w:rsidP="007D6DC1">
            <w:pPr>
              <w:ind w:left="0" w:firstLine="0"/>
              <w:jc w:val="center"/>
              <w:rPr>
                <w:b/>
                <w:bCs/>
                <w:color w:val="365F91"/>
                <w:sz w:val="18"/>
                <w:szCs w:val="18"/>
              </w:rPr>
            </w:pPr>
            <w:r w:rsidRPr="00561D8B">
              <w:rPr>
                <w:b/>
                <w:bCs/>
                <w:color w:val="365F91"/>
                <w:sz w:val="18"/>
                <w:szCs w:val="18"/>
              </w:rPr>
              <w:t>Organization</w:t>
            </w:r>
          </w:p>
        </w:tc>
      </w:tr>
      <w:tr w:rsidR="007D6DC1" w:rsidRPr="00561D8B" w:rsidTr="006A237F">
        <w:tc>
          <w:tcPr>
            <w:tcW w:w="2088" w:type="dxa"/>
            <w:tcBorders>
              <w:left w:val="nil"/>
              <w:right w:val="nil"/>
            </w:tcBorders>
            <w:shd w:val="clear" w:color="auto" w:fill="D3DFEE"/>
          </w:tcPr>
          <w:p w:rsidR="007D6DC1" w:rsidRPr="004A1EF4" w:rsidRDefault="007D6DC1" w:rsidP="00DA1C63">
            <w:pPr>
              <w:ind w:left="0" w:firstLine="0"/>
              <w:jc w:val="left"/>
              <w:rPr>
                <w:b/>
                <w:bCs/>
                <w:color w:val="365F91"/>
                <w:sz w:val="18"/>
                <w:szCs w:val="18"/>
              </w:rPr>
            </w:pPr>
            <w:r w:rsidRPr="004A1EF4">
              <w:rPr>
                <w:b/>
                <w:bCs/>
                <w:color w:val="365F91"/>
                <w:sz w:val="18"/>
                <w:szCs w:val="18"/>
              </w:rPr>
              <w:t>Blackberry Mobil Voice System</w:t>
            </w:r>
          </w:p>
        </w:tc>
        <w:tc>
          <w:tcPr>
            <w:tcW w:w="3780" w:type="dxa"/>
            <w:tcBorders>
              <w:left w:val="nil"/>
              <w:right w:val="nil"/>
            </w:tcBorders>
            <w:shd w:val="clear" w:color="auto" w:fill="D3DFEE"/>
          </w:tcPr>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sidRPr="00561D8B">
              <w:rPr>
                <w:rFonts w:cs="Calibri"/>
                <w:color w:val="365F91"/>
                <w:sz w:val="18"/>
                <w:szCs w:val="18"/>
              </w:rPr>
              <w:t>Mobilize desk phone</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sidRPr="00561D8B">
              <w:rPr>
                <w:rFonts w:cs="Calibri"/>
                <w:color w:val="365F91"/>
                <w:sz w:val="18"/>
                <w:szCs w:val="18"/>
              </w:rPr>
              <w:t>Make and re</w:t>
            </w:r>
            <w:r>
              <w:rPr>
                <w:rFonts w:cs="Calibri"/>
                <w:color w:val="365F91"/>
                <w:sz w:val="18"/>
                <w:szCs w:val="18"/>
              </w:rPr>
              <w:t>ceive desk phone calls with a</w:t>
            </w:r>
            <w:r w:rsidRPr="00561D8B">
              <w:rPr>
                <w:rFonts w:cs="Calibri"/>
                <w:color w:val="365F91"/>
                <w:sz w:val="18"/>
                <w:szCs w:val="18"/>
              </w:rPr>
              <w:t xml:space="preserve"> BlackBerry </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sidRPr="00561D8B">
              <w:rPr>
                <w:rFonts w:cs="Calibri"/>
                <w:color w:val="365F91"/>
                <w:sz w:val="18"/>
                <w:szCs w:val="18"/>
              </w:rPr>
              <w:t>Move calls from BlackBerry to desk phone, or other</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Pr>
                <w:rFonts w:cs="Calibri"/>
                <w:color w:val="365F91"/>
                <w:sz w:val="18"/>
                <w:szCs w:val="18"/>
              </w:rPr>
              <w:t xml:space="preserve">All calls routed via an </w:t>
            </w:r>
            <w:r w:rsidRPr="00561D8B">
              <w:rPr>
                <w:rFonts w:cs="Calibri"/>
                <w:color w:val="365F91"/>
                <w:sz w:val="18"/>
                <w:szCs w:val="18"/>
              </w:rPr>
              <w:t>enterprise PBX</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sidRPr="00561D8B">
              <w:rPr>
                <w:rFonts w:cs="Calibri"/>
                <w:color w:val="365F91"/>
                <w:sz w:val="18"/>
                <w:szCs w:val="18"/>
              </w:rPr>
              <w:t>Authenticated to BlackBerry Enterprise Server</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Pr>
                <w:rFonts w:cs="Calibri"/>
                <w:color w:val="365F91"/>
                <w:sz w:val="18"/>
                <w:szCs w:val="18"/>
              </w:rPr>
              <w:t>One corporate identity–do not provide a</w:t>
            </w:r>
            <w:r w:rsidRPr="00561D8B">
              <w:rPr>
                <w:rFonts w:cs="Calibri"/>
                <w:color w:val="365F91"/>
                <w:sz w:val="18"/>
                <w:szCs w:val="18"/>
              </w:rPr>
              <w:t xml:space="preserve"> mobile number</w:t>
            </w:r>
          </w:p>
          <w:p w:rsidR="007D6DC1" w:rsidRPr="00561D8B" w:rsidRDefault="007D6DC1" w:rsidP="009E3804">
            <w:pPr>
              <w:pStyle w:val="ListParagraph"/>
              <w:numPr>
                <w:ilvl w:val="0"/>
                <w:numId w:val="22"/>
              </w:numPr>
              <w:autoSpaceDE w:val="0"/>
              <w:autoSpaceDN w:val="0"/>
              <w:adjustRightInd w:val="0"/>
              <w:ind w:left="252" w:hanging="252"/>
              <w:jc w:val="left"/>
              <w:rPr>
                <w:rFonts w:cs="Calibri"/>
                <w:color w:val="365F91"/>
                <w:sz w:val="18"/>
                <w:szCs w:val="18"/>
              </w:rPr>
            </w:pPr>
            <w:r w:rsidRPr="00561D8B">
              <w:rPr>
                <w:rFonts w:cs="Calibri"/>
                <w:color w:val="365F91"/>
                <w:sz w:val="18"/>
                <w:szCs w:val="18"/>
              </w:rPr>
              <w:t>Single voicemail box (work and mobile)</w:t>
            </w:r>
          </w:p>
        </w:tc>
        <w:tc>
          <w:tcPr>
            <w:tcW w:w="1710" w:type="dxa"/>
            <w:tcBorders>
              <w:left w:val="nil"/>
              <w:right w:val="nil"/>
            </w:tcBorders>
            <w:shd w:val="clear" w:color="auto" w:fill="D3DFEE"/>
          </w:tcPr>
          <w:p w:rsidR="007D6DC1" w:rsidRPr="00561D8B" w:rsidRDefault="007D6DC1" w:rsidP="00A930A2">
            <w:pPr>
              <w:ind w:left="72" w:hanging="72"/>
              <w:jc w:val="left"/>
              <w:rPr>
                <w:color w:val="365F91"/>
                <w:sz w:val="18"/>
                <w:szCs w:val="18"/>
              </w:rPr>
            </w:pPr>
            <w:r w:rsidRPr="00561D8B">
              <w:rPr>
                <w:color w:val="365F91"/>
                <w:sz w:val="18"/>
                <w:szCs w:val="18"/>
              </w:rPr>
              <w:t>Continue Testing</w:t>
            </w:r>
          </w:p>
          <w:p w:rsidR="007D6DC1" w:rsidRPr="00561D8B" w:rsidRDefault="007D6DC1" w:rsidP="00A930A2">
            <w:pPr>
              <w:ind w:left="72" w:hanging="72"/>
              <w:jc w:val="left"/>
              <w:rPr>
                <w:color w:val="365F91"/>
                <w:sz w:val="18"/>
                <w:szCs w:val="18"/>
              </w:rPr>
            </w:pPr>
          </w:p>
        </w:tc>
        <w:tc>
          <w:tcPr>
            <w:tcW w:w="1710" w:type="dxa"/>
            <w:tcBorders>
              <w:left w:val="nil"/>
              <w:right w:val="nil"/>
            </w:tcBorders>
            <w:shd w:val="clear" w:color="auto" w:fill="D3DFEE"/>
          </w:tcPr>
          <w:p w:rsidR="007D6DC1" w:rsidRPr="00561D8B" w:rsidRDefault="007D6DC1" w:rsidP="00A930A2">
            <w:pPr>
              <w:ind w:left="0" w:firstLine="0"/>
              <w:jc w:val="left"/>
              <w:rPr>
                <w:color w:val="365F91"/>
                <w:sz w:val="18"/>
                <w:szCs w:val="18"/>
              </w:rPr>
            </w:pPr>
            <w:r w:rsidRPr="00561D8B">
              <w:rPr>
                <w:color w:val="365F91"/>
                <w:sz w:val="18"/>
                <w:szCs w:val="18"/>
              </w:rPr>
              <w:t>Sandia National Lab</w:t>
            </w:r>
            <w:r>
              <w:rPr>
                <w:color w:val="365F91"/>
                <w:sz w:val="18"/>
                <w:szCs w:val="18"/>
              </w:rPr>
              <w:t>oratory</w:t>
            </w:r>
          </w:p>
          <w:p w:rsidR="007D6DC1" w:rsidRPr="00561D8B" w:rsidRDefault="007D6DC1" w:rsidP="00A930A2">
            <w:pPr>
              <w:ind w:left="0" w:firstLine="0"/>
              <w:jc w:val="left"/>
              <w:rPr>
                <w:color w:val="365F91"/>
                <w:sz w:val="18"/>
                <w:szCs w:val="18"/>
              </w:rPr>
            </w:pPr>
          </w:p>
        </w:tc>
      </w:tr>
      <w:tr w:rsidR="007D6DC1" w:rsidRPr="00561D8B" w:rsidTr="006A237F">
        <w:tc>
          <w:tcPr>
            <w:tcW w:w="2088" w:type="dxa"/>
          </w:tcPr>
          <w:p w:rsidR="007D6DC1" w:rsidRPr="004A1EF4" w:rsidRDefault="007D6DC1" w:rsidP="00DA1C63">
            <w:pPr>
              <w:ind w:left="0" w:firstLine="0"/>
              <w:jc w:val="left"/>
              <w:rPr>
                <w:b/>
                <w:bCs/>
                <w:color w:val="365F91"/>
                <w:sz w:val="18"/>
                <w:szCs w:val="18"/>
              </w:rPr>
            </w:pPr>
            <w:r w:rsidRPr="004A1EF4">
              <w:rPr>
                <w:b/>
                <w:bCs/>
                <w:color w:val="365F91"/>
                <w:sz w:val="18"/>
                <w:szCs w:val="18"/>
              </w:rPr>
              <w:t>Mobil</w:t>
            </w:r>
            <w:r w:rsidR="00C23409">
              <w:rPr>
                <w:b/>
                <w:bCs/>
                <w:color w:val="365F91"/>
                <w:sz w:val="18"/>
                <w:szCs w:val="18"/>
              </w:rPr>
              <w:t>e</w:t>
            </w:r>
            <w:r w:rsidRPr="004A1EF4">
              <w:rPr>
                <w:b/>
                <w:bCs/>
                <w:color w:val="365F91"/>
                <w:sz w:val="18"/>
                <w:szCs w:val="18"/>
              </w:rPr>
              <w:t xml:space="preserve"> Table/Apple iPad Deployment</w:t>
            </w:r>
          </w:p>
        </w:tc>
        <w:tc>
          <w:tcPr>
            <w:tcW w:w="3780" w:type="dxa"/>
          </w:tcPr>
          <w:p w:rsidR="007D6DC1" w:rsidRPr="00C23409" w:rsidRDefault="007D6DC1" w:rsidP="007F2EC4">
            <w:pPr>
              <w:pStyle w:val="ListParagraph"/>
              <w:numPr>
                <w:ilvl w:val="0"/>
                <w:numId w:val="35"/>
              </w:numPr>
              <w:ind w:left="252" w:hanging="252"/>
              <w:jc w:val="left"/>
              <w:rPr>
                <w:color w:val="365F91"/>
                <w:sz w:val="18"/>
                <w:szCs w:val="18"/>
              </w:rPr>
            </w:pPr>
            <w:r w:rsidRPr="00C23409">
              <w:rPr>
                <w:color w:val="365F91"/>
                <w:sz w:val="18"/>
                <w:szCs w:val="18"/>
              </w:rPr>
              <w:t>Evaluate Apple iPad as “third computing device</w:t>
            </w:r>
            <w:r w:rsidR="00C23409" w:rsidRPr="00C23409">
              <w:rPr>
                <w:color w:val="365F91"/>
                <w:sz w:val="18"/>
                <w:szCs w:val="18"/>
              </w:rPr>
              <w:t>.”</w:t>
            </w:r>
          </w:p>
        </w:tc>
        <w:tc>
          <w:tcPr>
            <w:tcW w:w="1710" w:type="dxa"/>
          </w:tcPr>
          <w:p w:rsidR="007D6DC1" w:rsidRPr="00561D8B" w:rsidRDefault="007D6DC1" w:rsidP="00A930A2">
            <w:pPr>
              <w:ind w:left="72" w:hanging="72"/>
              <w:jc w:val="left"/>
              <w:rPr>
                <w:color w:val="365F91"/>
                <w:sz w:val="18"/>
                <w:szCs w:val="18"/>
              </w:rPr>
            </w:pPr>
            <w:r w:rsidRPr="00561D8B">
              <w:rPr>
                <w:color w:val="365F91"/>
                <w:sz w:val="18"/>
                <w:szCs w:val="18"/>
              </w:rPr>
              <w:t>Evaluating</w:t>
            </w:r>
          </w:p>
        </w:tc>
        <w:tc>
          <w:tcPr>
            <w:tcW w:w="1710" w:type="dxa"/>
          </w:tcPr>
          <w:p w:rsidR="007D6DC1" w:rsidRPr="00561D8B" w:rsidRDefault="007D6DC1" w:rsidP="00A930A2">
            <w:pPr>
              <w:ind w:left="0" w:firstLine="0"/>
              <w:jc w:val="left"/>
              <w:rPr>
                <w:color w:val="365F91"/>
                <w:sz w:val="18"/>
                <w:szCs w:val="18"/>
              </w:rPr>
            </w:pPr>
            <w:r w:rsidRPr="00561D8B">
              <w:rPr>
                <w:color w:val="365F91"/>
                <w:sz w:val="18"/>
                <w:szCs w:val="18"/>
              </w:rPr>
              <w:t>Sandia National Lab</w:t>
            </w:r>
            <w:r>
              <w:rPr>
                <w:color w:val="365F91"/>
                <w:sz w:val="18"/>
                <w:szCs w:val="18"/>
              </w:rPr>
              <w:t>oratory</w:t>
            </w:r>
          </w:p>
        </w:tc>
      </w:tr>
      <w:tr w:rsidR="007D6DC1" w:rsidRPr="00561D8B" w:rsidTr="006A237F">
        <w:tc>
          <w:tcPr>
            <w:tcW w:w="2088" w:type="dxa"/>
            <w:tcBorders>
              <w:left w:val="nil"/>
              <w:right w:val="nil"/>
            </w:tcBorders>
            <w:shd w:val="clear" w:color="auto" w:fill="D3DFEE"/>
          </w:tcPr>
          <w:p w:rsidR="007D6DC1" w:rsidRPr="004A1EF4" w:rsidRDefault="007D6DC1" w:rsidP="00DA1C63">
            <w:pPr>
              <w:ind w:left="0" w:firstLine="0"/>
              <w:jc w:val="left"/>
              <w:rPr>
                <w:b/>
                <w:bCs/>
                <w:color w:val="365F91"/>
                <w:sz w:val="18"/>
                <w:szCs w:val="18"/>
              </w:rPr>
            </w:pPr>
            <w:r w:rsidRPr="004A1EF4">
              <w:rPr>
                <w:b/>
                <w:bCs/>
                <w:color w:val="365F91"/>
                <w:sz w:val="18"/>
                <w:szCs w:val="18"/>
              </w:rPr>
              <w:t>Voice Over Internet Protocol(VoIP)</w:t>
            </w:r>
          </w:p>
        </w:tc>
        <w:tc>
          <w:tcPr>
            <w:tcW w:w="3780" w:type="dxa"/>
            <w:tcBorders>
              <w:left w:val="nil"/>
              <w:right w:val="nil"/>
            </w:tcBorders>
            <w:shd w:val="clear" w:color="auto" w:fill="D3DFEE"/>
          </w:tcPr>
          <w:p w:rsidR="007D6DC1" w:rsidRPr="00561D8B" w:rsidRDefault="007D6DC1" w:rsidP="00A930A2">
            <w:pPr>
              <w:ind w:left="342" w:hanging="342"/>
              <w:jc w:val="left"/>
              <w:rPr>
                <w:color w:val="365F91"/>
                <w:sz w:val="18"/>
                <w:szCs w:val="18"/>
              </w:rPr>
            </w:pPr>
            <w:r w:rsidRPr="00561D8B">
              <w:rPr>
                <w:color w:val="365F91"/>
                <w:sz w:val="18"/>
                <w:szCs w:val="18"/>
              </w:rPr>
              <w:t>Voice Over IP Technology Deployment</w:t>
            </w:r>
          </w:p>
        </w:tc>
        <w:tc>
          <w:tcPr>
            <w:tcW w:w="1710" w:type="dxa"/>
            <w:tcBorders>
              <w:left w:val="nil"/>
              <w:right w:val="nil"/>
            </w:tcBorders>
            <w:shd w:val="clear" w:color="auto" w:fill="D3DFEE"/>
          </w:tcPr>
          <w:p w:rsidR="007D6DC1" w:rsidRPr="00561D8B" w:rsidRDefault="007D6DC1" w:rsidP="00A930A2">
            <w:pPr>
              <w:ind w:left="72" w:hanging="72"/>
              <w:jc w:val="left"/>
              <w:rPr>
                <w:color w:val="365F91"/>
                <w:sz w:val="18"/>
                <w:szCs w:val="18"/>
              </w:rPr>
            </w:pPr>
            <w:r w:rsidRPr="00561D8B">
              <w:rPr>
                <w:color w:val="365F91"/>
                <w:sz w:val="18"/>
                <w:szCs w:val="18"/>
              </w:rPr>
              <w:t>Test and deploy</w:t>
            </w:r>
          </w:p>
        </w:tc>
        <w:tc>
          <w:tcPr>
            <w:tcW w:w="1710" w:type="dxa"/>
            <w:tcBorders>
              <w:left w:val="nil"/>
              <w:right w:val="nil"/>
            </w:tcBorders>
            <w:shd w:val="clear" w:color="auto" w:fill="D3DFEE"/>
          </w:tcPr>
          <w:p w:rsidR="007D6DC1" w:rsidRPr="00561D8B" w:rsidRDefault="007D6DC1" w:rsidP="00A930A2">
            <w:pPr>
              <w:ind w:left="0" w:firstLine="0"/>
              <w:jc w:val="left"/>
              <w:rPr>
                <w:color w:val="365F91"/>
                <w:sz w:val="18"/>
                <w:szCs w:val="18"/>
              </w:rPr>
            </w:pPr>
            <w:r>
              <w:rPr>
                <w:color w:val="365F91"/>
                <w:sz w:val="18"/>
                <w:szCs w:val="18"/>
              </w:rPr>
              <w:t>Sandia National Laboratory</w:t>
            </w:r>
          </w:p>
        </w:tc>
      </w:tr>
      <w:tr w:rsidR="007D6DC1" w:rsidRPr="00561D8B" w:rsidTr="006A237F">
        <w:tc>
          <w:tcPr>
            <w:tcW w:w="2088" w:type="dxa"/>
          </w:tcPr>
          <w:p w:rsidR="007D6DC1" w:rsidRPr="004A1EF4" w:rsidRDefault="007D6DC1" w:rsidP="00DA1C63">
            <w:pPr>
              <w:ind w:left="0" w:firstLine="0"/>
              <w:jc w:val="left"/>
              <w:rPr>
                <w:b/>
                <w:bCs/>
                <w:color w:val="365F91"/>
                <w:sz w:val="18"/>
                <w:szCs w:val="18"/>
              </w:rPr>
            </w:pPr>
            <w:r w:rsidRPr="004A1EF4">
              <w:rPr>
                <w:b/>
                <w:bCs/>
                <w:color w:val="365F91"/>
                <w:sz w:val="18"/>
                <w:szCs w:val="18"/>
              </w:rPr>
              <w:t>Mobile Email/Calendaring/Contacts</w:t>
            </w:r>
          </w:p>
        </w:tc>
        <w:tc>
          <w:tcPr>
            <w:tcW w:w="3780" w:type="dxa"/>
          </w:tcPr>
          <w:p w:rsidR="007D6DC1" w:rsidRPr="00C23409" w:rsidRDefault="00C23409" w:rsidP="007F2EC4">
            <w:pPr>
              <w:pStyle w:val="ListParagraph"/>
              <w:numPr>
                <w:ilvl w:val="0"/>
                <w:numId w:val="35"/>
              </w:numPr>
              <w:ind w:left="252" w:hanging="270"/>
              <w:jc w:val="left"/>
              <w:rPr>
                <w:color w:val="365F91"/>
                <w:sz w:val="18"/>
                <w:szCs w:val="18"/>
              </w:rPr>
            </w:pPr>
            <w:r w:rsidRPr="00C23409">
              <w:rPr>
                <w:color w:val="365F91"/>
                <w:sz w:val="18"/>
                <w:szCs w:val="18"/>
              </w:rPr>
              <w:t>“</w:t>
            </w:r>
            <w:r w:rsidR="007D6DC1" w:rsidRPr="00C23409">
              <w:rPr>
                <w:color w:val="365F91"/>
                <w:sz w:val="18"/>
                <w:szCs w:val="18"/>
              </w:rPr>
              <w:t>Good for Enterprise</w:t>
            </w:r>
            <w:r w:rsidRPr="00C23409">
              <w:rPr>
                <w:color w:val="365F91"/>
                <w:sz w:val="18"/>
                <w:szCs w:val="18"/>
              </w:rPr>
              <w:t>”</w:t>
            </w:r>
            <w:r w:rsidR="007D6DC1" w:rsidRPr="00C23409">
              <w:rPr>
                <w:color w:val="365F91"/>
                <w:sz w:val="18"/>
                <w:szCs w:val="18"/>
              </w:rPr>
              <w:t xml:space="preserve"> has been chosen by Sandia National Laboratory to allow members of the workforce secure access to their corporate email, calendar, and contact information from personally owned mobile devices.</w:t>
            </w:r>
          </w:p>
        </w:tc>
        <w:tc>
          <w:tcPr>
            <w:tcW w:w="1710" w:type="dxa"/>
          </w:tcPr>
          <w:p w:rsidR="007D6DC1" w:rsidRPr="00561D8B" w:rsidRDefault="007D6DC1" w:rsidP="00A930A2">
            <w:pPr>
              <w:ind w:left="72" w:hanging="72"/>
              <w:jc w:val="left"/>
              <w:rPr>
                <w:color w:val="365F91"/>
                <w:sz w:val="18"/>
                <w:szCs w:val="18"/>
              </w:rPr>
            </w:pPr>
            <w:r w:rsidRPr="00561D8B">
              <w:rPr>
                <w:color w:val="365F91"/>
                <w:sz w:val="18"/>
                <w:szCs w:val="18"/>
              </w:rPr>
              <w:t>Deploying</w:t>
            </w:r>
          </w:p>
        </w:tc>
        <w:tc>
          <w:tcPr>
            <w:tcW w:w="1710" w:type="dxa"/>
          </w:tcPr>
          <w:p w:rsidR="007D6DC1" w:rsidRPr="00561D8B" w:rsidRDefault="007D6DC1" w:rsidP="00A930A2">
            <w:pPr>
              <w:ind w:left="0" w:firstLine="0"/>
              <w:jc w:val="left"/>
              <w:rPr>
                <w:color w:val="365F91"/>
                <w:sz w:val="18"/>
                <w:szCs w:val="18"/>
              </w:rPr>
            </w:pPr>
            <w:r w:rsidRPr="00561D8B">
              <w:rPr>
                <w:color w:val="365F91"/>
                <w:sz w:val="18"/>
                <w:szCs w:val="18"/>
              </w:rPr>
              <w:t>Sandia National Lab</w:t>
            </w:r>
            <w:r>
              <w:rPr>
                <w:color w:val="365F91"/>
                <w:sz w:val="18"/>
                <w:szCs w:val="18"/>
              </w:rPr>
              <w:t>oratory</w:t>
            </w:r>
          </w:p>
        </w:tc>
      </w:tr>
      <w:tr w:rsidR="007D6DC1" w:rsidRPr="00561D8B" w:rsidTr="006A237F">
        <w:tc>
          <w:tcPr>
            <w:tcW w:w="2088" w:type="dxa"/>
            <w:tcBorders>
              <w:left w:val="nil"/>
              <w:right w:val="nil"/>
            </w:tcBorders>
            <w:shd w:val="clear" w:color="auto" w:fill="D3DFEE"/>
          </w:tcPr>
          <w:p w:rsidR="007D6DC1" w:rsidRPr="004A1EF4" w:rsidRDefault="007D6DC1" w:rsidP="00DA1C63">
            <w:pPr>
              <w:ind w:left="0" w:firstLine="0"/>
              <w:jc w:val="left"/>
              <w:rPr>
                <w:b/>
                <w:bCs/>
                <w:color w:val="365F91"/>
                <w:sz w:val="18"/>
                <w:szCs w:val="18"/>
              </w:rPr>
            </w:pPr>
            <w:r w:rsidRPr="004A1EF4">
              <w:rPr>
                <w:b/>
                <w:bCs/>
                <w:color w:val="365F91"/>
                <w:sz w:val="18"/>
                <w:szCs w:val="18"/>
              </w:rPr>
              <w:t>Blackberry Handheld</w:t>
            </w:r>
          </w:p>
        </w:tc>
        <w:tc>
          <w:tcPr>
            <w:tcW w:w="3780" w:type="dxa"/>
            <w:tcBorders>
              <w:left w:val="nil"/>
              <w:right w:val="nil"/>
            </w:tcBorders>
            <w:shd w:val="clear" w:color="auto" w:fill="D3DFEE"/>
          </w:tcPr>
          <w:p w:rsidR="007D6DC1" w:rsidRPr="00561D8B" w:rsidRDefault="007D6DC1" w:rsidP="00A930A2">
            <w:pPr>
              <w:ind w:left="0" w:firstLine="0"/>
              <w:jc w:val="left"/>
              <w:rPr>
                <w:color w:val="365F91"/>
                <w:sz w:val="18"/>
                <w:szCs w:val="18"/>
              </w:rPr>
            </w:pPr>
            <w:r w:rsidRPr="00561D8B">
              <w:rPr>
                <w:color w:val="365F91"/>
                <w:sz w:val="18"/>
                <w:szCs w:val="18"/>
              </w:rPr>
              <w:t>Deploy a secure mobile email/calendar/contacts to organization</w:t>
            </w:r>
          </w:p>
        </w:tc>
        <w:tc>
          <w:tcPr>
            <w:tcW w:w="1710" w:type="dxa"/>
            <w:tcBorders>
              <w:left w:val="nil"/>
              <w:right w:val="nil"/>
            </w:tcBorders>
            <w:shd w:val="clear" w:color="auto" w:fill="D3DFEE"/>
          </w:tcPr>
          <w:p w:rsidR="007D6DC1" w:rsidRPr="00561D8B" w:rsidRDefault="007D6DC1" w:rsidP="00A930A2">
            <w:pPr>
              <w:ind w:left="72" w:hanging="72"/>
              <w:jc w:val="left"/>
              <w:rPr>
                <w:color w:val="365F91"/>
                <w:sz w:val="18"/>
                <w:szCs w:val="18"/>
              </w:rPr>
            </w:pPr>
            <w:r w:rsidRPr="00561D8B">
              <w:rPr>
                <w:color w:val="365F91"/>
                <w:sz w:val="18"/>
                <w:szCs w:val="18"/>
              </w:rPr>
              <w:t>Completed</w:t>
            </w:r>
          </w:p>
        </w:tc>
        <w:tc>
          <w:tcPr>
            <w:tcW w:w="1710" w:type="dxa"/>
            <w:tcBorders>
              <w:left w:val="nil"/>
              <w:right w:val="nil"/>
            </w:tcBorders>
            <w:shd w:val="clear" w:color="auto" w:fill="D3DFEE"/>
          </w:tcPr>
          <w:p w:rsidR="007D6DC1" w:rsidRPr="00561D8B" w:rsidRDefault="007D6DC1" w:rsidP="00A930A2">
            <w:pPr>
              <w:ind w:left="0" w:firstLine="0"/>
              <w:jc w:val="left"/>
              <w:rPr>
                <w:color w:val="365F91"/>
                <w:sz w:val="18"/>
                <w:szCs w:val="18"/>
              </w:rPr>
            </w:pPr>
            <w:r w:rsidRPr="00561D8B">
              <w:rPr>
                <w:color w:val="365F91"/>
                <w:sz w:val="18"/>
                <w:szCs w:val="18"/>
              </w:rPr>
              <w:t>Los Alamos</w:t>
            </w:r>
            <w:r>
              <w:rPr>
                <w:color w:val="365F91"/>
                <w:sz w:val="18"/>
                <w:szCs w:val="18"/>
              </w:rPr>
              <w:t xml:space="preserve"> National Laboratory</w:t>
            </w:r>
          </w:p>
        </w:tc>
      </w:tr>
      <w:tr w:rsidR="007D6DC1" w:rsidRPr="00561D8B" w:rsidTr="006A237F">
        <w:tc>
          <w:tcPr>
            <w:tcW w:w="2088" w:type="dxa"/>
          </w:tcPr>
          <w:p w:rsidR="007D6DC1" w:rsidRPr="004A1EF4" w:rsidRDefault="007D6DC1" w:rsidP="00DA1C63">
            <w:pPr>
              <w:ind w:left="0" w:firstLine="0"/>
              <w:jc w:val="left"/>
              <w:rPr>
                <w:b/>
                <w:bCs/>
                <w:color w:val="365F91"/>
                <w:sz w:val="18"/>
                <w:szCs w:val="18"/>
              </w:rPr>
            </w:pPr>
            <w:r w:rsidRPr="004A1EF4">
              <w:rPr>
                <w:b/>
                <w:bCs/>
                <w:color w:val="365F91"/>
                <w:sz w:val="18"/>
                <w:szCs w:val="18"/>
              </w:rPr>
              <w:t>Apple iPad</w:t>
            </w:r>
          </w:p>
        </w:tc>
        <w:tc>
          <w:tcPr>
            <w:tcW w:w="3780" w:type="dxa"/>
          </w:tcPr>
          <w:p w:rsidR="007D6DC1" w:rsidRPr="00C23409" w:rsidRDefault="007D6DC1" w:rsidP="007F2EC4">
            <w:pPr>
              <w:pStyle w:val="ListParagraph"/>
              <w:numPr>
                <w:ilvl w:val="0"/>
                <w:numId w:val="35"/>
              </w:numPr>
              <w:ind w:left="252" w:hanging="270"/>
              <w:jc w:val="left"/>
              <w:rPr>
                <w:color w:val="365F91"/>
                <w:sz w:val="18"/>
                <w:szCs w:val="18"/>
              </w:rPr>
            </w:pPr>
            <w:r w:rsidRPr="00C23409">
              <w:rPr>
                <w:color w:val="365F91"/>
                <w:sz w:val="18"/>
                <w:szCs w:val="18"/>
              </w:rPr>
              <w:t>Remote access to desktop</w:t>
            </w:r>
          </w:p>
          <w:p w:rsidR="007D6DC1" w:rsidRPr="00561D8B" w:rsidRDefault="007D6DC1" w:rsidP="009E3804">
            <w:pPr>
              <w:pStyle w:val="ListParagraph"/>
              <w:numPr>
                <w:ilvl w:val="0"/>
                <w:numId w:val="24"/>
              </w:numPr>
              <w:ind w:left="252" w:hanging="270"/>
              <w:jc w:val="left"/>
              <w:rPr>
                <w:rFonts w:cs="Calibri"/>
                <w:color w:val="365F91"/>
                <w:sz w:val="18"/>
                <w:szCs w:val="18"/>
              </w:rPr>
            </w:pPr>
            <w:r w:rsidRPr="00561D8B">
              <w:rPr>
                <w:rFonts w:cs="Calibri"/>
                <w:color w:val="365F91"/>
                <w:sz w:val="18"/>
                <w:szCs w:val="18"/>
              </w:rPr>
              <w:t>VMware View Client for iPad (Virtual Des</w:t>
            </w:r>
            <w:r w:rsidR="00C179FD">
              <w:rPr>
                <w:rFonts w:cs="Calibri"/>
                <w:color w:val="365F91"/>
                <w:sz w:val="18"/>
                <w:szCs w:val="18"/>
              </w:rPr>
              <w:t>k</w:t>
            </w:r>
            <w:r w:rsidRPr="00561D8B">
              <w:rPr>
                <w:rFonts w:cs="Calibri"/>
                <w:color w:val="365F91"/>
                <w:sz w:val="18"/>
                <w:szCs w:val="18"/>
              </w:rPr>
              <w:t>tops)</w:t>
            </w:r>
          </w:p>
          <w:p w:rsidR="007D6DC1" w:rsidRPr="00561D8B" w:rsidRDefault="007D6DC1" w:rsidP="009E3804">
            <w:pPr>
              <w:pStyle w:val="ListParagraph"/>
              <w:numPr>
                <w:ilvl w:val="0"/>
                <w:numId w:val="23"/>
              </w:numPr>
              <w:ind w:left="252" w:hanging="270"/>
              <w:jc w:val="left"/>
              <w:rPr>
                <w:rFonts w:cs="Calibri"/>
                <w:color w:val="365F91"/>
                <w:sz w:val="18"/>
                <w:szCs w:val="18"/>
              </w:rPr>
            </w:pPr>
            <w:r w:rsidRPr="00561D8B">
              <w:rPr>
                <w:rFonts w:cs="Calibri"/>
                <w:color w:val="365F91"/>
                <w:sz w:val="18"/>
                <w:szCs w:val="18"/>
              </w:rPr>
              <w:t>Remote Desktop Client for iPad (Physical Desktops)</w:t>
            </w:r>
          </w:p>
        </w:tc>
        <w:tc>
          <w:tcPr>
            <w:tcW w:w="1710" w:type="dxa"/>
          </w:tcPr>
          <w:p w:rsidR="007D6DC1" w:rsidRPr="00561D8B" w:rsidRDefault="007D6DC1" w:rsidP="00A930A2">
            <w:pPr>
              <w:ind w:left="72" w:hanging="72"/>
              <w:jc w:val="left"/>
              <w:rPr>
                <w:color w:val="365F91"/>
                <w:sz w:val="18"/>
                <w:szCs w:val="18"/>
              </w:rPr>
            </w:pPr>
            <w:r w:rsidRPr="00561D8B">
              <w:rPr>
                <w:color w:val="365F91"/>
                <w:sz w:val="18"/>
                <w:szCs w:val="18"/>
              </w:rPr>
              <w:t>Discussion</w:t>
            </w:r>
          </w:p>
        </w:tc>
        <w:tc>
          <w:tcPr>
            <w:tcW w:w="1710" w:type="dxa"/>
          </w:tcPr>
          <w:p w:rsidR="007D6DC1" w:rsidRPr="00561D8B" w:rsidRDefault="007D6DC1" w:rsidP="00A930A2">
            <w:pPr>
              <w:ind w:left="0" w:firstLine="0"/>
              <w:jc w:val="left"/>
              <w:rPr>
                <w:color w:val="365F91"/>
                <w:sz w:val="18"/>
                <w:szCs w:val="18"/>
              </w:rPr>
            </w:pPr>
            <w:r w:rsidRPr="00561D8B">
              <w:rPr>
                <w:color w:val="365F91"/>
                <w:sz w:val="18"/>
                <w:szCs w:val="18"/>
              </w:rPr>
              <w:t>Los Alamos</w:t>
            </w:r>
            <w:r>
              <w:rPr>
                <w:color w:val="365F91"/>
                <w:sz w:val="18"/>
                <w:szCs w:val="18"/>
              </w:rPr>
              <w:t xml:space="preserve"> National </w:t>
            </w:r>
            <w:r>
              <w:rPr>
                <w:color w:val="365F91"/>
                <w:sz w:val="18"/>
                <w:szCs w:val="18"/>
              </w:rPr>
              <w:br/>
              <w:t>Laboratory</w:t>
            </w:r>
          </w:p>
        </w:tc>
      </w:tr>
    </w:tbl>
    <w:p w:rsidR="00EC3EE4" w:rsidRPr="00561D8B" w:rsidRDefault="00EC3EE4" w:rsidP="00DA1C63">
      <w:pPr>
        <w:ind w:left="0" w:firstLine="0"/>
        <w:jc w:val="left"/>
        <w:rPr>
          <w:sz w:val="24"/>
          <w:szCs w:val="24"/>
        </w:rPr>
      </w:pPr>
    </w:p>
    <w:p w:rsidR="00EC3EE4" w:rsidRPr="003D7AAC" w:rsidRDefault="00B1277C" w:rsidP="009E3804">
      <w:pPr>
        <w:pStyle w:val="Heading4"/>
        <w:numPr>
          <w:ilvl w:val="2"/>
          <w:numId w:val="14"/>
        </w:numPr>
        <w:spacing w:before="120" w:after="120"/>
        <w:ind w:left="720" w:hanging="720"/>
        <w:jc w:val="left"/>
        <w:rPr>
          <w:rFonts w:asciiTheme="majorHAnsi" w:hAnsiTheme="majorHAnsi" w:cs="Calibri"/>
          <w:color w:val="365F91"/>
        </w:rPr>
      </w:pPr>
      <w:r w:rsidRPr="003D7AAC">
        <w:rPr>
          <w:rFonts w:asciiTheme="majorHAnsi" w:hAnsiTheme="majorHAnsi" w:cs="Calibri"/>
          <w:color w:val="365F91"/>
        </w:rPr>
        <w:t xml:space="preserve">Employing </w:t>
      </w:r>
      <w:r w:rsidR="00EC3EE4" w:rsidRPr="003D7AAC">
        <w:rPr>
          <w:rFonts w:asciiTheme="majorHAnsi" w:hAnsiTheme="majorHAnsi" w:cs="Calibri"/>
          <w:color w:val="365F91"/>
        </w:rPr>
        <w:t>Collaborative Tools</w:t>
      </w:r>
    </w:p>
    <w:p w:rsidR="00F273AB" w:rsidRPr="00C23409" w:rsidRDefault="00561D8B" w:rsidP="00F273AB">
      <w:pPr>
        <w:spacing w:before="240"/>
        <w:ind w:left="0" w:firstLine="0"/>
        <w:jc w:val="left"/>
        <w:rPr>
          <w:color w:val="000000"/>
          <w:sz w:val="22"/>
        </w:rPr>
      </w:pPr>
      <w:r w:rsidRPr="00561D8B">
        <w:rPr>
          <w:color w:val="000000"/>
          <w:sz w:val="22"/>
        </w:rPr>
        <w:t>E</w:t>
      </w:r>
      <w:r w:rsidR="00EC3EE4" w:rsidRPr="00561D8B">
        <w:rPr>
          <w:color w:val="000000"/>
          <w:sz w:val="22"/>
        </w:rPr>
        <w:t>nabling collaboration is a key aspect of better utilizing technology.</w:t>
      </w:r>
      <w:r w:rsidR="00C3456B">
        <w:rPr>
          <w:color w:val="000000"/>
          <w:sz w:val="22"/>
        </w:rPr>
        <w:t xml:space="preserve"> </w:t>
      </w:r>
      <w:r w:rsidR="00EC3EE4" w:rsidRPr="00561D8B">
        <w:rPr>
          <w:color w:val="000000"/>
          <w:sz w:val="22"/>
        </w:rPr>
        <w:t>The</w:t>
      </w:r>
      <w:r w:rsidR="00A87D17">
        <w:rPr>
          <w:color w:val="000000"/>
          <w:sz w:val="22"/>
        </w:rPr>
        <w:t xml:space="preserve"> DOE </w:t>
      </w:r>
      <w:r w:rsidR="00EC3EE4" w:rsidRPr="00561D8B">
        <w:rPr>
          <w:color w:val="000000"/>
          <w:sz w:val="22"/>
        </w:rPr>
        <w:t>IT Strategic Roadmap</w:t>
      </w:r>
      <w:r w:rsidR="00A87D17">
        <w:rPr>
          <w:color w:val="000000"/>
          <w:sz w:val="22"/>
        </w:rPr>
        <w:t xml:space="preserve"> project </w:t>
      </w:r>
      <w:r w:rsidR="00326264">
        <w:rPr>
          <w:color w:val="000000"/>
          <w:sz w:val="22"/>
        </w:rPr>
        <w:t>is an example of this and is a</w:t>
      </w:r>
      <w:r w:rsidR="00EC3EE4" w:rsidRPr="00561D8B">
        <w:rPr>
          <w:color w:val="000000"/>
          <w:sz w:val="22"/>
        </w:rPr>
        <w:t xml:space="preserve"> </w:t>
      </w:r>
      <w:r w:rsidR="00326264">
        <w:rPr>
          <w:color w:val="000000"/>
          <w:sz w:val="22"/>
        </w:rPr>
        <w:t xml:space="preserve">collaborative </w:t>
      </w:r>
      <w:r w:rsidR="00EC3EE4" w:rsidRPr="00561D8B">
        <w:rPr>
          <w:color w:val="000000"/>
          <w:sz w:val="22"/>
        </w:rPr>
        <w:t xml:space="preserve">process </w:t>
      </w:r>
      <w:r w:rsidR="00A87D17">
        <w:rPr>
          <w:color w:val="000000"/>
          <w:sz w:val="22"/>
        </w:rPr>
        <w:t xml:space="preserve">that the </w:t>
      </w:r>
      <w:r w:rsidR="001A483E">
        <w:rPr>
          <w:color w:val="000000"/>
          <w:sz w:val="22"/>
        </w:rPr>
        <w:t>Department</w:t>
      </w:r>
      <w:r w:rsidR="00A87D17">
        <w:rPr>
          <w:color w:val="000000"/>
          <w:sz w:val="22"/>
        </w:rPr>
        <w:t xml:space="preserve"> used in an agency</w:t>
      </w:r>
      <w:r w:rsidR="00326264">
        <w:rPr>
          <w:color w:val="000000"/>
          <w:sz w:val="22"/>
        </w:rPr>
        <w:t>-wide initiative to seek out the best ideas from DOE employees on the way forward for IT at DOE</w:t>
      </w:r>
      <w:r w:rsidR="00A87D17">
        <w:rPr>
          <w:color w:val="000000"/>
          <w:sz w:val="22"/>
        </w:rPr>
        <w:t>.</w:t>
      </w:r>
      <w:r w:rsidR="00C3456B">
        <w:rPr>
          <w:color w:val="000000"/>
          <w:sz w:val="22"/>
        </w:rPr>
        <w:t xml:space="preserve"> </w:t>
      </w:r>
      <w:r w:rsidR="00A87D17">
        <w:rPr>
          <w:color w:val="000000"/>
          <w:sz w:val="22"/>
        </w:rPr>
        <w:t>It is especially notable for its use of Crowdsourcing to collect requirements.</w:t>
      </w:r>
      <w:r w:rsidR="00C3456B">
        <w:rPr>
          <w:color w:val="000000"/>
          <w:sz w:val="22"/>
        </w:rPr>
        <w:t xml:space="preserve"> </w:t>
      </w:r>
      <w:r w:rsidR="00C23409">
        <w:rPr>
          <w:color w:val="000000"/>
          <w:sz w:val="22"/>
        </w:rPr>
        <w:t xml:space="preserve"> T</w:t>
      </w:r>
      <w:r w:rsidR="00F273AB" w:rsidRPr="00F273AB">
        <w:rPr>
          <w:color w:val="000000"/>
          <w:sz w:val="22"/>
        </w:rPr>
        <w:t xml:space="preserve">he </w:t>
      </w:r>
      <w:r w:rsidR="00F273AB">
        <w:rPr>
          <w:color w:val="000000"/>
          <w:sz w:val="22"/>
        </w:rPr>
        <w:t>DOE</w:t>
      </w:r>
      <w:r w:rsidR="00F273AB" w:rsidRPr="00F273AB">
        <w:rPr>
          <w:color w:val="000000"/>
          <w:sz w:val="22"/>
        </w:rPr>
        <w:t xml:space="preserve"> IT Roadmap team </w:t>
      </w:r>
      <w:r w:rsidR="00F273AB">
        <w:rPr>
          <w:color w:val="000000"/>
          <w:sz w:val="22"/>
        </w:rPr>
        <w:t xml:space="preserve">conducted </w:t>
      </w:r>
      <w:r w:rsidR="00F273AB" w:rsidRPr="00F273AB">
        <w:rPr>
          <w:color w:val="000000"/>
          <w:sz w:val="22"/>
        </w:rPr>
        <w:t xml:space="preserve">a pilot deployment of </w:t>
      </w:r>
      <w:r w:rsidR="00F273AB">
        <w:rPr>
          <w:color w:val="000000"/>
          <w:sz w:val="22"/>
        </w:rPr>
        <w:t>a Crowdsourcing solution using cloud-</w:t>
      </w:r>
      <w:r w:rsidR="00F273AB" w:rsidRPr="00F273AB">
        <w:rPr>
          <w:color w:val="000000"/>
          <w:sz w:val="22"/>
        </w:rPr>
        <w:t xml:space="preserve">based vendor UserVoice, with the goal of engaging the </w:t>
      </w:r>
      <w:r w:rsidR="001A483E">
        <w:rPr>
          <w:color w:val="000000"/>
          <w:sz w:val="22"/>
        </w:rPr>
        <w:t>Department</w:t>
      </w:r>
      <w:r w:rsidR="00F273AB" w:rsidRPr="00F273AB">
        <w:rPr>
          <w:color w:val="000000"/>
          <w:sz w:val="22"/>
        </w:rPr>
        <w:t xml:space="preserve"> in identifying opportunities to transform </w:t>
      </w:r>
      <w:r w:rsidR="00F273AB">
        <w:rPr>
          <w:color w:val="000000"/>
          <w:sz w:val="22"/>
        </w:rPr>
        <w:t>its</w:t>
      </w:r>
      <w:r w:rsidR="00F273AB" w:rsidRPr="00F273AB">
        <w:rPr>
          <w:color w:val="000000"/>
          <w:sz w:val="22"/>
        </w:rPr>
        <w:t xml:space="preserve"> use of technology to support the DOE mission.</w:t>
      </w:r>
      <w:r w:rsidR="00C3456B">
        <w:rPr>
          <w:color w:val="000000"/>
          <w:sz w:val="22"/>
        </w:rPr>
        <w:t xml:space="preserve"> </w:t>
      </w:r>
      <w:r w:rsidR="00F273AB">
        <w:rPr>
          <w:color w:val="000000"/>
          <w:sz w:val="22"/>
        </w:rPr>
        <w:t>The initiative was</w:t>
      </w:r>
      <w:r w:rsidR="00F273AB" w:rsidRPr="00F273AB">
        <w:rPr>
          <w:color w:val="000000"/>
          <w:sz w:val="22"/>
        </w:rPr>
        <w:t xml:space="preserve"> open to all </w:t>
      </w:r>
      <w:r w:rsidR="00F273AB">
        <w:rPr>
          <w:color w:val="000000"/>
          <w:sz w:val="22"/>
        </w:rPr>
        <w:t xml:space="preserve">DOE </w:t>
      </w:r>
      <w:r w:rsidR="00F273AB" w:rsidRPr="00F273AB">
        <w:rPr>
          <w:color w:val="000000"/>
          <w:sz w:val="22"/>
        </w:rPr>
        <w:t>federal and contractor staff, across headquarters, lab</w:t>
      </w:r>
      <w:r w:rsidR="00F273AB">
        <w:rPr>
          <w:color w:val="000000"/>
          <w:sz w:val="22"/>
        </w:rPr>
        <w:t>oratories</w:t>
      </w:r>
      <w:r w:rsidR="00F273AB" w:rsidRPr="00F273AB">
        <w:rPr>
          <w:color w:val="000000"/>
          <w:sz w:val="22"/>
        </w:rPr>
        <w:t xml:space="preserve">, </w:t>
      </w:r>
      <w:proofErr w:type="gramStart"/>
      <w:r w:rsidR="00F273AB" w:rsidRPr="00F273AB">
        <w:rPr>
          <w:color w:val="000000"/>
          <w:sz w:val="22"/>
        </w:rPr>
        <w:t>field</w:t>
      </w:r>
      <w:proofErr w:type="gramEnd"/>
      <w:r w:rsidR="00F273AB" w:rsidRPr="00F273AB">
        <w:rPr>
          <w:color w:val="000000"/>
          <w:sz w:val="22"/>
        </w:rPr>
        <w:t>, plant, program and staff offices.</w:t>
      </w:r>
      <w:r w:rsidR="00C3456B">
        <w:rPr>
          <w:color w:val="000000"/>
          <w:sz w:val="22"/>
        </w:rPr>
        <w:t xml:space="preserve"> </w:t>
      </w:r>
    </w:p>
    <w:p w:rsidR="00BE71BA" w:rsidRDefault="00F273AB" w:rsidP="00DA1C63">
      <w:pPr>
        <w:spacing w:before="240"/>
        <w:ind w:left="0" w:firstLine="0"/>
        <w:jc w:val="left"/>
        <w:rPr>
          <w:color w:val="000000"/>
          <w:sz w:val="22"/>
        </w:rPr>
      </w:pPr>
      <w:r>
        <w:rPr>
          <w:color w:val="000000"/>
          <w:sz w:val="22"/>
        </w:rPr>
        <w:t xml:space="preserve">The Crowdsourcing initiative </w:t>
      </w:r>
      <w:r w:rsidR="00EC3EE4" w:rsidRPr="00561D8B">
        <w:rPr>
          <w:color w:val="000000"/>
          <w:sz w:val="22"/>
        </w:rPr>
        <w:t>identified collaborative tools as a major opportunity for IT to support DOE’s mission.</w:t>
      </w:r>
      <w:r w:rsidR="00C3456B">
        <w:rPr>
          <w:color w:val="000000"/>
          <w:sz w:val="22"/>
        </w:rPr>
        <w:t xml:space="preserve"> </w:t>
      </w:r>
      <w:r w:rsidR="00EC3EE4" w:rsidRPr="00561D8B">
        <w:rPr>
          <w:color w:val="000000"/>
          <w:sz w:val="22"/>
        </w:rPr>
        <w:t>Several major collaboration initiatives ha</w:t>
      </w:r>
      <w:r w:rsidR="00BF1E5D">
        <w:rPr>
          <w:color w:val="000000"/>
          <w:sz w:val="22"/>
        </w:rPr>
        <w:t>ve</w:t>
      </w:r>
      <w:r w:rsidR="00EC3EE4" w:rsidRPr="00561D8B">
        <w:rPr>
          <w:color w:val="000000"/>
          <w:sz w:val="22"/>
        </w:rPr>
        <w:t xml:space="preserve"> been started and implemented</w:t>
      </w:r>
      <w:r w:rsidR="00BF1E5D">
        <w:rPr>
          <w:color w:val="000000"/>
          <w:sz w:val="22"/>
        </w:rPr>
        <w:t>.</w:t>
      </w:r>
      <w:r w:rsidR="00C3456B">
        <w:rPr>
          <w:color w:val="000000"/>
          <w:sz w:val="22"/>
        </w:rPr>
        <w:t xml:space="preserve"> </w:t>
      </w:r>
      <w:r w:rsidR="00BF1E5D">
        <w:rPr>
          <w:color w:val="000000"/>
          <w:sz w:val="22"/>
        </w:rPr>
        <w:t>A</w:t>
      </w:r>
      <w:r w:rsidR="007D6DC1">
        <w:rPr>
          <w:color w:val="000000"/>
          <w:sz w:val="22"/>
        </w:rPr>
        <w:t xml:space="preserve"> sampling is listed in </w:t>
      </w:r>
      <w:r w:rsidR="00245211">
        <w:rPr>
          <w:color w:val="000000"/>
          <w:sz w:val="22"/>
        </w:rPr>
        <w:t>T</w:t>
      </w:r>
      <w:r w:rsidR="00EC3EE4" w:rsidRPr="00561D8B">
        <w:rPr>
          <w:color w:val="000000"/>
          <w:sz w:val="22"/>
        </w:rPr>
        <w:t>able</w:t>
      </w:r>
      <w:r w:rsidR="00245211">
        <w:rPr>
          <w:color w:val="000000"/>
          <w:sz w:val="22"/>
        </w:rPr>
        <w:t xml:space="preserve"> </w:t>
      </w:r>
      <w:r w:rsidR="00BF1E5D">
        <w:rPr>
          <w:color w:val="000000"/>
          <w:sz w:val="22"/>
        </w:rPr>
        <w:t>3</w:t>
      </w:r>
      <w:r w:rsidR="00EC3EE4" w:rsidRPr="00561D8B">
        <w:rPr>
          <w:color w:val="000000"/>
          <w:sz w:val="22"/>
        </w:rPr>
        <w:t xml:space="preserve"> below.</w:t>
      </w:r>
      <w:r w:rsidR="00C3456B">
        <w:rPr>
          <w:color w:val="000000"/>
          <w:sz w:val="22"/>
        </w:rPr>
        <w:t xml:space="preserve"> </w:t>
      </w:r>
    </w:p>
    <w:p w:rsidR="00BE71BA" w:rsidRDefault="00BE71BA" w:rsidP="00BE71BA">
      <w:pPr>
        <w:pStyle w:val="Caption"/>
        <w:keepNext/>
        <w:jc w:val="center"/>
      </w:pPr>
      <w:r>
        <w:t xml:space="preserve">Table </w:t>
      </w:r>
      <w:fldSimple w:instr=" SEQ Table \* ARABIC ">
        <w:r w:rsidR="00C068AF">
          <w:rPr>
            <w:noProof/>
          </w:rPr>
          <w:t>3</w:t>
        </w:r>
      </w:fldSimple>
      <w:r>
        <w:t xml:space="preserve"> - </w:t>
      </w:r>
      <w:r w:rsidRPr="004D0F88">
        <w:t>Collaboration Tool Descriptions</w:t>
      </w:r>
    </w:p>
    <w:tbl>
      <w:tblPr>
        <w:tblW w:w="0" w:type="auto"/>
        <w:tblBorders>
          <w:top w:val="single" w:sz="8" w:space="0" w:color="4F81BD"/>
          <w:bottom w:val="single" w:sz="8" w:space="0" w:color="4F81BD"/>
        </w:tblBorders>
        <w:tblLook w:val="04A0"/>
      </w:tblPr>
      <w:tblGrid>
        <w:gridCol w:w="1805"/>
        <w:gridCol w:w="3755"/>
        <w:gridCol w:w="4016"/>
      </w:tblGrid>
      <w:tr w:rsidR="00C23409" w:rsidRPr="00561D8B" w:rsidTr="00C744DD">
        <w:trPr>
          <w:tblHeader/>
        </w:trPr>
        <w:tc>
          <w:tcPr>
            <w:tcW w:w="0" w:type="auto"/>
            <w:tcBorders>
              <w:top w:val="single" w:sz="8" w:space="0" w:color="4F81BD"/>
              <w:left w:val="nil"/>
              <w:bottom w:val="single" w:sz="8" w:space="0" w:color="4F81BD"/>
              <w:right w:val="nil"/>
            </w:tcBorders>
            <w:hideMark/>
          </w:tcPr>
          <w:p w:rsidR="00EC3EE4" w:rsidRPr="007D6DC1" w:rsidRDefault="00EC3EE4" w:rsidP="007D6DC1">
            <w:pPr>
              <w:ind w:left="0" w:firstLine="0"/>
              <w:jc w:val="center"/>
              <w:rPr>
                <w:rFonts w:eastAsia="Times New Roman"/>
                <w:b/>
                <w:bCs/>
                <w:color w:val="4F81BD"/>
                <w:sz w:val="16"/>
                <w:szCs w:val="16"/>
              </w:rPr>
            </w:pPr>
            <w:r w:rsidRPr="007D6DC1">
              <w:rPr>
                <w:rFonts w:eastAsia="Times New Roman"/>
                <w:b/>
                <w:bCs/>
                <w:color w:val="4F81BD"/>
                <w:sz w:val="16"/>
                <w:szCs w:val="16"/>
              </w:rPr>
              <w:t>Collaboration Tool</w:t>
            </w:r>
          </w:p>
        </w:tc>
        <w:tc>
          <w:tcPr>
            <w:tcW w:w="0" w:type="auto"/>
            <w:tcBorders>
              <w:top w:val="single" w:sz="8" w:space="0" w:color="4F81BD"/>
              <w:left w:val="nil"/>
              <w:bottom w:val="single" w:sz="8" w:space="0" w:color="4F81BD"/>
              <w:right w:val="nil"/>
            </w:tcBorders>
            <w:hideMark/>
          </w:tcPr>
          <w:p w:rsidR="00EC3EE4" w:rsidRPr="007D6DC1" w:rsidRDefault="00EC3EE4" w:rsidP="007D6DC1">
            <w:pPr>
              <w:ind w:left="67" w:hanging="67"/>
              <w:jc w:val="center"/>
              <w:rPr>
                <w:rFonts w:eastAsia="Times New Roman"/>
                <w:b/>
                <w:bCs/>
                <w:color w:val="365F91"/>
                <w:sz w:val="16"/>
                <w:szCs w:val="16"/>
              </w:rPr>
            </w:pPr>
            <w:r w:rsidRPr="007D6DC1">
              <w:rPr>
                <w:rFonts w:eastAsia="Times New Roman"/>
                <w:b/>
                <w:bCs/>
                <w:color w:val="365F91"/>
                <w:sz w:val="16"/>
                <w:szCs w:val="16"/>
              </w:rPr>
              <w:t>Description</w:t>
            </w:r>
          </w:p>
        </w:tc>
        <w:tc>
          <w:tcPr>
            <w:tcW w:w="0" w:type="auto"/>
            <w:tcBorders>
              <w:top w:val="single" w:sz="8" w:space="0" w:color="4F81BD"/>
              <w:left w:val="nil"/>
              <w:bottom w:val="single" w:sz="8" w:space="0" w:color="4F81BD"/>
              <w:right w:val="nil"/>
            </w:tcBorders>
            <w:hideMark/>
          </w:tcPr>
          <w:p w:rsidR="00EC3EE4" w:rsidRPr="007D6DC1" w:rsidRDefault="00EC3EE4" w:rsidP="007D6DC1">
            <w:pPr>
              <w:ind w:left="464" w:hanging="444"/>
              <w:jc w:val="center"/>
              <w:rPr>
                <w:rFonts w:eastAsia="Times New Roman"/>
                <w:b/>
                <w:bCs/>
                <w:color w:val="365F91"/>
                <w:sz w:val="16"/>
                <w:szCs w:val="16"/>
              </w:rPr>
            </w:pPr>
            <w:r w:rsidRPr="007D6DC1">
              <w:rPr>
                <w:rFonts w:eastAsia="Times New Roman"/>
                <w:b/>
                <w:bCs/>
                <w:color w:val="365F91"/>
                <w:sz w:val="16"/>
                <w:szCs w:val="16"/>
              </w:rPr>
              <w:t>Key Features/Uses</w:t>
            </w:r>
          </w:p>
        </w:tc>
      </w:tr>
      <w:tr w:rsidR="00C23409" w:rsidRPr="00561D8B" w:rsidTr="00C744DD">
        <w:tc>
          <w:tcPr>
            <w:tcW w:w="0" w:type="auto"/>
            <w:tcBorders>
              <w:left w:val="nil"/>
              <w:right w:val="nil"/>
            </w:tcBorders>
            <w:shd w:val="clear" w:color="auto" w:fill="D3DFEE"/>
            <w:hideMark/>
          </w:tcPr>
          <w:p w:rsidR="00EC3EE4" w:rsidRPr="004A1EF4" w:rsidRDefault="00D52312" w:rsidP="00DA1C63">
            <w:pPr>
              <w:ind w:left="0" w:firstLine="0"/>
              <w:jc w:val="left"/>
              <w:rPr>
                <w:rFonts w:eastAsia="Times New Roman"/>
                <w:b/>
                <w:bCs/>
                <w:color w:val="4F81BD"/>
                <w:sz w:val="18"/>
                <w:szCs w:val="16"/>
              </w:rPr>
            </w:pPr>
            <w:hyperlink r:id="rId35" w:tooltip="Powerpedia" w:history="1">
              <w:r w:rsidR="00EC3EE4" w:rsidRPr="004A1EF4">
                <w:rPr>
                  <w:b/>
                  <w:bCs/>
                  <w:color w:val="365F91"/>
                  <w:sz w:val="18"/>
                  <w:szCs w:val="18"/>
                </w:rPr>
                <w:t>Powerpedia</w:t>
              </w:r>
            </w:hyperlink>
            <w:r w:rsidR="00EC3EE4" w:rsidRPr="004A1EF4">
              <w:rPr>
                <w:b/>
                <w:bCs/>
                <w:color w:val="365F91"/>
                <w:sz w:val="18"/>
                <w:szCs w:val="18"/>
              </w:rPr>
              <w:t xml:space="preserve"> Wiki</w:t>
            </w:r>
            <w:r w:rsidR="00EC3EE4" w:rsidRPr="004A1EF4">
              <w:rPr>
                <w:rFonts w:eastAsia="Times New Roman"/>
                <w:b/>
                <w:bCs/>
                <w:color w:val="4F81BD"/>
                <w:sz w:val="18"/>
                <w:szCs w:val="16"/>
              </w:rPr>
              <w:t xml:space="preserve"> </w:t>
            </w:r>
          </w:p>
        </w:tc>
        <w:tc>
          <w:tcPr>
            <w:tcW w:w="0" w:type="auto"/>
            <w:tcBorders>
              <w:left w:val="nil"/>
              <w:right w:val="nil"/>
            </w:tcBorders>
            <w:shd w:val="clear" w:color="auto" w:fill="D3DFEE"/>
            <w:hideMark/>
          </w:tcPr>
          <w:p w:rsidR="00EC3EE4" w:rsidRPr="00021BC3" w:rsidRDefault="00EC3EE4" w:rsidP="00A930A2">
            <w:pPr>
              <w:ind w:left="-10" w:firstLine="10"/>
              <w:jc w:val="left"/>
              <w:rPr>
                <w:rFonts w:eastAsia="Times New Roman"/>
                <w:color w:val="365F91"/>
                <w:sz w:val="18"/>
                <w:szCs w:val="16"/>
              </w:rPr>
            </w:pPr>
            <w:r w:rsidRPr="00021BC3">
              <w:rPr>
                <w:rFonts w:eastAsia="Times New Roman"/>
                <w:color w:val="365F91"/>
                <w:sz w:val="18"/>
                <w:szCs w:val="16"/>
              </w:rPr>
              <w:t>DOE-wide wiki used as knowledge base across</w:t>
            </w:r>
            <w:r w:rsidR="00A930A2">
              <w:rPr>
                <w:rFonts w:eastAsia="Times New Roman"/>
                <w:color w:val="365F91"/>
                <w:sz w:val="18"/>
                <w:szCs w:val="16"/>
              </w:rPr>
              <w:t xml:space="preserve"> the entire DOE organization. The</w:t>
            </w:r>
            <w:r w:rsidRPr="00021BC3">
              <w:rPr>
                <w:rFonts w:eastAsia="Times New Roman"/>
                <w:color w:val="365F91"/>
                <w:sz w:val="18"/>
                <w:szCs w:val="16"/>
              </w:rPr>
              <w:t xml:space="preserve"> goal of the wiki is to be accessible by all DOE federal </w:t>
            </w:r>
            <w:r w:rsidR="00A00D7A" w:rsidRPr="00021BC3">
              <w:rPr>
                <w:rFonts w:eastAsia="Times New Roman"/>
                <w:color w:val="365F91"/>
                <w:sz w:val="18"/>
                <w:szCs w:val="16"/>
              </w:rPr>
              <w:t>employees</w:t>
            </w:r>
            <w:r w:rsidRPr="00021BC3">
              <w:rPr>
                <w:rFonts w:eastAsia="Times New Roman"/>
                <w:color w:val="365F91"/>
                <w:sz w:val="18"/>
                <w:szCs w:val="16"/>
              </w:rPr>
              <w:t xml:space="preserve">, supporting contractors, M&amp;Os, and </w:t>
            </w:r>
            <w:r w:rsidR="00A930A2">
              <w:rPr>
                <w:rFonts w:eastAsia="Times New Roman"/>
                <w:color w:val="365F91"/>
                <w:sz w:val="18"/>
                <w:szCs w:val="16"/>
              </w:rPr>
              <w:t>national laboratories</w:t>
            </w:r>
            <w:r w:rsidRPr="00021BC3">
              <w:rPr>
                <w:rFonts w:eastAsia="Times New Roman"/>
                <w:color w:val="365F91"/>
                <w:sz w:val="18"/>
                <w:szCs w:val="16"/>
              </w:rPr>
              <w:t>.</w:t>
            </w:r>
          </w:p>
        </w:tc>
        <w:tc>
          <w:tcPr>
            <w:tcW w:w="0" w:type="auto"/>
            <w:tcBorders>
              <w:left w:val="nil"/>
              <w:right w:val="nil"/>
            </w:tcBorders>
            <w:shd w:val="clear" w:color="auto" w:fill="D3DFEE"/>
            <w:hideMark/>
          </w:tcPr>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 xml:space="preserve">General knowledge base web site </w:t>
            </w:r>
          </w:p>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 xml:space="preserve">Shared authoring of content </w:t>
            </w:r>
          </w:p>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Consensus building</w:t>
            </w:r>
          </w:p>
        </w:tc>
      </w:tr>
      <w:tr w:rsidR="00C23409" w:rsidRPr="00561D8B" w:rsidTr="00C744DD">
        <w:tc>
          <w:tcPr>
            <w:tcW w:w="0" w:type="auto"/>
            <w:hideMark/>
          </w:tcPr>
          <w:p w:rsidR="00EC3EE4" w:rsidRPr="004A1EF4" w:rsidRDefault="00EC3EE4" w:rsidP="00DA1C63">
            <w:pPr>
              <w:ind w:left="0" w:firstLine="0"/>
              <w:jc w:val="left"/>
              <w:rPr>
                <w:b/>
                <w:bCs/>
                <w:color w:val="365F91"/>
                <w:sz w:val="18"/>
                <w:szCs w:val="18"/>
              </w:rPr>
            </w:pPr>
            <w:r w:rsidRPr="004A1EF4">
              <w:rPr>
                <w:b/>
                <w:bCs/>
                <w:color w:val="365F91"/>
                <w:sz w:val="18"/>
                <w:szCs w:val="18"/>
              </w:rPr>
              <w:t>DOE SharePoint Sites</w:t>
            </w:r>
          </w:p>
        </w:tc>
        <w:tc>
          <w:tcPr>
            <w:tcW w:w="0" w:type="auto"/>
            <w:hideMark/>
          </w:tcPr>
          <w:p w:rsidR="00EC3EE4" w:rsidRPr="00021BC3" w:rsidRDefault="00EC3EE4" w:rsidP="00021BC3">
            <w:pPr>
              <w:ind w:left="-10" w:firstLine="10"/>
              <w:jc w:val="left"/>
              <w:rPr>
                <w:rFonts w:eastAsia="Times New Roman"/>
                <w:color w:val="365F91"/>
                <w:sz w:val="18"/>
                <w:szCs w:val="16"/>
              </w:rPr>
            </w:pPr>
            <w:r w:rsidRPr="00021BC3">
              <w:rPr>
                <w:rFonts w:eastAsia="Times New Roman"/>
                <w:color w:val="365F91"/>
                <w:sz w:val="18"/>
                <w:szCs w:val="16"/>
              </w:rPr>
              <w:t>Collaboration platform geared for teams, projects, or organizations. "Sites" established and managed by the team or organization to share information.</w:t>
            </w:r>
          </w:p>
        </w:tc>
        <w:tc>
          <w:tcPr>
            <w:tcW w:w="0" w:type="auto"/>
            <w:hideMark/>
          </w:tcPr>
          <w:p w:rsidR="00EC3EE4" w:rsidRPr="00A930A2"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Collection of private we</w:t>
            </w:r>
            <w:r w:rsidR="00A930A2">
              <w:rPr>
                <w:rFonts w:eastAsia="Times New Roman"/>
                <w:color w:val="365F91"/>
                <w:sz w:val="18"/>
                <w:szCs w:val="16"/>
              </w:rPr>
              <w:t>b sites for team collaboration.</w:t>
            </w:r>
            <w:r w:rsidR="00C3456B">
              <w:rPr>
                <w:rFonts w:eastAsia="Times New Roman"/>
                <w:color w:val="365F91"/>
                <w:sz w:val="18"/>
                <w:szCs w:val="16"/>
              </w:rPr>
              <w:t xml:space="preserve"> </w:t>
            </w:r>
            <w:r w:rsidRPr="00A930A2">
              <w:rPr>
                <w:rFonts w:eastAsia="Times New Roman"/>
                <w:color w:val="365F91"/>
                <w:sz w:val="18"/>
                <w:szCs w:val="16"/>
              </w:rPr>
              <w:t>Out-of-the-box widgets to allow for custom sites to be designed with custom lists, tasks, events, announcements, meeting workspaces, libraries, etc.</w:t>
            </w:r>
            <w:r w:rsidR="00C3456B">
              <w:rPr>
                <w:rFonts w:eastAsia="Times New Roman"/>
                <w:color w:val="365F91"/>
                <w:sz w:val="18"/>
                <w:szCs w:val="16"/>
              </w:rPr>
              <w:t xml:space="preserve"> </w:t>
            </w:r>
          </w:p>
        </w:tc>
      </w:tr>
      <w:tr w:rsidR="00C23409" w:rsidRPr="00561D8B" w:rsidTr="00C744DD">
        <w:tc>
          <w:tcPr>
            <w:tcW w:w="0" w:type="auto"/>
            <w:tcBorders>
              <w:left w:val="nil"/>
              <w:right w:val="nil"/>
            </w:tcBorders>
            <w:shd w:val="clear" w:color="auto" w:fill="D3DFEE"/>
            <w:hideMark/>
          </w:tcPr>
          <w:p w:rsidR="00EC3EE4" w:rsidRPr="004A1EF4" w:rsidRDefault="00D52312" w:rsidP="00DA1C63">
            <w:pPr>
              <w:ind w:left="0" w:firstLine="0"/>
              <w:jc w:val="left"/>
              <w:rPr>
                <w:b/>
                <w:bCs/>
                <w:color w:val="365F91"/>
                <w:sz w:val="18"/>
                <w:szCs w:val="18"/>
              </w:rPr>
            </w:pPr>
            <w:hyperlink r:id="rId36" w:tooltip="Community Specific Wikis" w:history="1">
              <w:r w:rsidR="00EC3EE4" w:rsidRPr="004A1EF4">
                <w:rPr>
                  <w:b/>
                  <w:bCs/>
                  <w:color w:val="365F91"/>
                  <w:sz w:val="18"/>
                  <w:szCs w:val="18"/>
                </w:rPr>
                <w:t>Community Specific Wikis</w:t>
              </w:r>
            </w:hyperlink>
            <w:r w:rsidR="00EC3EE4" w:rsidRPr="004A1EF4">
              <w:rPr>
                <w:b/>
                <w:bCs/>
                <w:color w:val="365F91"/>
                <w:sz w:val="18"/>
                <w:szCs w:val="18"/>
              </w:rPr>
              <w:t>(</w:t>
            </w:r>
            <w:hyperlink r:id="rId37" w:tooltip="Inside.DOE" w:history="1">
              <w:r w:rsidR="00EC3EE4" w:rsidRPr="004A1EF4">
                <w:rPr>
                  <w:b/>
                  <w:bCs/>
                  <w:color w:val="365F91"/>
                  <w:sz w:val="18"/>
                  <w:szCs w:val="18"/>
                </w:rPr>
                <w:t>inside.DOE</w:t>
              </w:r>
            </w:hyperlink>
            <w:r w:rsidR="00EC3EE4" w:rsidRPr="004A1EF4">
              <w:rPr>
                <w:b/>
                <w:bCs/>
                <w:color w:val="365F91"/>
                <w:sz w:val="18"/>
                <w:szCs w:val="18"/>
              </w:rPr>
              <w:t xml:space="preserve">) </w:t>
            </w:r>
          </w:p>
        </w:tc>
        <w:tc>
          <w:tcPr>
            <w:tcW w:w="0" w:type="auto"/>
            <w:tcBorders>
              <w:left w:val="nil"/>
              <w:right w:val="nil"/>
            </w:tcBorders>
            <w:shd w:val="clear" w:color="auto" w:fill="D3DFEE"/>
            <w:hideMark/>
          </w:tcPr>
          <w:p w:rsidR="00EC3EE4" w:rsidRPr="00021BC3" w:rsidRDefault="00EC3EE4" w:rsidP="00C23409">
            <w:pPr>
              <w:ind w:left="-10" w:firstLine="10"/>
              <w:jc w:val="left"/>
              <w:rPr>
                <w:rFonts w:eastAsia="Times New Roman"/>
                <w:color w:val="365F91"/>
                <w:sz w:val="18"/>
                <w:szCs w:val="16"/>
              </w:rPr>
            </w:pPr>
            <w:r w:rsidRPr="00021BC3">
              <w:rPr>
                <w:rFonts w:eastAsia="Times New Roman"/>
                <w:color w:val="365F91"/>
                <w:sz w:val="18"/>
                <w:szCs w:val="16"/>
              </w:rPr>
              <w:t xml:space="preserve">Collection of wikis that have a specific community of interest or that have a need for some access restrictions (in contrast to Powerpedia). </w:t>
            </w:r>
          </w:p>
        </w:tc>
        <w:tc>
          <w:tcPr>
            <w:tcW w:w="0" w:type="auto"/>
            <w:tcBorders>
              <w:left w:val="nil"/>
              <w:right w:val="nil"/>
            </w:tcBorders>
            <w:shd w:val="clear" w:color="auto" w:fill="D3DFEE"/>
            <w:hideMark/>
          </w:tcPr>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 xml:space="preserve">Knowledge base for a specific community </w:t>
            </w:r>
          </w:p>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 xml:space="preserve">Shared authoring of content </w:t>
            </w:r>
          </w:p>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 xml:space="preserve">Consensus building </w:t>
            </w:r>
          </w:p>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Basic access restrictions available</w:t>
            </w:r>
            <w:r w:rsidR="00C3456B">
              <w:rPr>
                <w:rFonts w:eastAsia="Times New Roman"/>
                <w:color w:val="365F91"/>
                <w:sz w:val="18"/>
                <w:szCs w:val="16"/>
              </w:rPr>
              <w:t xml:space="preserve"> </w:t>
            </w:r>
          </w:p>
        </w:tc>
      </w:tr>
      <w:tr w:rsidR="00C23409" w:rsidRPr="00561D8B" w:rsidTr="00C744DD">
        <w:tc>
          <w:tcPr>
            <w:tcW w:w="0" w:type="auto"/>
            <w:hideMark/>
          </w:tcPr>
          <w:p w:rsidR="00EC3EE4" w:rsidRPr="004A1EF4" w:rsidRDefault="00EC3EE4" w:rsidP="00DA1C63">
            <w:pPr>
              <w:ind w:left="0" w:firstLine="0"/>
              <w:jc w:val="left"/>
              <w:rPr>
                <w:b/>
                <w:bCs/>
                <w:color w:val="365F91"/>
                <w:sz w:val="18"/>
                <w:szCs w:val="18"/>
              </w:rPr>
            </w:pPr>
            <w:r w:rsidRPr="004A1EF4">
              <w:rPr>
                <w:b/>
                <w:bCs/>
                <w:color w:val="365F91"/>
                <w:sz w:val="18"/>
                <w:szCs w:val="18"/>
              </w:rPr>
              <w:t>Community Web Sites / Blogs (</w:t>
            </w:r>
            <w:hyperlink r:id="rId38" w:tooltip="Inside.DOE" w:history="1">
              <w:r w:rsidRPr="004A1EF4">
                <w:rPr>
                  <w:b/>
                  <w:bCs/>
                  <w:color w:val="365F91"/>
                  <w:sz w:val="18"/>
                  <w:szCs w:val="18"/>
                </w:rPr>
                <w:t>inside.DOE</w:t>
              </w:r>
            </w:hyperlink>
            <w:r w:rsidRPr="004A1EF4">
              <w:rPr>
                <w:b/>
                <w:bCs/>
                <w:color w:val="365F91"/>
                <w:sz w:val="18"/>
                <w:szCs w:val="18"/>
              </w:rPr>
              <w:t xml:space="preserve">) </w:t>
            </w:r>
          </w:p>
        </w:tc>
        <w:tc>
          <w:tcPr>
            <w:tcW w:w="0" w:type="auto"/>
            <w:hideMark/>
          </w:tcPr>
          <w:p w:rsidR="00EC3EE4" w:rsidRPr="00021BC3" w:rsidRDefault="00A930A2" w:rsidP="00021BC3">
            <w:pPr>
              <w:ind w:left="-10" w:firstLine="10"/>
              <w:jc w:val="left"/>
              <w:rPr>
                <w:rFonts w:eastAsia="Times New Roman"/>
                <w:color w:val="365F91"/>
                <w:sz w:val="18"/>
                <w:szCs w:val="16"/>
              </w:rPr>
            </w:pPr>
            <w:r>
              <w:rPr>
                <w:rFonts w:eastAsia="Times New Roman"/>
                <w:color w:val="365F91"/>
                <w:sz w:val="18"/>
                <w:szCs w:val="16"/>
              </w:rPr>
              <w:t>Basic web sites with easy web-</w:t>
            </w:r>
            <w:r w:rsidR="00EC3EE4" w:rsidRPr="00021BC3">
              <w:rPr>
                <w:rFonts w:eastAsia="Times New Roman"/>
                <w:color w:val="365F91"/>
                <w:sz w:val="18"/>
                <w:szCs w:val="16"/>
              </w:rPr>
              <w:t>based interface for adding content to communicate mission, project status, awareness, news, etc.</w:t>
            </w:r>
            <w:r w:rsidR="00C3456B">
              <w:rPr>
                <w:rFonts w:eastAsia="Times New Roman"/>
                <w:color w:val="365F91"/>
                <w:sz w:val="18"/>
                <w:szCs w:val="16"/>
              </w:rPr>
              <w:t xml:space="preserve"> </w:t>
            </w:r>
            <w:r w:rsidR="00EC3EE4" w:rsidRPr="00021BC3">
              <w:rPr>
                <w:rFonts w:eastAsia="Times New Roman"/>
                <w:color w:val="365F91"/>
                <w:sz w:val="18"/>
                <w:szCs w:val="16"/>
              </w:rPr>
              <w:t xml:space="preserve">Provides mechanisms for readers or user community to subscribe to news and provide feedback. </w:t>
            </w:r>
          </w:p>
        </w:tc>
        <w:tc>
          <w:tcPr>
            <w:tcW w:w="0" w:type="auto"/>
            <w:hideMark/>
          </w:tcPr>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Intuitive web interface for easy self-authoring of content</w:t>
            </w:r>
          </w:p>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Feedback through user comments and rating of content</w:t>
            </w:r>
          </w:p>
        </w:tc>
      </w:tr>
      <w:tr w:rsidR="00C23409" w:rsidRPr="00561D8B" w:rsidTr="00C744DD">
        <w:tc>
          <w:tcPr>
            <w:tcW w:w="0" w:type="auto"/>
            <w:tcBorders>
              <w:left w:val="nil"/>
              <w:right w:val="nil"/>
            </w:tcBorders>
            <w:shd w:val="clear" w:color="auto" w:fill="D3DFEE"/>
            <w:hideMark/>
          </w:tcPr>
          <w:p w:rsidR="00EC3EE4" w:rsidRPr="004A1EF4" w:rsidRDefault="00EC3EE4" w:rsidP="00DA1C63">
            <w:pPr>
              <w:ind w:left="0" w:firstLine="0"/>
              <w:jc w:val="left"/>
              <w:rPr>
                <w:b/>
                <w:bCs/>
                <w:color w:val="365F91"/>
                <w:sz w:val="18"/>
                <w:szCs w:val="18"/>
              </w:rPr>
            </w:pPr>
            <w:r w:rsidRPr="004A1EF4">
              <w:rPr>
                <w:b/>
                <w:bCs/>
                <w:color w:val="365F91"/>
                <w:sz w:val="18"/>
                <w:szCs w:val="18"/>
              </w:rPr>
              <w:t xml:space="preserve">energy.gov </w:t>
            </w:r>
          </w:p>
        </w:tc>
        <w:tc>
          <w:tcPr>
            <w:tcW w:w="0" w:type="auto"/>
            <w:tcBorders>
              <w:left w:val="nil"/>
              <w:right w:val="nil"/>
            </w:tcBorders>
            <w:shd w:val="clear" w:color="auto" w:fill="D3DFEE"/>
            <w:hideMark/>
          </w:tcPr>
          <w:p w:rsidR="00EC3EE4" w:rsidRPr="00021BC3" w:rsidRDefault="00EC3EE4" w:rsidP="00C23409">
            <w:pPr>
              <w:ind w:left="-10" w:firstLine="10"/>
              <w:jc w:val="left"/>
              <w:rPr>
                <w:rFonts w:eastAsia="Times New Roman"/>
                <w:color w:val="365F91"/>
                <w:sz w:val="18"/>
                <w:szCs w:val="16"/>
              </w:rPr>
            </w:pPr>
            <w:r w:rsidRPr="00021BC3">
              <w:rPr>
                <w:rFonts w:eastAsia="Times New Roman"/>
                <w:color w:val="365F91"/>
                <w:sz w:val="18"/>
                <w:szCs w:val="16"/>
              </w:rPr>
              <w:t xml:space="preserve">The </w:t>
            </w:r>
            <w:hyperlink r:id="rId39" w:history="1">
              <w:r w:rsidRPr="00021BC3">
                <w:rPr>
                  <w:rFonts w:eastAsia="Times New Roman"/>
                  <w:i/>
                  <w:iCs/>
                  <w:color w:val="0000FF"/>
                  <w:sz w:val="18"/>
                  <w:szCs w:val="16"/>
                  <w:u w:val="single"/>
                </w:rPr>
                <w:t>energy.gov</w:t>
              </w:r>
            </w:hyperlink>
            <w:r w:rsidRPr="00021BC3">
              <w:rPr>
                <w:rFonts w:eastAsia="Times New Roman"/>
                <w:color w:val="365F91"/>
                <w:sz w:val="18"/>
                <w:szCs w:val="16"/>
              </w:rPr>
              <w:t xml:space="preserve"> web site is the primary internet presence of DOE. This site provides a vehicle for delivering news, events, </w:t>
            </w:r>
            <w:r w:rsidR="00C23409">
              <w:rPr>
                <w:rFonts w:eastAsia="Times New Roman"/>
                <w:color w:val="365F91"/>
                <w:sz w:val="18"/>
                <w:szCs w:val="16"/>
              </w:rPr>
              <w:t xml:space="preserve">and </w:t>
            </w:r>
            <w:r w:rsidRPr="00021BC3">
              <w:rPr>
                <w:rFonts w:eastAsia="Times New Roman"/>
                <w:color w:val="365F91"/>
                <w:sz w:val="18"/>
                <w:szCs w:val="16"/>
              </w:rPr>
              <w:t>mission</w:t>
            </w:r>
            <w:r w:rsidR="00C23409">
              <w:rPr>
                <w:rFonts w:eastAsia="Times New Roman"/>
                <w:color w:val="365F91"/>
                <w:sz w:val="18"/>
                <w:szCs w:val="16"/>
              </w:rPr>
              <w:t xml:space="preserve"> information to the public</w:t>
            </w:r>
            <w:r w:rsidRPr="00021BC3">
              <w:rPr>
                <w:rFonts w:eastAsia="Times New Roman"/>
                <w:color w:val="365F91"/>
                <w:sz w:val="18"/>
                <w:szCs w:val="16"/>
              </w:rPr>
              <w:t>. In the summer of 2010, energy.gov enabled a blog feature to enable readers to subscribe to the news feed.</w:t>
            </w:r>
          </w:p>
        </w:tc>
        <w:tc>
          <w:tcPr>
            <w:tcW w:w="0" w:type="auto"/>
            <w:tcBorders>
              <w:left w:val="nil"/>
              <w:right w:val="nil"/>
            </w:tcBorders>
            <w:shd w:val="clear" w:color="auto" w:fill="D3DFEE"/>
            <w:hideMark/>
          </w:tcPr>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 xml:space="preserve">Public site for information dissemination </w:t>
            </w:r>
          </w:p>
          <w:p w:rsidR="00EC3EE4" w:rsidRPr="00021BC3" w:rsidRDefault="00EC3EE4" w:rsidP="009E3804">
            <w:pPr>
              <w:numPr>
                <w:ilvl w:val="0"/>
                <w:numId w:val="28"/>
              </w:numPr>
              <w:ind w:left="465"/>
              <w:jc w:val="left"/>
              <w:rPr>
                <w:rFonts w:eastAsia="Times New Roman"/>
                <w:color w:val="365F91"/>
                <w:sz w:val="18"/>
                <w:szCs w:val="16"/>
              </w:rPr>
            </w:pPr>
            <w:r w:rsidRPr="00021BC3">
              <w:rPr>
                <w:rFonts w:eastAsia="Times New Roman"/>
                <w:color w:val="365F91"/>
                <w:sz w:val="18"/>
                <w:szCs w:val="16"/>
              </w:rPr>
              <w:t xml:space="preserve">RSS feed subscription to Energy articles </w:t>
            </w:r>
          </w:p>
        </w:tc>
      </w:tr>
      <w:tr w:rsidR="00C23409" w:rsidRPr="00561D8B" w:rsidTr="00C744DD">
        <w:trPr>
          <w:trHeight w:val="522"/>
        </w:trPr>
        <w:tc>
          <w:tcPr>
            <w:tcW w:w="0" w:type="auto"/>
            <w:hideMark/>
          </w:tcPr>
          <w:p w:rsidR="00EC3EE4" w:rsidRPr="00C3456B" w:rsidRDefault="00EC3EE4" w:rsidP="00DA1C63">
            <w:pPr>
              <w:ind w:left="0" w:firstLine="0"/>
              <w:jc w:val="left"/>
              <w:rPr>
                <w:b/>
                <w:bCs/>
                <w:color w:val="365F91"/>
                <w:sz w:val="18"/>
                <w:szCs w:val="18"/>
              </w:rPr>
            </w:pPr>
            <w:r w:rsidRPr="00C3456B">
              <w:rPr>
                <w:b/>
                <w:bCs/>
                <w:color w:val="365F91"/>
                <w:sz w:val="18"/>
                <w:szCs w:val="18"/>
              </w:rPr>
              <w:t xml:space="preserve">DOE Internal Web Sites </w:t>
            </w:r>
          </w:p>
        </w:tc>
        <w:tc>
          <w:tcPr>
            <w:tcW w:w="0" w:type="auto"/>
            <w:hideMark/>
          </w:tcPr>
          <w:p w:rsidR="00EC3EE4" w:rsidRPr="00021BC3" w:rsidRDefault="00EC3EE4" w:rsidP="00021BC3">
            <w:pPr>
              <w:ind w:left="-10" w:firstLine="10"/>
              <w:jc w:val="left"/>
              <w:rPr>
                <w:rFonts w:eastAsia="Times New Roman"/>
                <w:color w:val="365F91"/>
                <w:sz w:val="18"/>
                <w:szCs w:val="16"/>
              </w:rPr>
            </w:pPr>
            <w:r w:rsidRPr="00021BC3">
              <w:rPr>
                <w:rFonts w:eastAsia="Times New Roman"/>
                <w:color w:val="365F91"/>
                <w:sz w:val="18"/>
                <w:szCs w:val="16"/>
              </w:rPr>
              <w:t>Various program offices within DOE internal web sites.</w:t>
            </w:r>
          </w:p>
        </w:tc>
        <w:tc>
          <w:tcPr>
            <w:tcW w:w="0" w:type="auto"/>
            <w:hideMark/>
          </w:tcPr>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 xml:space="preserve">Internal site for information dissemination </w:t>
            </w:r>
          </w:p>
        </w:tc>
      </w:tr>
      <w:tr w:rsidR="00C23409" w:rsidRPr="00561D8B" w:rsidTr="00C744DD">
        <w:tc>
          <w:tcPr>
            <w:tcW w:w="0" w:type="auto"/>
            <w:tcBorders>
              <w:left w:val="nil"/>
              <w:right w:val="nil"/>
            </w:tcBorders>
            <w:shd w:val="clear" w:color="auto" w:fill="D3DFEE"/>
            <w:hideMark/>
          </w:tcPr>
          <w:p w:rsidR="00EC3EE4" w:rsidRPr="00C3456B" w:rsidRDefault="00EC3EE4" w:rsidP="00DA1C63">
            <w:pPr>
              <w:ind w:left="0" w:firstLine="0"/>
              <w:jc w:val="left"/>
              <w:rPr>
                <w:b/>
                <w:bCs/>
                <w:color w:val="365F91"/>
                <w:sz w:val="18"/>
                <w:szCs w:val="18"/>
              </w:rPr>
            </w:pPr>
            <w:r w:rsidRPr="00C3456B">
              <w:rPr>
                <w:b/>
                <w:bCs/>
                <w:color w:val="365F91"/>
                <w:sz w:val="18"/>
                <w:szCs w:val="18"/>
              </w:rPr>
              <w:t xml:space="preserve">Enterprise File Transfer </w:t>
            </w:r>
          </w:p>
        </w:tc>
        <w:tc>
          <w:tcPr>
            <w:tcW w:w="0" w:type="auto"/>
            <w:tcBorders>
              <w:left w:val="nil"/>
              <w:right w:val="nil"/>
            </w:tcBorders>
            <w:shd w:val="clear" w:color="auto" w:fill="D3DFEE"/>
            <w:hideMark/>
          </w:tcPr>
          <w:p w:rsidR="00EC3EE4" w:rsidRPr="00021BC3" w:rsidRDefault="00EC3EE4" w:rsidP="00021BC3">
            <w:pPr>
              <w:ind w:left="-10" w:firstLine="10"/>
              <w:jc w:val="left"/>
              <w:rPr>
                <w:rFonts w:eastAsia="Times New Roman"/>
                <w:color w:val="365F91"/>
                <w:sz w:val="18"/>
                <w:szCs w:val="16"/>
              </w:rPr>
            </w:pPr>
            <w:r w:rsidRPr="00021BC3">
              <w:rPr>
                <w:rFonts w:eastAsia="Times New Roman"/>
                <w:color w:val="365F91"/>
                <w:sz w:val="18"/>
                <w:szCs w:val="16"/>
              </w:rPr>
              <w:t xml:space="preserve">Web based file transfer and automated file processing application. </w:t>
            </w:r>
          </w:p>
        </w:tc>
        <w:tc>
          <w:tcPr>
            <w:tcW w:w="0" w:type="auto"/>
            <w:tcBorders>
              <w:left w:val="nil"/>
              <w:right w:val="nil"/>
            </w:tcBorders>
            <w:shd w:val="clear" w:color="auto" w:fill="D3DFEE"/>
            <w:hideMark/>
          </w:tcPr>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 xml:space="preserve">Secure file transfer </w:t>
            </w:r>
          </w:p>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 xml:space="preserve">Easy to use web-based interface </w:t>
            </w:r>
          </w:p>
          <w:p w:rsidR="00EC3EE4" w:rsidRPr="00021BC3" w:rsidRDefault="00EC3EE4" w:rsidP="009E3804">
            <w:pPr>
              <w:numPr>
                <w:ilvl w:val="0"/>
                <w:numId w:val="28"/>
              </w:numPr>
              <w:spacing w:before="100" w:beforeAutospacing="1" w:after="100" w:afterAutospacing="1"/>
              <w:ind w:left="465"/>
              <w:jc w:val="left"/>
              <w:rPr>
                <w:rFonts w:eastAsia="Times New Roman"/>
                <w:color w:val="365F91"/>
                <w:sz w:val="18"/>
                <w:szCs w:val="16"/>
              </w:rPr>
            </w:pPr>
            <w:r w:rsidRPr="00021BC3">
              <w:rPr>
                <w:rFonts w:eastAsia="Times New Roman"/>
                <w:color w:val="365F91"/>
                <w:sz w:val="18"/>
                <w:szCs w:val="16"/>
              </w:rPr>
              <w:t>Rules for automated account and file deletion</w:t>
            </w:r>
          </w:p>
        </w:tc>
      </w:tr>
      <w:tr w:rsidR="00C23409" w:rsidRPr="00561D8B" w:rsidTr="00C744DD">
        <w:tc>
          <w:tcPr>
            <w:tcW w:w="0" w:type="auto"/>
            <w:hideMark/>
          </w:tcPr>
          <w:p w:rsidR="00EC3EE4" w:rsidRPr="00C3456B" w:rsidRDefault="00EC3EE4" w:rsidP="00DA1C63">
            <w:pPr>
              <w:ind w:left="0" w:firstLine="0"/>
              <w:jc w:val="left"/>
              <w:rPr>
                <w:b/>
                <w:bCs/>
                <w:color w:val="365F91"/>
                <w:sz w:val="18"/>
                <w:szCs w:val="18"/>
              </w:rPr>
            </w:pPr>
            <w:r w:rsidRPr="00C3456B">
              <w:rPr>
                <w:b/>
                <w:bCs/>
                <w:color w:val="365F91"/>
                <w:sz w:val="18"/>
                <w:szCs w:val="18"/>
              </w:rPr>
              <w:t>iPortal</w:t>
            </w:r>
          </w:p>
        </w:tc>
        <w:tc>
          <w:tcPr>
            <w:tcW w:w="0" w:type="auto"/>
            <w:hideMark/>
          </w:tcPr>
          <w:p w:rsidR="00EC3EE4" w:rsidRPr="00021BC3" w:rsidRDefault="00EC3EE4" w:rsidP="00A930A2">
            <w:pPr>
              <w:ind w:left="-10" w:firstLine="10"/>
              <w:jc w:val="left"/>
              <w:rPr>
                <w:rFonts w:eastAsia="Times New Roman"/>
                <w:color w:val="365F91"/>
                <w:sz w:val="18"/>
                <w:szCs w:val="16"/>
              </w:rPr>
            </w:pPr>
            <w:r w:rsidRPr="00021BC3">
              <w:rPr>
                <w:color w:val="365F91"/>
                <w:sz w:val="18"/>
                <w:szCs w:val="16"/>
              </w:rPr>
              <w:t xml:space="preserve">Online resource for the latest in financial news, </w:t>
            </w:r>
            <w:r w:rsidR="00A930A2">
              <w:rPr>
                <w:color w:val="365F91"/>
                <w:sz w:val="18"/>
                <w:szCs w:val="16"/>
              </w:rPr>
              <w:t xml:space="preserve">Chief Financial Officer </w:t>
            </w:r>
            <w:r w:rsidRPr="00021BC3">
              <w:rPr>
                <w:color w:val="365F91"/>
                <w:sz w:val="18"/>
                <w:szCs w:val="16"/>
              </w:rPr>
              <w:t>reports and collaboration tools.</w:t>
            </w:r>
            <w:r w:rsidR="00C3456B">
              <w:rPr>
                <w:color w:val="365F91"/>
                <w:sz w:val="18"/>
                <w:szCs w:val="16"/>
              </w:rPr>
              <w:t xml:space="preserve"> </w:t>
            </w:r>
            <w:proofErr w:type="gramStart"/>
            <w:r w:rsidRPr="00021BC3">
              <w:rPr>
                <w:color w:val="365F91"/>
                <w:sz w:val="18"/>
                <w:szCs w:val="16"/>
              </w:rPr>
              <w:t>iPortal</w:t>
            </w:r>
            <w:proofErr w:type="gramEnd"/>
            <w:r w:rsidRPr="00021BC3">
              <w:rPr>
                <w:color w:val="365F91"/>
                <w:sz w:val="18"/>
                <w:szCs w:val="16"/>
              </w:rPr>
              <w:t xml:space="preserve"> provides a wealth of information and offers integrated business intelligence tools to support the DOE financial community.</w:t>
            </w:r>
          </w:p>
        </w:tc>
        <w:tc>
          <w:tcPr>
            <w:tcW w:w="0" w:type="auto"/>
            <w:hideMark/>
          </w:tcPr>
          <w:p w:rsidR="00EC3EE4" w:rsidRPr="00021BC3" w:rsidRDefault="00EC3EE4" w:rsidP="009E3804">
            <w:pPr>
              <w:pStyle w:val="ListParagraph"/>
              <w:numPr>
                <w:ilvl w:val="0"/>
                <w:numId w:val="23"/>
              </w:numPr>
              <w:ind w:left="389" w:hanging="274"/>
              <w:jc w:val="left"/>
              <w:rPr>
                <w:rFonts w:cs="Calibri"/>
                <w:color w:val="365F91"/>
                <w:sz w:val="18"/>
                <w:szCs w:val="16"/>
              </w:rPr>
            </w:pPr>
            <w:r w:rsidRPr="00021BC3">
              <w:rPr>
                <w:rFonts w:cs="Calibri"/>
                <w:color w:val="365F91"/>
                <w:sz w:val="18"/>
                <w:szCs w:val="16"/>
              </w:rPr>
              <w:t xml:space="preserve">iPortal is focused on achieving the </w:t>
            </w:r>
            <w:r w:rsidR="00A930A2">
              <w:rPr>
                <w:rFonts w:cs="Calibri"/>
                <w:color w:val="365F91"/>
                <w:sz w:val="18"/>
                <w:szCs w:val="16"/>
              </w:rPr>
              <w:t xml:space="preserve">following </w:t>
            </w:r>
            <w:proofErr w:type="spellStart"/>
            <w:r w:rsidRPr="00021BC3">
              <w:rPr>
                <w:rFonts w:cs="Calibri"/>
                <w:color w:val="365F91"/>
                <w:sz w:val="18"/>
                <w:szCs w:val="16"/>
              </w:rPr>
              <w:t>iManage</w:t>
            </w:r>
            <w:proofErr w:type="spellEnd"/>
            <w:r w:rsidRPr="00021BC3">
              <w:rPr>
                <w:rFonts w:cs="Calibri"/>
                <w:color w:val="365F91"/>
                <w:sz w:val="18"/>
                <w:szCs w:val="16"/>
              </w:rPr>
              <w:t xml:space="preserve"> Program Goals:</w:t>
            </w:r>
          </w:p>
          <w:p w:rsidR="00EC3EE4" w:rsidRPr="00021BC3" w:rsidRDefault="00EC3EE4" w:rsidP="009E3804">
            <w:pPr>
              <w:numPr>
                <w:ilvl w:val="1"/>
                <w:numId w:val="23"/>
              </w:numPr>
              <w:ind w:left="703" w:hanging="263"/>
              <w:jc w:val="left"/>
              <w:rPr>
                <w:rFonts w:eastAsia="Times New Roman"/>
                <w:color w:val="365F91"/>
                <w:sz w:val="18"/>
                <w:szCs w:val="16"/>
              </w:rPr>
            </w:pPr>
            <w:r w:rsidRPr="00021BC3">
              <w:rPr>
                <w:rFonts w:eastAsia="Times New Roman"/>
                <w:color w:val="365F91"/>
                <w:sz w:val="18"/>
                <w:szCs w:val="16"/>
              </w:rPr>
              <w:t>Connecting our People:</w:t>
            </w:r>
            <w:r w:rsidR="00C3456B">
              <w:rPr>
                <w:rFonts w:eastAsia="Times New Roman"/>
                <w:color w:val="365F91"/>
                <w:sz w:val="18"/>
                <w:szCs w:val="16"/>
              </w:rPr>
              <w:t xml:space="preserve"> </w:t>
            </w:r>
            <w:r w:rsidRPr="00021BC3">
              <w:rPr>
                <w:rFonts w:eastAsia="Times New Roman"/>
                <w:color w:val="365F91"/>
                <w:sz w:val="18"/>
                <w:szCs w:val="16"/>
              </w:rPr>
              <w:t>Connects the DOE community by enabling members to stay informed, share best practices and build relationships.</w:t>
            </w:r>
          </w:p>
          <w:p w:rsidR="00EC3EE4" w:rsidRPr="00021BC3" w:rsidRDefault="00EC3EE4" w:rsidP="009E3804">
            <w:pPr>
              <w:numPr>
                <w:ilvl w:val="1"/>
                <w:numId w:val="23"/>
              </w:numPr>
              <w:ind w:left="703" w:hanging="263"/>
              <w:jc w:val="left"/>
              <w:rPr>
                <w:rFonts w:eastAsia="Times New Roman"/>
                <w:color w:val="365F91"/>
                <w:sz w:val="18"/>
                <w:szCs w:val="16"/>
              </w:rPr>
            </w:pPr>
            <w:r w:rsidRPr="00021BC3">
              <w:rPr>
                <w:rFonts w:eastAsia="Times New Roman"/>
                <w:color w:val="365F91"/>
                <w:sz w:val="18"/>
                <w:szCs w:val="16"/>
              </w:rPr>
              <w:t>Simplifying our Work:</w:t>
            </w:r>
            <w:r w:rsidR="00C3456B">
              <w:rPr>
                <w:rFonts w:eastAsia="Times New Roman"/>
                <w:color w:val="365F91"/>
                <w:sz w:val="18"/>
                <w:szCs w:val="16"/>
              </w:rPr>
              <w:t xml:space="preserve"> </w:t>
            </w:r>
            <w:r w:rsidRPr="00021BC3">
              <w:rPr>
                <w:rFonts w:eastAsia="Times New Roman"/>
                <w:color w:val="365F91"/>
                <w:sz w:val="18"/>
                <w:szCs w:val="16"/>
              </w:rPr>
              <w:t xml:space="preserve">Centralizes links to </w:t>
            </w:r>
            <w:proofErr w:type="spellStart"/>
            <w:r w:rsidRPr="00021BC3">
              <w:rPr>
                <w:rFonts w:eastAsia="Times New Roman"/>
                <w:color w:val="365F91"/>
                <w:sz w:val="18"/>
                <w:szCs w:val="16"/>
              </w:rPr>
              <w:t>iManage</w:t>
            </w:r>
            <w:proofErr w:type="spellEnd"/>
            <w:r w:rsidRPr="00021BC3">
              <w:rPr>
                <w:rFonts w:eastAsia="Times New Roman"/>
                <w:color w:val="365F91"/>
                <w:sz w:val="18"/>
                <w:szCs w:val="16"/>
              </w:rPr>
              <w:t xml:space="preserve"> systems and resources to help the DOE community work more efficiently.</w:t>
            </w:r>
          </w:p>
          <w:p w:rsidR="00EC3EE4" w:rsidRPr="00021BC3" w:rsidRDefault="00EC3EE4" w:rsidP="009E3804">
            <w:pPr>
              <w:numPr>
                <w:ilvl w:val="1"/>
                <w:numId w:val="23"/>
              </w:numPr>
              <w:ind w:left="703" w:hanging="263"/>
              <w:jc w:val="left"/>
              <w:rPr>
                <w:rFonts w:eastAsia="Times New Roman"/>
                <w:color w:val="365F91"/>
                <w:sz w:val="18"/>
                <w:szCs w:val="16"/>
              </w:rPr>
            </w:pPr>
            <w:r w:rsidRPr="00021BC3">
              <w:rPr>
                <w:rFonts w:eastAsia="Times New Roman"/>
                <w:color w:val="365F91"/>
                <w:sz w:val="18"/>
                <w:szCs w:val="16"/>
              </w:rPr>
              <w:t>Liberating our Data:</w:t>
            </w:r>
            <w:r w:rsidR="00C3456B">
              <w:rPr>
                <w:rFonts w:eastAsia="Times New Roman"/>
                <w:color w:val="365F91"/>
                <w:sz w:val="18"/>
                <w:szCs w:val="16"/>
              </w:rPr>
              <w:t xml:space="preserve"> </w:t>
            </w:r>
            <w:r w:rsidRPr="00021BC3">
              <w:rPr>
                <w:rFonts w:eastAsia="Times New Roman"/>
                <w:color w:val="365F91"/>
                <w:sz w:val="18"/>
                <w:szCs w:val="16"/>
              </w:rPr>
              <w:t>Enables the DOE community to perform analysis and gain greater insight into financial data for decision support.</w:t>
            </w:r>
          </w:p>
        </w:tc>
      </w:tr>
      <w:tr w:rsidR="00C23409" w:rsidRPr="00561D8B" w:rsidTr="00C744DD">
        <w:tc>
          <w:tcPr>
            <w:tcW w:w="0" w:type="auto"/>
            <w:tcBorders>
              <w:left w:val="nil"/>
              <w:right w:val="nil"/>
            </w:tcBorders>
            <w:shd w:val="clear" w:color="auto" w:fill="D3DFEE"/>
            <w:hideMark/>
          </w:tcPr>
          <w:p w:rsidR="00EC3EE4" w:rsidRPr="00C3456B" w:rsidRDefault="00EC3EE4" w:rsidP="00DA1C63">
            <w:pPr>
              <w:ind w:left="0" w:firstLine="0"/>
              <w:jc w:val="left"/>
              <w:rPr>
                <w:b/>
                <w:bCs/>
                <w:color w:val="365F91"/>
                <w:sz w:val="18"/>
                <w:szCs w:val="18"/>
              </w:rPr>
            </w:pPr>
            <w:r w:rsidRPr="00C3456B">
              <w:rPr>
                <w:b/>
                <w:bCs/>
                <w:color w:val="365F91"/>
                <w:sz w:val="18"/>
                <w:szCs w:val="18"/>
              </w:rPr>
              <w:t>Google Docs</w:t>
            </w:r>
          </w:p>
        </w:tc>
        <w:tc>
          <w:tcPr>
            <w:tcW w:w="0" w:type="auto"/>
            <w:tcBorders>
              <w:left w:val="nil"/>
              <w:right w:val="nil"/>
            </w:tcBorders>
            <w:shd w:val="clear" w:color="auto" w:fill="D3DFEE"/>
            <w:hideMark/>
          </w:tcPr>
          <w:p w:rsidR="00EC3EE4" w:rsidRPr="00021BC3" w:rsidRDefault="00EC3EE4" w:rsidP="00021BC3">
            <w:pPr>
              <w:ind w:left="-10" w:firstLine="10"/>
              <w:jc w:val="left"/>
              <w:rPr>
                <w:color w:val="365F91"/>
                <w:sz w:val="18"/>
                <w:szCs w:val="16"/>
              </w:rPr>
            </w:pPr>
            <w:r w:rsidRPr="00021BC3">
              <w:rPr>
                <w:color w:val="365F91"/>
                <w:sz w:val="18"/>
                <w:szCs w:val="16"/>
              </w:rPr>
              <w:t>Web-based word processor, spreadsheet, presentation, form, and data storage service offered by Google.</w:t>
            </w:r>
          </w:p>
        </w:tc>
        <w:tc>
          <w:tcPr>
            <w:tcW w:w="0" w:type="auto"/>
            <w:tcBorders>
              <w:left w:val="nil"/>
              <w:right w:val="nil"/>
            </w:tcBorders>
            <w:shd w:val="clear" w:color="auto" w:fill="D3DFEE"/>
            <w:hideMark/>
          </w:tcPr>
          <w:p w:rsidR="00EC3EE4" w:rsidRPr="00021BC3" w:rsidRDefault="00EC3EE4" w:rsidP="009E3804">
            <w:pPr>
              <w:pStyle w:val="ListParagraph"/>
              <w:numPr>
                <w:ilvl w:val="0"/>
                <w:numId w:val="21"/>
              </w:numPr>
              <w:ind w:left="389" w:hanging="274"/>
              <w:jc w:val="left"/>
              <w:rPr>
                <w:rFonts w:cs="Calibri"/>
                <w:color w:val="365F91"/>
                <w:sz w:val="18"/>
                <w:szCs w:val="16"/>
              </w:rPr>
            </w:pPr>
            <w:r w:rsidRPr="00021BC3">
              <w:rPr>
                <w:rFonts w:cs="Calibri"/>
                <w:color w:val="365F91"/>
                <w:sz w:val="18"/>
                <w:szCs w:val="16"/>
              </w:rPr>
              <w:t>It allows users to create and edit documents online while collaborating in real-time with other users.</w:t>
            </w:r>
          </w:p>
        </w:tc>
      </w:tr>
      <w:tr w:rsidR="00C23409" w:rsidRPr="00561D8B" w:rsidTr="00C744DD">
        <w:tc>
          <w:tcPr>
            <w:tcW w:w="0" w:type="auto"/>
            <w:hideMark/>
          </w:tcPr>
          <w:p w:rsidR="00EC3EE4" w:rsidRPr="00C3456B" w:rsidRDefault="00EC3EE4" w:rsidP="00DA1C63">
            <w:pPr>
              <w:ind w:left="0" w:firstLine="0"/>
              <w:jc w:val="left"/>
              <w:rPr>
                <w:b/>
                <w:bCs/>
                <w:color w:val="365F91"/>
                <w:sz w:val="18"/>
                <w:szCs w:val="18"/>
              </w:rPr>
            </w:pPr>
            <w:r w:rsidRPr="00C3456B">
              <w:rPr>
                <w:b/>
                <w:bCs/>
                <w:color w:val="365F91"/>
                <w:sz w:val="18"/>
                <w:szCs w:val="18"/>
              </w:rPr>
              <w:t>Social Networking</w:t>
            </w:r>
          </w:p>
        </w:tc>
        <w:tc>
          <w:tcPr>
            <w:tcW w:w="0" w:type="auto"/>
            <w:hideMark/>
          </w:tcPr>
          <w:p w:rsidR="00EC3EE4" w:rsidRPr="00021BC3" w:rsidRDefault="00EC3EE4" w:rsidP="00021BC3">
            <w:pPr>
              <w:ind w:left="-10" w:firstLine="10"/>
              <w:jc w:val="left"/>
              <w:rPr>
                <w:color w:val="365F91"/>
                <w:sz w:val="18"/>
                <w:szCs w:val="16"/>
              </w:rPr>
            </w:pPr>
            <w:r w:rsidRPr="00021BC3">
              <w:rPr>
                <w:color w:val="365F91"/>
                <w:sz w:val="18"/>
                <w:szCs w:val="16"/>
              </w:rPr>
              <w:t xml:space="preserve">Determine DOE use of </w:t>
            </w:r>
            <w:proofErr w:type="spellStart"/>
            <w:r w:rsidRPr="00021BC3">
              <w:rPr>
                <w:color w:val="365F91"/>
                <w:sz w:val="18"/>
                <w:szCs w:val="16"/>
              </w:rPr>
              <w:t>Facebook</w:t>
            </w:r>
            <w:proofErr w:type="spellEnd"/>
            <w:r w:rsidRPr="00021BC3">
              <w:rPr>
                <w:color w:val="365F91"/>
                <w:sz w:val="18"/>
                <w:szCs w:val="16"/>
              </w:rPr>
              <w:t xml:space="preserve">, YouTube, Twitter, </w:t>
            </w:r>
            <w:proofErr w:type="spellStart"/>
            <w:r w:rsidRPr="00021BC3">
              <w:rPr>
                <w:color w:val="365F91"/>
                <w:sz w:val="18"/>
                <w:szCs w:val="16"/>
              </w:rPr>
              <w:t>Flickr</w:t>
            </w:r>
            <w:proofErr w:type="spellEnd"/>
            <w:r w:rsidRPr="00021BC3">
              <w:rPr>
                <w:color w:val="365F91"/>
                <w:sz w:val="18"/>
                <w:szCs w:val="16"/>
              </w:rPr>
              <w:t xml:space="preserve">, </w:t>
            </w:r>
            <w:proofErr w:type="spellStart"/>
            <w:r w:rsidRPr="00021BC3">
              <w:rPr>
                <w:color w:val="365F91"/>
                <w:sz w:val="18"/>
                <w:szCs w:val="16"/>
              </w:rPr>
              <w:t>Vimeo</w:t>
            </w:r>
            <w:proofErr w:type="spellEnd"/>
            <w:r w:rsidRPr="00021BC3">
              <w:rPr>
                <w:color w:val="365F91"/>
                <w:sz w:val="18"/>
                <w:szCs w:val="16"/>
              </w:rPr>
              <w:t xml:space="preserve"> and Second Life</w:t>
            </w:r>
          </w:p>
        </w:tc>
        <w:tc>
          <w:tcPr>
            <w:tcW w:w="0" w:type="auto"/>
            <w:hideMark/>
          </w:tcPr>
          <w:p w:rsidR="00EC3EE4" w:rsidRPr="00021BC3" w:rsidRDefault="00EC3EE4" w:rsidP="009E3804">
            <w:pPr>
              <w:pStyle w:val="ListParagraph"/>
              <w:numPr>
                <w:ilvl w:val="0"/>
                <w:numId w:val="21"/>
              </w:numPr>
              <w:ind w:left="389" w:hanging="274"/>
              <w:jc w:val="left"/>
              <w:rPr>
                <w:rFonts w:cs="Calibri"/>
                <w:color w:val="365F91"/>
                <w:sz w:val="18"/>
                <w:szCs w:val="16"/>
              </w:rPr>
            </w:pPr>
            <w:r w:rsidRPr="00021BC3">
              <w:rPr>
                <w:rFonts w:cs="Calibri"/>
                <w:color w:val="365F91"/>
                <w:sz w:val="18"/>
                <w:szCs w:val="16"/>
              </w:rPr>
              <w:t>Increase cross-collaboration among DOE community</w:t>
            </w:r>
          </w:p>
        </w:tc>
      </w:tr>
    </w:tbl>
    <w:p w:rsidR="00F273AB" w:rsidRPr="00F273AB" w:rsidRDefault="00F929E8" w:rsidP="00F273AB">
      <w:pPr>
        <w:pStyle w:val="Heading3"/>
        <w:spacing w:before="120" w:after="120"/>
        <w:ind w:left="547" w:firstLine="0"/>
        <w:jc w:val="left"/>
        <w:rPr>
          <w:rFonts w:ascii="Calibri" w:hAnsi="Calibri" w:cs="Calibri"/>
          <w:color w:val="548DD4"/>
          <w:sz w:val="24"/>
        </w:rPr>
      </w:pPr>
      <w:r>
        <w:rPr>
          <w:rFonts w:ascii="Calibri" w:hAnsi="Calibri" w:cs="Calibri"/>
          <w:noProof/>
          <w:color w:val="548DD4"/>
          <w:sz w:val="24"/>
        </w:rPr>
        <w:drawing>
          <wp:anchor distT="0" distB="0" distL="114300" distR="114300" simplePos="0" relativeHeight="251768832" behindDoc="0" locked="0" layoutInCell="1" allowOverlap="1">
            <wp:simplePos x="0" y="0"/>
            <wp:positionH relativeFrom="margin">
              <wp:posOffset>4248150</wp:posOffset>
            </wp:positionH>
            <wp:positionV relativeFrom="margin">
              <wp:posOffset>3857625</wp:posOffset>
            </wp:positionV>
            <wp:extent cx="2276475" cy="4962525"/>
            <wp:effectExtent l="19050" t="0" r="9525" b="0"/>
            <wp:wrapSquare wrapText="bothSides"/>
            <wp:docPr id="2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srcRect/>
                    <a:stretch>
                      <a:fillRect/>
                    </a:stretch>
                  </pic:blipFill>
                  <pic:spPr bwMode="auto">
                    <a:xfrm>
                      <a:off x="0" y="0"/>
                      <a:ext cx="2276475" cy="4962525"/>
                    </a:xfrm>
                    <a:prstGeom prst="rect">
                      <a:avLst/>
                    </a:prstGeom>
                    <a:noFill/>
                    <a:ln w="9525">
                      <a:noFill/>
                      <a:miter lim="800000"/>
                      <a:headEnd/>
                      <a:tailEnd/>
                    </a:ln>
                  </pic:spPr>
                </pic:pic>
              </a:graphicData>
            </a:graphic>
          </wp:anchor>
        </w:drawing>
      </w:r>
    </w:p>
    <w:p w:rsidR="00AE14BC" w:rsidRPr="00C23409" w:rsidRDefault="00AE14BC" w:rsidP="009E3804">
      <w:pPr>
        <w:pStyle w:val="Heading3"/>
        <w:numPr>
          <w:ilvl w:val="2"/>
          <w:numId w:val="14"/>
        </w:numPr>
        <w:spacing w:before="120" w:after="120"/>
        <w:ind w:left="810" w:hanging="810"/>
        <w:jc w:val="left"/>
        <w:rPr>
          <w:rFonts w:asciiTheme="majorHAnsi" w:hAnsiTheme="majorHAnsi" w:cs="Calibri"/>
          <w:color w:val="365F91"/>
          <w:sz w:val="28"/>
        </w:rPr>
      </w:pPr>
      <w:bookmarkStart w:id="532" w:name="_Toc286753664"/>
      <w:r w:rsidRPr="00C23409">
        <w:rPr>
          <w:rFonts w:asciiTheme="majorHAnsi" w:hAnsiTheme="majorHAnsi" w:cs="Calibri"/>
          <w:color w:val="365F91"/>
          <w:sz w:val="28"/>
        </w:rPr>
        <w:t>Modernizing Infrastructure</w:t>
      </w:r>
      <w:bookmarkEnd w:id="530"/>
      <w:bookmarkEnd w:id="531"/>
      <w:bookmarkEnd w:id="532"/>
      <w:r w:rsidRPr="00C23409">
        <w:rPr>
          <w:rFonts w:asciiTheme="majorHAnsi" w:hAnsiTheme="majorHAnsi" w:cs="Calibri"/>
          <w:color w:val="365F91"/>
          <w:sz w:val="28"/>
        </w:rPr>
        <w:t xml:space="preserve"> </w:t>
      </w:r>
    </w:p>
    <w:p w:rsidR="00AE14BC" w:rsidRPr="00561D8B" w:rsidRDefault="00E8700F" w:rsidP="00DA1C63">
      <w:pPr>
        <w:autoSpaceDE w:val="0"/>
        <w:autoSpaceDN w:val="0"/>
        <w:adjustRightInd w:val="0"/>
        <w:ind w:left="0" w:firstLine="0"/>
        <w:jc w:val="left"/>
        <w:rPr>
          <w:sz w:val="22"/>
          <w:szCs w:val="24"/>
        </w:rPr>
      </w:pPr>
      <w:r w:rsidRPr="00561D8B">
        <w:rPr>
          <w:sz w:val="22"/>
          <w:szCs w:val="24"/>
        </w:rPr>
        <w:t xml:space="preserve">Modernizing DOE’s IT infrastructure is fundamental to the </w:t>
      </w:r>
      <w:r w:rsidR="001A483E">
        <w:rPr>
          <w:sz w:val="22"/>
          <w:szCs w:val="24"/>
        </w:rPr>
        <w:t>DOE</w:t>
      </w:r>
      <w:r w:rsidRPr="00561D8B">
        <w:rPr>
          <w:sz w:val="22"/>
          <w:szCs w:val="24"/>
        </w:rPr>
        <w:t>’s resear</w:t>
      </w:r>
      <w:r w:rsidR="001A483E">
        <w:rPr>
          <w:sz w:val="22"/>
          <w:szCs w:val="24"/>
        </w:rPr>
        <w:t>ch mission and operations. The Department</w:t>
      </w:r>
      <w:r w:rsidRPr="00561D8B">
        <w:rPr>
          <w:sz w:val="22"/>
          <w:szCs w:val="24"/>
        </w:rPr>
        <w:t xml:space="preserve"> is proceeding with IT Infrastructure modernization across the agency based on </w:t>
      </w:r>
      <w:r w:rsidR="00561D8B" w:rsidRPr="00561D8B">
        <w:rPr>
          <w:sz w:val="22"/>
          <w:szCs w:val="24"/>
        </w:rPr>
        <w:t>its</w:t>
      </w:r>
      <w:r w:rsidRPr="00561D8B">
        <w:rPr>
          <w:sz w:val="22"/>
          <w:szCs w:val="24"/>
        </w:rPr>
        <w:t xml:space="preserve"> mission, vision, and strategic plan.</w:t>
      </w:r>
      <w:r w:rsidR="00C3456B">
        <w:rPr>
          <w:sz w:val="22"/>
          <w:szCs w:val="24"/>
        </w:rPr>
        <w:t xml:space="preserve"> </w:t>
      </w:r>
      <w:r w:rsidRPr="00561D8B">
        <w:rPr>
          <w:sz w:val="22"/>
          <w:szCs w:val="24"/>
        </w:rPr>
        <w:t xml:space="preserve">It is through this enhancement of the </w:t>
      </w:r>
      <w:r w:rsidR="001A483E">
        <w:rPr>
          <w:sz w:val="22"/>
          <w:szCs w:val="24"/>
        </w:rPr>
        <w:t>DOE IT Infrastructure that the Department</w:t>
      </w:r>
      <w:r w:rsidRPr="00561D8B">
        <w:rPr>
          <w:sz w:val="22"/>
          <w:szCs w:val="24"/>
        </w:rPr>
        <w:t xml:space="preserve"> will be better able to fulfill its highly varied strategic missions</w:t>
      </w:r>
      <w:r w:rsidR="00AE14BC" w:rsidRPr="00561D8B">
        <w:rPr>
          <w:sz w:val="22"/>
          <w:szCs w:val="24"/>
        </w:rPr>
        <w:t>.</w:t>
      </w:r>
    </w:p>
    <w:p w:rsidR="00AE14BC" w:rsidRPr="00561D8B" w:rsidRDefault="00AE14BC" w:rsidP="009E3804">
      <w:pPr>
        <w:pStyle w:val="ListParagraph"/>
        <w:numPr>
          <w:ilvl w:val="0"/>
          <w:numId w:val="8"/>
        </w:numPr>
        <w:spacing w:line="480" w:lineRule="auto"/>
        <w:jc w:val="left"/>
        <w:rPr>
          <w:rFonts w:cs="Calibri"/>
          <w:b/>
          <w:vanish/>
          <w:color w:val="000000"/>
          <w:sz w:val="28"/>
        </w:rPr>
      </w:pPr>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bookmarkStart w:id="533" w:name="_Toc285534214"/>
      <w:bookmarkStart w:id="534" w:name="_Toc285548193"/>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0"/>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1"/>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1"/>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2"/>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2"/>
          <w:numId w:val="5"/>
        </w:numPr>
        <w:spacing w:before="240" w:after="60"/>
        <w:contextualSpacing w:val="0"/>
        <w:jc w:val="left"/>
        <w:outlineLvl w:val="3"/>
        <w:rPr>
          <w:rFonts w:cs="Calibri"/>
          <w:b/>
          <w:bCs/>
          <w:vanish/>
          <w:sz w:val="28"/>
          <w:szCs w:val="28"/>
        </w:rPr>
      </w:pPr>
    </w:p>
    <w:p w:rsidR="001535C3" w:rsidRPr="00561D8B" w:rsidRDefault="001535C3" w:rsidP="009E3804">
      <w:pPr>
        <w:pStyle w:val="ListParagraph"/>
        <w:keepNext/>
        <w:numPr>
          <w:ilvl w:val="2"/>
          <w:numId w:val="5"/>
        </w:numPr>
        <w:spacing w:before="240" w:after="60"/>
        <w:contextualSpacing w:val="0"/>
        <w:jc w:val="left"/>
        <w:outlineLvl w:val="3"/>
        <w:rPr>
          <w:rFonts w:cs="Calibri"/>
          <w:b/>
          <w:bCs/>
          <w:vanish/>
          <w:sz w:val="28"/>
          <w:szCs w:val="28"/>
        </w:rPr>
      </w:pPr>
    </w:p>
    <w:bookmarkEnd w:id="533"/>
    <w:bookmarkEnd w:id="534"/>
    <w:p w:rsidR="00B04E93" w:rsidRPr="003D7AAC" w:rsidRDefault="00B04E93" w:rsidP="009E3804">
      <w:pPr>
        <w:pStyle w:val="Heading4"/>
        <w:numPr>
          <w:ilvl w:val="3"/>
          <w:numId w:val="14"/>
        </w:numPr>
        <w:spacing w:before="120" w:after="120"/>
        <w:ind w:left="1080" w:hanging="1080"/>
        <w:jc w:val="left"/>
        <w:rPr>
          <w:rFonts w:asciiTheme="majorHAnsi" w:hAnsiTheme="majorHAnsi" w:cs="Calibri"/>
          <w:color w:val="365F91"/>
        </w:rPr>
      </w:pPr>
      <w:r w:rsidRPr="003D7AAC">
        <w:rPr>
          <w:rFonts w:asciiTheme="majorHAnsi" w:hAnsiTheme="majorHAnsi" w:cs="Calibri"/>
          <w:color w:val="365F91"/>
        </w:rPr>
        <w:t xml:space="preserve">Data Center Consolidation </w:t>
      </w:r>
    </w:p>
    <w:p w:rsidR="00F273AB" w:rsidRPr="00C23409" w:rsidRDefault="00F273AB" w:rsidP="00F273AB">
      <w:pPr>
        <w:ind w:left="0" w:firstLine="0"/>
        <w:rPr>
          <w:color w:val="000000"/>
          <w:sz w:val="22"/>
          <w:szCs w:val="22"/>
        </w:rPr>
      </w:pPr>
      <w:r w:rsidRPr="00C23409">
        <w:rPr>
          <w:sz w:val="22"/>
          <w:szCs w:val="22"/>
        </w:rPr>
        <w:t>DOE has made tremendous strides in developing a comprehensive green IT approach that unifies its efforts to implement energy efficiency best practices in its data center infrastructure and operations.</w:t>
      </w:r>
      <w:r w:rsidR="00C3456B" w:rsidRPr="00C23409">
        <w:rPr>
          <w:sz w:val="22"/>
          <w:szCs w:val="22"/>
        </w:rPr>
        <w:t xml:space="preserve"> </w:t>
      </w:r>
      <w:r w:rsidRPr="00C23409">
        <w:rPr>
          <w:sz w:val="22"/>
          <w:szCs w:val="22"/>
        </w:rPr>
        <w:t xml:space="preserve">Two of the main drivers are </w:t>
      </w:r>
      <w:r w:rsidRPr="00C23409">
        <w:rPr>
          <w:color w:val="000000"/>
          <w:sz w:val="22"/>
          <w:szCs w:val="22"/>
        </w:rPr>
        <w:t>Executive Order (EO) 13514 and Presidential memorandum, Real Property Savings Initiative (RPSI).</w:t>
      </w:r>
    </w:p>
    <w:p w:rsidR="008E66E8" w:rsidRPr="00C23409" w:rsidRDefault="00F273AB" w:rsidP="009E3804">
      <w:pPr>
        <w:pStyle w:val="ListParagraph"/>
        <w:numPr>
          <w:ilvl w:val="0"/>
          <w:numId w:val="31"/>
        </w:numPr>
        <w:autoSpaceDE w:val="0"/>
        <w:autoSpaceDN w:val="0"/>
        <w:adjustRightInd w:val="0"/>
        <w:spacing w:after="240"/>
        <w:ind w:left="360"/>
        <w:jc w:val="left"/>
        <w:rPr>
          <w:color w:val="000000"/>
          <w:sz w:val="22"/>
          <w:szCs w:val="22"/>
        </w:rPr>
      </w:pPr>
      <w:r w:rsidRPr="00C23409">
        <w:rPr>
          <w:color w:val="000000"/>
          <w:sz w:val="22"/>
          <w:szCs w:val="22"/>
        </w:rPr>
        <w:t>EO 13514 enacts electronic stewardship goals that focus on improving energy efficiency of IT systems, enacting environmentally sound disposal practices for IT systems, the consolidation and reduction of data centers, and implementing improvements in the energy use at data centers.</w:t>
      </w:r>
      <w:r w:rsidR="00C3456B" w:rsidRPr="00C23409">
        <w:rPr>
          <w:color w:val="000000"/>
          <w:sz w:val="22"/>
          <w:szCs w:val="22"/>
        </w:rPr>
        <w:t xml:space="preserve"> </w:t>
      </w:r>
      <w:r w:rsidRPr="00C23409">
        <w:rPr>
          <w:color w:val="000000"/>
          <w:sz w:val="22"/>
          <w:szCs w:val="22"/>
        </w:rPr>
        <w:t xml:space="preserve"> </w:t>
      </w:r>
    </w:p>
    <w:p w:rsidR="008E66E8" w:rsidRPr="00C23409" w:rsidRDefault="008E66E8" w:rsidP="009E3804">
      <w:pPr>
        <w:pStyle w:val="ListParagraph"/>
        <w:numPr>
          <w:ilvl w:val="0"/>
          <w:numId w:val="31"/>
        </w:numPr>
        <w:autoSpaceDE w:val="0"/>
        <w:autoSpaceDN w:val="0"/>
        <w:adjustRightInd w:val="0"/>
        <w:spacing w:after="240"/>
        <w:ind w:left="360"/>
        <w:jc w:val="left"/>
        <w:rPr>
          <w:color w:val="000000"/>
          <w:sz w:val="22"/>
          <w:szCs w:val="22"/>
        </w:rPr>
      </w:pPr>
      <w:r w:rsidRPr="00C23409">
        <w:rPr>
          <w:color w:val="000000"/>
          <w:sz w:val="22"/>
          <w:szCs w:val="22"/>
        </w:rPr>
        <w:t xml:space="preserve">Under RPSI, civilian agencies were directed to reduce real property costs by consolidating space and utilizing remaining space more efficiency, specifically calling for a significant reduction in data centers within 5 years. The requirements and objectives from this Executive directive resulted in the Federal Data Center Consolidation Initiative (FDCCI), driving Federal agencies to reduce and consolidate IT servers and data centers. </w:t>
      </w:r>
    </w:p>
    <w:p w:rsidR="00F273AB" w:rsidRDefault="00AE14BC" w:rsidP="0033737D">
      <w:pPr>
        <w:ind w:left="0" w:firstLine="0"/>
        <w:jc w:val="left"/>
        <w:rPr>
          <w:color w:val="000000"/>
          <w:sz w:val="22"/>
          <w:szCs w:val="22"/>
        </w:rPr>
      </w:pPr>
      <w:r w:rsidRPr="00561D8B">
        <w:rPr>
          <w:color w:val="000000"/>
          <w:sz w:val="22"/>
          <w:szCs w:val="22"/>
        </w:rPr>
        <w:t>These drivers and their supporting programs all contain common goals that center on IT system performance improvement, data center cooling and power improvement, and optimizing the delivery of IT services.</w:t>
      </w:r>
      <w:r w:rsidR="00C3456B">
        <w:rPr>
          <w:color w:val="000000"/>
          <w:sz w:val="22"/>
          <w:szCs w:val="22"/>
        </w:rPr>
        <w:t xml:space="preserve"> </w:t>
      </w:r>
    </w:p>
    <w:p w:rsidR="00F273AB" w:rsidRDefault="00F273AB" w:rsidP="0033737D">
      <w:pPr>
        <w:ind w:left="0" w:firstLine="0"/>
        <w:jc w:val="left"/>
        <w:rPr>
          <w:color w:val="000000"/>
          <w:sz w:val="22"/>
          <w:szCs w:val="22"/>
        </w:rPr>
      </w:pPr>
    </w:p>
    <w:p w:rsidR="00275834" w:rsidRDefault="00561D8B" w:rsidP="0033737D">
      <w:pPr>
        <w:ind w:left="0" w:firstLine="0"/>
        <w:jc w:val="left"/>
        <w:rPr>
          <w:sz w:val="22"/>
          <w:szCs w:val="22"/>
        </w:rPr>
      </w:pPr>
      <w:r w:rsidRPr="00561D8B">
        <w:rPr>
          <w:color w:val="000000"/>
          <w:sz w:val="22"/>
          <w:szCs w:val="22"/>
        </w:rPr>
        <w:t>DOE Common Operating Environment (</w:t>
      </w:r>
      <w:r w:rsidR="00275834" w:rsidRPr="00561D8B">
        <w:rPr>
          <w:sz w:val="22"/>
          <w:szCs w:val="22"/>
        </w:rPr>
        <w:t>DOECOE</w:t>
      </w:r>
      <w:r w:rsidRPr="00561D8B">
        <w:rPr>
          <w:sz w:val="22"/>
          <w:szCs w:val="22"/>
        </w:rPr>
        <w:t>)</w:t>
      </w:r>
      <w:r w:rsidR="00275834" w:rsidRPr="00561D8B">
        <w:rPr>
          <w:sz w:val="22"/>
          <w:szCs w:val="22"/>
        </w:rPr>
        <w:t xml:space="preserve"> is serviced from two regional data centers, one located in Germantown MD, (ESC-East) and one in Albuquerque, NM (ESC-West). Over the last two years these data centers have implemented a virtualization program aimed at removing old, legacy IT systems from inventory and installing high-performance systems capable of supporting current and projected DOECOE requirements. As a result of this program, these data centers were able to </w:t>
      </w:r>
      <w:proofErr w:type="spellStart"/>
      <w:r w:rsidR="00275834" w:rsidRPr="00561D8B">
        <w:rPr>
          <w:sz w:val="22"/>
          <w:szCs w:val="22"/>
        </w:rPr>
        <w:t>virtualize</w:t>
      </w:r>
      <w:proofErr w:type="spellEnd"/>
      <w:r w:rsidR="00275834" w:rsidRPr="00561D8B">
        <w:rPr>
          <w:sz w:val="22"/>
          <w:szCs w:val="22"/>
        </w:rPr>
        <w:t xml:space="preserve"> 318 physical servers onto 30 physical servers removing 126 kW of power from the data centers and achieving about 120 Tons per year in CO2 avoidance.</w:t>
      </w:r>
      <w:r w:rsidR="00C3456B">
        <w:rPr>
          <w:sz w:val="22"/>
          <w:szCs w:val="22"/>
        </w:rPr>
        <w:t xml:space="preserve"> </w:t>
      </w:r>
      <w:r w:rsidR="00CD1529">
        <w:rPr>
          <w:sz w:val="22"/>
          <w:szCs w:val="22"/>
        </w:rPr>
        <w:t>Table 4 below summarizes the progress made so far in the Plan.</w:t>
      </w:r>
    </w:p>
    <w:p w:rsidR="00F273AB" w:rsidRDefault="00F273AB" w:rsidP="00F273AB">
      <w:pPr>
        <w:ind w:left="0" w:firstLine="0"/>
        <w:rPr>
          <w:sz w:val="22"/>
          <w:szCs w:val="22"/>
        </w:rPr>
      </w:pPr>
    </w:p>
    <w:p w:rsidR="00790772" w:rsidRDefault="00790772" w:rsidP="00F273AB">
      <w:pPr>
        <w:pStyle w:val="Caption"/>
        <w:keepNext/>
        <w:ind w:left="0" w:firstLine="0"/>
        <w:jc w:val="center"/>
      </w:pPr>
      <w:r>
        <w:t xml:space="preserve">Table </w:t>
      </w:r>
      <w:fldSimple w:instr=" SEQ Table \* ARABIC ">
        <w:r w:rsidR="00C068AF">
          <w:rPr>
            <w:noProof/>
          </w:rPr>
          <w:t>4</w:t>
        </w:r>
      </w:fldSimple>
      <w:r>
        <w:t xml:space="preserve"> -</w:t>
      </w:r>
      <w:r w:rsidR="00C3456B">
        <w:t xml:space="preserve"> </w:t>
      </w:r>
      <w:r>
        <w:t>DOE Progress on the Data Consolidation Plan</w:t>
      </w:r>
    </w:p>
    <w:tbl>
      <w:tblPr>
        <w:tblW w:w="9648" w:type="dxa"/>
        <w:tblBorders>
          <w:top w:val="single" w:sz="8" w:space="0" w:color="4F81BD"/>
          <w:bottom w:val="single" w:sz="8" w:space="0" w:color="4F81BD"/>
        </w:tblBorders>
        <w:tblLook w:val="04A0"/>
      </w:tblPr>
      <w:tblGrid>
        <w:gridCol w:w="4968"/>
        <w:gridCol w:w="1800"/>
        <w:gridCol w:w="2880"/>
      </w:tblGrid>
      <w:tr w:rsidR="00D02165" w:rsidRPr="008A5B15" w:rsidTr="00F273AB">
        <w:tc>
          <w:tcPr>
            <w:tcW w:w="4968" w:type="dxa"/>
            <w:tcBorders>
              <w:top w:val="single" w:sz="8" w:space="0" w:color="4F81BD"/>
              <w:left w:val="nil"/>
              <w:bottom w:val="single" w:sz="8" w:space="0" w:color="4F81BD"/>
              <w:right w:val="nil"/>
            </w:tcBorders>
          </w:tcPr>
          <w:p w:rsidR="00CD1529" w:rsidRPr="00CC41BD" w:rsidRDefault="008A5B15" w:rsidP="00CC41BD">
            <w:pPr>
              <w:ind w:left="0" w:firstLine="0"/>
              <w:jc w:val="left"/>
              <w:rPr>
                <w:rFonts w:eastAsia="Times New Roman"/>
                <w:b/>
                <w:bCs/>
                <w:color w:val="365F91"/>
                <w:sz w:val="18"/>
                <w:szCs w:val="18"/>
              </w:rPr>
            </w:pPr>
            <w:r w:rsidRPr="00CC41BD">
              <w:rPr>
                <w:rFonts w:eastAsia="Times New Roman"/>
                <w:b/>
                <w:bCs/>
                <w:color w:val="365F91"/>
                <w:sz w:val="18"/>
                <w:szCs w:val="18"/>
              </w:rPr>
              <w:t>Office/Organization</w:t>
            </w:r>
          </w:p>
        </w:tc>
        <w:tc>
          <w:tcPr>
            <w:tcW w:w="1800" w:type="dxa"/>
            <w:tcBorders>
              <w:top w:val="single" w:sz="8" w:space="0" w:color="4F81BD"/>
              <w:left w:val="nil"/>
              <w:bottom w:val="single" w:sz="8" w:space="0" w:color="4F81BD"/>
              <w:right w:val="nil"/>
            </w:tcBorders>
          </w:tcPr>
          <w:p w:rsidR="00CD1529" w:rsidRPr="00CC41BD" w:rsidRDefault="008A5B15" w:rsidP="00CC41BD">
            <w:pPr>
              <w:ind w:left="0" w:firstLine="0"/>
              <w:jc w:val="center"/>
              <w:rPr>
                <w:rFonts w:eastAsia="Times New Roman"/>
                <w:b/>
                <w:bCs/>
                <w:color w:val="365F91"/>
                <w:sz w:val="18"/>
                <w:szCs w:val="18"/>
              </w:rPr>
            </w:pPr>
            <w:r w:rsidRPr="00CC41BD">
              <w:rPr>
                <w:rFonts w:eastAsia="Times New Roman"/>
                <w:b/>
                <w:bCs/>
                <w:color w:val="365F91"/>
                <w:sz w:val="18"/>
                <w:szCs w:val="18"/>
              </w:rPr>
              <w:t>Pre-Consolidation</w:t>
            </w:r>
          </w:p>
        </w:tc>
        <w:tc>
          <w:tcPr>
            <w:tcW w:w="2880" w:type="dxa"/>
            <w:tcBorders>
              <w:top w:val="single" w:sz="8" w:space="0" w:color="4F81BD"/>
              <w:left w:val="nil"/>
              <w:bottom w:val="single" w:sz="8" w:space="0" w:color="4F81BD"/>
              <w:right w:val="nil"/>
            </w:tcBorders>
          </w:tcPr>
          <w:p w:rsidR="00CD1529" w:rsidRPr="00CC41BD" w:rsidRDefault="008A5B15" w:rsidP="00CC41BD">
            <w:pPr>
              <w:ind w:left="0" w:firstLine="0"/>
              <w:jc w:val="center"/>
              <w:rPr>
                <w:rFonts w:eastAsia="Times New Roman"/>
                <w:b/>
                <w:bCs/>
                <w:color w:val="365F91"/>
                <w:sz w:val="18"/>
                <w:szCs w:val="18"/>
              </w:rPr>
            </w:pPr>
            <w:r w:rsidRPr="00CC41BD">
              <w:rPr>
                <w:rFonts w:eastAsia="Times New Roman"/>
                <w:b/>
                <w:bCs/>
                <w:color w:val="365F91"/>
                <w:sz w:val="18"/>
                <w:szCs w:val="18"/>
              </w:rPr>
              <w:t>Post-Consolidation</w:t>
            </w:r>
          </w:p>
        </w:tc>
      </w:tr>
      <w:tr w:rsidR="00D02165" w:rsidRPr="008A5B15" w:rsidTr="00F273AB">
        <w:tc>
          <w:tcPr>
            <w:tcW w:w="4968" w:type="dxa"/>
            <w:tcBorders>
              <w:left w:val="nil"/>
              <w:right w:val="nil"/>
            </w:tcBorders>
            <w:shd w:val="clear" w:color="auto" w:fill="D3DFEE"/>
          </w:tcPr>
          <w:p w:rsidR="00CD1529"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Office of Science – Rack Count</w:t>
            </w:r>
          </w:p>
        </w:tc>
        <w:tc>
          <w:tcPr>
            <w:tcW w:w="1800" w:type="dxa"/>
            <w:tcBorders>
              <w:left w:val="nil"/>
              <w:right w:val="nil"/>
            </w:tcBorders>
            <w:shd w:val="clear" w:color="auto" w:fill="D3DFEE"/>
          </w:tcPr>
          <w:p w:rsidR="00CD1529" w:rsidRPr="00CC41BD" w:rsidRDefault="00C70437" w:rsidP="00CC41BD">
            <w:pPr>
              <w:ind w:left="0" w:firstLine="0"/>
              <w:jc w:val="center"/>
              <w:rPr>
                <w:rFonts w:eastAsia="Times New Roman"/>
                <w:color w:val="365F91"/>
                <w:sz w:val="18"/>
                <w:szCs w:val="18"/>
              </w:rPr>
            </w:pPr>
            <w:r w:rsidRPr="00CC41BD">
              <w:rPr>
                <w:rFonts w:eastAsia="Times New Roman"/>
                <w:color w:val="365F91"/>
                <w:sz w:val="18"/>
                <w:szCs w:val="18"/>
              </w:rPr>
              <w:t>14</w:t>
            </w:r>
          </w:p>
        </w:tc>
        <w:tc>
          <w:tcPr>
            <w:tcW w:w="2880" w:type="dxa"/>
            <w:tcBorders>
              <w:left w:val="nil"/>
              <w:right w:val="nil"/>
            </w:tcBorders>
            <w:shd w:val="clear" w:color="auto" w:fill="D3DFEE"/>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5</w:t>
            </w:r>
          </w:p>
        </w:tc>
      </w:tr>
      <w:tr w:rsidR="00D02165" w:rsidRPr="008A5B15" w:rsidTr="00F273AB">
        <w:tc>
          <w:tcPr>
            <w:tcW w:w="4968" w:type="dxa"/>
          </w:tcPr>
          <w:p w:rsidR="00CD1529"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Office of Science - Servers</w:t>
            </w:r>
          </w:p>
        </w:tc>
        <w:tc>
          <w:tcPr>
            <w:tcW w:w="1800" w:type="dxa"/>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64</w:t>
            </w:r>
          </w:p>
        </w:tc>
        <w:tc>
          <w:tcPr>
            <w:tcW w:w="2880" w:type="dxa"/>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18</w:t>
            </w:r>
          </w:p>
        </w:tc>
      </w:tr>
      <w:tr w:rsidR="00D02165" w:rsidRPr="008A5B15" w:rsidTr="00F273AB">
        <w:tc>
          <w:tcPr>
            <w:tcW w:w="4968" w:type="dxa"/>
            <w:tcBorders>
              <w:left w:val="nil"/>
              <w:right w:val="nil"/>
            </w:tcBorders>
            <w:shd w:val="clear" w:color="auto" w:fill="D3DFEE"/>
          </w:tcPr>
          <w:p w:rsidR="00CD1529"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Office of Civilian Radioactive Waste Management – Rack Count</w:t>
            </w:r>
          </w:p>
        </w:tc>
        <w:tc>
          <w:tcPr>
            <w:tcW w:w="1800" w:type="dxa"/>
            <w:tcBorders>
              <w:left w:val="nil"/>
              <w:right w:val="nil"/>
            </w:tcBorders>
            <w:shd w:val="clear" w:color="auto" w:fill="D3DFEE"/>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120</w:t>
            </w:r>
          </w:p>
        </w:tc>
        <w:tc>
          <w:tcPr>
            <w:tcW w:w="2880" w:type="dxa"/>
            <w:tcBorders>
              <w:left w:val="nil"/>
              <w:right w:val="nil"/>
            </w:tcBorders>
            <w:shd w:val="clear" w:color="auto" w:fill="D3DFEE"/>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21</w:t>
            </w:r>
          </w:p>
        </w:tc>
      </w:tr>
      <w:tr w:rsidR="00D02165" w:rsidRPr="008A5B15" w:rsidTr="00F273AB">
        <w:tc>
          <w:tcPr>
            <w:tcW w:w="4968" w:type="dxa"/>
          </w:tcPr>
          <w:p w:rsidR="00CD1529"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Office of Civilian Radioactive Waste Management – Servers</w:t>
            </w:r>
          </w:p>
        </w:tc>
        <w:tc>
          <w:tcPr>
            <w:tcW w:w="1800" w:type="dxa"/>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437</w:t>
            </w:r>
          </w:p>
        </w:tc>
        <w:tc>
          <w:tcPr>
            <w:tcW w:w="2880" w:type="dxa"/>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16</w:t>
            </w:r>
          </w:p>
        </w:tc>
      </w:tr>
      <w:tr w:rsidR="00D02165" w:rsidRPr="008A5B15" w:rsidTr="00F273AB">
        <w:tc>
          <w:tcPr>
            <w:tcW w:w="4968" w:type="dxa"/>
            <w:tcBorders>
              <w:left w:val="nil"/>
              <w:right w:val="nil"/>
            </w:tcBorders>
            <w:shd w:val="clear" w:color="auto" w:fill="D3DFEE"/>
          </w:tcPr>
          <w:p w:rsidR="00CD1529"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National Nuclear Security Administration – Rack Count</w:t>
            </w:r>
          </w:p>
        </w:tc>
        <w:tc>
          <w:tcPr>
            <w:tcW w:w="1800" w:type="dxa"/>
            <w:tcBorders>
              <w:left w:val="nil"/>
              <w:right w:val="nil"/>
            </w:tcBorders>
            <w:shd w:val="clear" w:color="auto" w:fill="D3DFEE"/>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8</w:t>
            </w:r>
          </w:p>
        </w:tc>
        <w:tc>
          <w:tcPr>
            <w:tcW w:w="2880" w:type="dxa"/>
            <w:tcBorders>
              <w:left w:val="nil"/>
              <w:right w:val="nil"/>
            </w:tcBorders>
            <w:shd w:val="clear" w:color="auto" w:fill="D3DFEE"/>
          </w:tcPr>
          <w:p w:rsidR="00CD1529"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3</w:t>
            </w:r>
          </w:p>
        </w:tc>
      </w:tr>
      <w:tr w:rsidR="00D02165" w:rsidRPr="008A5B15" w:rsidTr="00F273AB">
        <w:tc>
          <w:tcPr>
            <w:tcW w:w="4968" w:type="dxa"/>
          </w:tcPr>
          <w:p w:rsidR="008A5B15" w:rsidRPr="00C3456B" w:rsidRDefault="008A5B15" w:rsidP="00CC41BD">
            <w:pPr>
              <w:ind w:left="0" w:firstLine="0"/>
              <w:jc w:val="left"/>
              <w:rPr>
                <w:rFonts w:eastAsia="Times New Roman"/>
                <w:b/>
                <w:bCs/>
                <w:color w:val="365F91"/>
                <w:sz w:val="18"/>
                <w:szCs w:val="18"/>
              </w:rPr>
            </w:pPr>
            <w:r w:rsidRPr="00C3456B">
              <w:rPr>
                <w:rFonts w:eastAsia="Times New Roman"/>
                <w:b/>
                <w:bCs/>
                <w:color w:val="365F91"/>
                <w:sz w:val="18"/>
                <w:szCs w:val="18"/>
              </w:rPr>
              <w:t>National Nuclear Security Administration - Servers</w:t>
            </w:r>
          </w:p>
        </w:tc>
        <w:tc>
          <w:tcPr>
            <w:tcW w:w="1800" w:type="dxa"/>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43</w:t>
            </w:r>
          </w:p>
        </w:tc>
        <w:tc>
          <w:tcPr>
            <w:tcW w:w="2880" w:type="dxa"/>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3</w:t>
            </w:r>
          </w:p>
        </w:tc>
      </w:tr>
      <w:tr w:rsidR="008A5B15" w:rsidRPr="008A5B15" w:rsidTr="00F273AB">
        <w:tc>
          <w:tcPr>
            <w:tcW w:w="4968" w:type="dxa"/>
            <w:tcBorders>
              <w:left w:val="nil"/>
              <w:right w:val="nil"/>
            </w:tcBorders>
            <w:shd w:val="clear" w:color="auto" w:fill="D3DFEE"/>
          </w:tcPr>
          <w:p w:rsidR="008A5B15" w:rsidRPr="00C3456B" w:rsidRDefault="00D02165" w:rsidP="00CC41BD">
            <w:pPr>
              <w:ind w:left="0" w:firstLine="0"/>
              <w:jc w:val="left"/>
              <w:rPr>
                <w:rFonts w:eastAsia="Times New Roman"/>
                <w:b/>
                <w:bCs/>
                <w:color w:val="365F91"/>
                <w:sz w:val="18"/>
                <w:szCs w:val="18"/>
              </w:rPr>
            </w:pPr>
            <w:r w:rsidRPr="00C3456B">
              <w:rPr>
                <w:rFonts w:eastAsia="Times New Roman"/>
                <w:b/>
                <w:bCs/>
                <w:color w:val="365F91"/>
                <w:sz w:val="18"/>
                <w:szCs w:val="18"/>
              </w:rPr>
              <w:t xml:space="preserve">Office of Environmental Management - </w:t>
            </w:r>
            <w:r w:rsidR="00C70437" w:rsidRPr="00C3456B">
              <w:rPr>
                <w:rFonts w:eastAsia="Times New Roman"/>
                <w:b/>
                <w:bCs/>
                <w:color w:val="365F91"/>
                <w:sz w:val="18"/>
                <w:szCs w:val="18"/>
              </w:rPr>
              <w:t>Servers</w:t>
            </w:r>
          </w:p>
        </w:tc>
        <w:tc>
          <w:tcPr>
            <w:tcW w:w="1800" w:type="dxa"/>
            <w:tcBorders>
              <w:left w:val="nil"/>
              <w:right w:val="nil"/>
            </w:tcBorders>
            <w:shd w:val="clear" w:color="auto" w:fill="D3DFEE"/>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700</w:t>
            </w:r>
          </w:p>
        </w:tc>
        <w:tc>
          <w:tcPr>
            <w:tcW w:w="2880" w:type="dxa"/>
            <w:tcBorders>
              <w:left w:val="nil"/>
              <w:right w:val="nil"/>
            </w:tcBorders>
            <w:shd w:val="clear" w:color="auto" w:fill="D3DFEE"/>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80</w:t>
            </w:r>
          </w:p>
        </w:tc>
      </w:tr>
      <w:tr w:rsidR="00D02165" w:rsidRPr="008A5B15" w:rsidTr="00F273AB">
        <w:tc>
          <w:tcPr>
            <w:tcW w:w="4968" w:type="dxa"/>
          </w:tcPr>
          <w:p w:rsidR="008A5B15" w:rsidRPr="00C3456B" w:rsidRDefault="00C70437" w:rsidP="00CC41BD">
            <w:pPr>
              <w:ind w:left="0" w:firstLine="0"/>
              <w:jc w:val="left"/>
              <w:rPr>
                <w:rFonts w:eastAsia="Times New Roman"/>
                <w:b/>
                <w:bCs/>
                <w:color w:val="365F91"/>
                <w:sz w:val="18"/>
                <w:szCs w:val="18"/>
              </w:rPr>
            </w:pPr>
            <w:r w:rsidRPr="00C3456B">
              <w:rPr>
                <w:rFonts w:eastAsia="Times New Roman"/>
                <w:b/>
                <w:bCs/>
                <w:color w:val="365F91"/>
                <w:sz w:val="18"/>
                <w:szCs w:val="18"/>
              </w:rPr>
              <w:t>Office of the Chief Information Officer - Servers</w:t>
            </w:r>
          </w:p>
        </w:tc>
        <w:tc>
          <w:tcPr>
            <w:tcW w:w="1800" w:type="dxa"/>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618</w:t>
            </w:r>
          </w:p>
        </w:tc>
        <w:tc>
          <w:tcPr>
            <w:tcW w:w="2880" w:type="dxa"/>
          </w:tcPr>
          <w:p w:rsidR="008A5B15" w:rsidRPr="00CC41BD" w:rsidRDefault="00790772" w:rsidP="00CC41BD">
            <w:pPr>
              <w:ind w:left="0" w:firstLine="0"/>
              <w:jc w:val="center"/>
              <w:rPr>
                <w:rFonts w:eastAsia="Times New Roman"/>
                <w:color w:val="365F91"/>
                <w:sz w:val="18"/>
                <w:szCs w:val="18"/>
              </w:rPr>
            </w:pPr>
            <w:r w:rsidRPr="00CC41BD">
              <w:rPr>
                <w:rFonts w:eastAsia="Times New Roman"/>
                <w:color w:val="365F91"/>
                <w:sz w:val="18"/>
                <w:szCs w:val="18"/>
              </w:rPr>
              <w:t>30</w:t>
            </w:r>
          </w:p>
        </w:tc>
      </w:tr>
    </w:tbl>
    <w:p w:rsidR="00CD1529" w:rsidRDefault="00CD1529" w:rsidP="00DA1C63">
      <w:pPr>
        <w:ind w:left="0" w:firstLine="0"/>
        <w:jc w:val="left"/>
        <w:rPr>
          <w:sz w:val="22"/>
          <w:szCs w:val="22"/>
        </w:rPr>
      </w:pPr>
    </w:p>
    <w:p w:rsidR="0033737D" w:rsidRDefault="0033737D" w:rsidP="009E3804">
      <w:pPr>
        <w:autoSpaceDE w:val="0"/>
        <w:autoSpaceDN w:val="0"/>
        <w:adjustRightInd w:val="0"/>
        <w:ind w:left="0" w:firstLine="0"/>
        <w:jc w:val="left"/>
        <w:rPr>
          <w:rFonts w:asciiTheme="minorHAnsi" w:hAnsiTheme="minorHAnsi"/>
          <w:color w:val="000000"/>
          <w:sz w:val="22"/>
          <w:szCs w:val="22"/>
        </w:rPr>
      </w:pPr>
      <w:r w:rsidRPr="0033737D">
        <w:rPr>
          <w:rFonts w:asciiTheme="minorHAnsi" w:hAnsiTheme="minorHAnsi"/>
          <w:color w:val="000000"/>
          <w:sz w:val="22"/>
          <w:szCs w:val="22"/>
        </w:rPr>
        <w:t xml:space="preserve">The SSPP Goal 9 (Electronic Stewardship and Data Centers) is focused on implementing best practices for data center and IT system operations and management, associated policies and procedures, and achieving reductions in energy and green house gases. Since the DOE SSPP defines the overall sustainability goals for the Department, the FDCCI performance goals will be integrated into SSPP Goal 9. By achieving the goals specified in the SSPP, DOE will meet the objectives of the FDCCI program as well. </w:t>
      </w:r>
      <w:r w:rsidR="009E3804">
        <w:rPr>
          <w:rFonts w:asciiTheme="minorHAnsi" w:hAnsiTheme="minorHAnsi"/>
          <w:color w:val="000000"/>
          <w:sz w:val="22"/>
          <w:szCs w:val="22"/>
        </w:rPr>
        <w:t xml:space="preserve"> </w:t>
      </w:r>
      <w:r w:rsidRPr="0033737D">
        <w:rPr>
          <w:rFonts w:asciiTheme="minorHAnsi" w:hAnsiTheme="minorHAnsi"/>
          <w:color w:val="000000"/>
          <w:sz w:val="22"/>
          <w:szCs w:val="22"/>
        </w:rPr>
        <w:t>FDCCI Performance and Consolidation Goals for the DOE SSPP</w:t>
      </w:r>
      <w:r w:rsidR="009E3804">
        <w:rPr>
          <w:rFonts w:asciiTheme="minorHAnsi" w:hAnsiTheme="minorHAnsi"/>
          <w:color w:val="000000"/>
          <w:sz w:val="22"/>
          <w:szCs w:val="22"/>
        </w:rPr>
        <w:t xml:space="preserve"> are listed below in terms of those that are Primary and those that are Secondary.</w:t>
      </w:r>
    </w:p>
    <w:p w:rsidR="009E3804" w:rsidRPr="0033737D" w:rsidRDefault="009E3804" w:rsidP="009E3804">
      <w:pPr>
        <w:autoSpaceDE w:val="0"/>
        <w:autoSpaceDN w:val="0"/>
        <w:adjustRightInd w:val="0"/>
        <w:ind w:left="0" w:firstLine="0"/>
        <w:jc w:val="left"/>
        <w:rPr>
          <w:rFonts w:asciiTheme="minorHAnsi" w:hAnsiTheme="minorHAnsi"/>
          <w:color w:val="000000"/>
          <w:sz w:val="22"/>
          <w:szCs w:val="22"/>
        </w:rPr>
      </w:pPr>
    </w:p>
    <w:p w:rsidR="0033737D" w:rsidRPr="009E3804" w:rsidRDefault="0033737D" w:rsidP="007F2EC4">
      <w:pPr>
        <w:pStyle w:val="ListParagraph"/>
        <w:numPr>
          <w:ilvl w:val="0"/>
          <w:numId w:val="36"/>
        </w:numPr>
        <w:autoSpaceDE w:val="0"/>
        <w:autoSpaceDN w:val="0"/>
        <w:adjustRightInd w:val="0"/>
        <w:jc w:val="left"/>
        <w:rPr>
          <w:rFonts w:asciiTheme="minorHAnsi" w:hAnsiTheme="minorHAnsi"/>
          <w:color w:val="000000"/>
          <w:sz w:val="22"/>
          <w:szCs w:val="22"/>
        </w:rPr>
      </w:pPr>
      <w:r w:rsidRPr="009E3804">
        <w:rPr>
          <w:rFonts w:asciiTheme="minorHAnsi" w:hAnsiTheme="minorHAnsi"/>
          <w:color w:val="000000"/>
          <w:sz w:val="22"/>
          <w:szCs w:val="22"/>
        </w:rPr>
        <w:t xml:space="preserve">Primary (directly related to FDCCI Objectives)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Reduce the physical numbers of DOE IT servers and supporting IT systems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Increase the use of virtualization technologies to improve physical server and storage utilization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Reduce the physical footprint of DOE data centers and server rooms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Increase the physical density of IT systems and equipment racks in DOE data centers and server rooms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Reduce the number of duplicate IT services supported and operated by DOE data centers. </w:t>
      </w:r>
    </w:p>
    <w:p w:rsidR="0033737D" w:rsidRPr="0033737D" w:rsidRDefault="0033737D" w:rsidP="007F2EC4">
      <w:pPr>
        <w:pStyle w:val="ListParagraph"/>
        <w:numPr>
          <w:ilvl w:val="0"/>
          <w:numId w:val="37"/>
        </w:numPr>
        <w:autoSpaceDE w:val="0"/>
        <w:autoSpaceDN w:val="0"/>
        <w:adjustRightInd w:val="0"/>
        <w:spacing w:after="18"/>
        <w:jc w:val="left"/>
        <w:rPr>
          <w:rFonts w:asciiTheme="minorHAnsi" w:hAnsiTheme="minorHAnsi"/>
          <w:color w:val="000000"/>
          <w:sz w:val="22"/>
          <w:szCs w:val="22"/>
        </w:rPr>
      </w:pPr>
      <w:r w:rsidRPr="0033737D">
        <w:rPr>
          <w:rFonts w:asciiTheme="minorHAnsi" w:hAnsiTheme="minorHAnsi"/>
          <w:color w:val="000000"/>
          <w:sz w:val="22"/>
          <w:szCs w:val="22"/>
        </w:rPr>
        <w:t xml:space="preserve">Minimizing the infrastructure needed to power and cool DOE data centers and server rooms </w:t>
      </w:r>
    </w:p>
    <w:p w:rsidR="0033737D" w:rsidRDefault="0033737D" w:rsidP="007F2EC4">
      <w:pPr>
        <w:pStyle w:val="ListParagraph"/>
        <w:numPr>
          <w:ilvl w:val="0"/>
          <w:numId w:val="37"/>
        </w:numPr>
        <w:autoSpaceDE w:val="0"/>
        <w:autoSpaceDN w:val="0"/>
        <w:adjustRightInd w:val="0"/>
        <w:jc w:val="left"/>
        <w:rPr>
          <w:rFonts w:asciiTheme="minorHAnsi" w:hAnsiTheme="minorHAnsi"/>
          <w:color w:val="000000"/>
          <w:sz w:val="22"/>
          <w:szCs w:val="22"/>
        </w:rPr>
      </w:pPr>
      <w:r w:rsidRPr="0033737D">
        <w:rPr>
          <w:rFonts w:asciiTheme="minorHAnsi" w:hAnsiTheme="minorHAnsi"/>
          <w:color w:val="000000"/>
          <w:sz w:val="22"/>
          <w:szCs w:val="22"/>
        </w:rPr>
        <w:t xml:space="preserve">Acquisition of the most efficient environmentally preferable IT and data center equipment capable of supporting DOE missions. </w:t>
      </w:r>
    </w:p>
    <w:p w:rsidR="009E3804" w:rsidRPr="009E3804" w:rsidRDefault="009E3804" w:rsidP="009E3804">
      <w:pPr>
        <w:autoSpaceDE w:val="0"/>
        <w:autoSpaceDN w:val="0"/>
        <w:adjustRightInd w:val="0"/>
        <w:ind w:left="360" w:firstLine="0"/>
        <w:jc w:val="left"/>
        <w:rPr>
          <w:rFonts w:asciiTheme="minorHAnsi" w:hAnsiTheme="minorHAnsi"/>
          <w:color w:val="000000"/>
          <w:sz w:val="22"/>
          <w:szCs w:val="22"/>
        </w:rPr>
      </w:pPr>
    </w:p>
    <w:p w:rsidR="009E3804" w:rsidRPr="009E3804" w:rsidRDefault="0033737D" w:rsidP="007F2EC4">
      <w:pPr>
        <w:pStyle w:val="ListParagraph"/>
        <w:numPr>
          <w:ilvl w:val="0"/>
          <w:numId w:val="36"/>
        </w:numPr>
        <w:autoSpaceDE w:val="0"/>
        <w:autoSpaceDN w:val="0"/>
        <w:adjustRightInd w:val="0"/>
        <w:ind w:left="360" w:firstLine="0"/>
        <w:jc w:val="left"/>
        <w:rPr>
          <w:rFonts w:asciiTheme="minorHAnsi" w:hAnsiTheme="minorHAnsi"/>
          <w:color w:val="000000"/>
          <w:sz w:val="22"/>
          <w:szCs w:val="22"/>
        </w:rPr>
      </w:pPr>
      <w:r w:rsidRPr="009E3804">
        <w:rPr>
          <w:rFonts w:asciiTheme="minorHAnsi" w:hAnsiTheme="minorHAnsi"/>
          <w:color w:val="000000"/>
          <w:sz w:val="22"/>
          <w:szCs w:val="22"/>
        </w:rPr>
        <w:t xml:space="preserve">Secondary (goals defined in DOE SSPP and the RPSI) </w:t>
      </w:r>
    </w:p>
    <w:p w:rsidR="0033737D" w:rsidRPr="009E3804" w:rsidRDefault="0033737D" w:rsidP="007F2EC4">
      <w:pPr>
        <w:pStyle w:val="ListParagraph"/>
        <w:numPr>
          <w:ilvl w:val="0"/>
          <w:numId w:val="38"/>
        </w:numPr>
        <w:autoSpaceDE w:val="0"/>
        <w:autoSpaceDN w:val="0"/>
        <w:adjustRightInd w:val="0"/>
        <w:spacing w:after="18"/>
        <w:jc w:val="left"/>
        <w:rPr>
          <w:rFonts w:asciiTheme="minorHAnsi" w:hAnsiTheme="minorHAnsi"/>
          <w:color w:val="000000"/>
          <w:sz w:val="22"/>
          <w:szCs w:val="22"/>
        </w:rPr>
      </w:pPr>
      <w:r w:rsidRPr="009E3804">
        <w:rPr>
          <w:rFonts w:asciiTheme="minorHAnsi" w:hAnsiTheme="minorHAnsi"/>
          <w:color w:val="000000"/>
          <w:sz w:val="22"/>
          <w:szCs w:val="22"/>
        </w:rPr>
        <w:t xml:space="preserve">Identify and decommission unused or under-used DOE data centers and server rooms </w:t>
      </w:r>
    </w:p>
    <w:p w:rsidR="0033737D" w:rsidRPr="009E3804" w:rsidRDefault="0033737D" w:rsidP="007F2EC4">
      <w:pPr>
        <w:pStyle w:val="ListParagraph"/>
        <w:numPr>
          <w:ilvl w:val="0"/>
          <w:numId w:val="39"/>
        </w:numPr>
        <w:autoSpaceDE w:val="0"/>
        <w:autoSpaceDN w:val="0"/>
        <w:adjustRightInd w:val="0"/>
        <w:spacing w:after="18"/>
        <w:ind w:left="1080"/>
        <w:jc w:val="left"/>
        <w:rPr>
          <w:rFonts w:asciiTheme="minorHAnsi" w:hAnsiTheme="minorHAnsi"/>
          <w:color w:val="000000"/>
          <w:sz w:val="22"/>
          <w:szCs w:val="22"/>
        </w:rPr>
      </w:pPr>
      <w:r w:rsidRPr="009E3804">
        <w:rPr>
          <w:rFonts w:asciiTheme="minorHAnsi" w:hAnsiTheme="minorHAnsi"/>
          <w:color w:val="000000"/>
          <w:sz w:val="22"/>
          <w:szCs w:val="22"/>
        </w:rPr>
        <w:t xml:space="preserve">Increase the energy efficiency of DOE data centers / server rooms and associated IT systems </w:t>
      </w:r>
    </w:p>
    <w:p w:rsidR="0033737D" w:rsidRPr="009E3804" w:rsidRDefault="0033737D" w:rsidP="007F2EC4">
      <w:pPr>
        <w:pStyle w:val="ListParagraph"/>
        <w:numPr>
          <w:ilvl w:val="0"/>
          <w:numId w:val="39"/>
        </w:numPr>
        <w:autoSpaceDE w:val="0"/>
        <w:autoSpaceDN w:val="0"/>
        <w:adjustRightInd w:val="0"/>
        <w:spacing w:after="18"/>
        <w:ind w:left="1080"/>
        <w:jc w:val="left"/>
        <w:rPr>
          <w:rFonts w:asciiTheme="minorHAnsi" w:hAnsiTheme="minorHAnsi"/>
          <w:color w:val="000000"/>
          <w:sz w:val="22"/>
          <w:szCs w:val="22"/>
        </w:rPr>
      </w:pPr>
      <w:r w:rsidRPr="009E3804">
        <w:rPr>
          <w:rFonts w:asciiTheme="minorHAnsi" w:hAnsiTheme="minorHAnsi"/>
          <w:color w:val="000000"/>
          <w:sz w:val="22"/>
          <w:szCs w:val="22"/>
        </w:rPr>
        <w:t xml:space="preserve">Reduce the amount of Green House Gas produced by DOE data centers and IT systems </w:t>
      </w:r>
    </w:p>
    <w:p w:rsidR="0033737D" w:rsidRPr="009E3804" w:rsidRDefault="0033737D" w:rsidP="007F2EC4">
      <w:pPr>
        <w:pStyle w:val="ListParagraph"/>
        <w:numPr>
          <w:ilvl w:val="0"/>
          <w:numId w:val="39"/>
        </w:numPr>
        <w:autoSpaceDE w:val="0"/>
        <w:autoSpaceDN w:val="0"/>
        <w:adjustRightInd w:val="0"/>
        <w:spacing w:after="18"/>
        <w:ind w:left="1080"/>
        <w:jc w:val="left"/>
        <w:rPr>
          <w:rFonts w:asciiTheme="minorHAnsi" w:hAnsiTheme="minorHAnsi"/>
          <w:color w:val="000000"/>
          <w:sz w:val="22"/>
          <w:szCs w:val="22"/>
        </w:rPr>
      </w:pPr>
      <w:r w:rsidRPr="009E3804">
        <w:rPr>
          <w:rFonts w:asciiTheme="minorHAnsi" w:hAnsiTheme="minorHAnsi"/>
          <w:color w:val="000000"/>
          <w:sz w:val="22"/>
          <w:szCs w:val="22"/>
        </w:rPr>
        <w:t xml:space="preserve">Implement advanced metering in data centers to manage, track and report energy consumption and efficiencies. </w:t>
      </w:r>
    </w:p>
    <w:p w:rsidR="0033737D" w:rsidRDefault="0033737D" w:rsidP="007F2EC4">
      <w:pPr>
        <w:pStyle w:val="ListParagraph"/>
        <w:numPr>
          <w:ilvl w:val="0"/>
          <w:numId w:val="39"/>
        </w:numPr>
        <w:autoSpaceDE w:val="0"/>
        <w:autoSpaceDN w:val="0"/>
        <w:adjustRightInd w:val="0"/>
        <w:spacing w:after="18"/>
        <w:ind w:left="1080"/>
        <w:jc w:val="left"/>
        <w:rPr>
          <w:rFonts w:asciiTheme="minorHAnsi" w:hAnsiTheme="minorHAnsi"/>
          <w:color w:val="000000"/>
          <w:sz w:val="22"/>
          <w:szCs w:val="22"/>
        </w:rPr>
      </w:pPr>
      <w:r w:rsidRPr="009E3804">
        <w:rPr>
          <w:rFonts w:asciiTheme="minorHAnsi" w:hAnsiTheme="minorHAnsi"/>
          <w:color w:val="000000"/>
          <w:sz w:val="22"/>
          <w:szCs w:val="22"/>
        </w:rPr>
        <w:t xml:space="preserve">Implement best practices in data center operations, management and new construction that support energy management and conservation </w:t>
      </w:r>
    </w:p>
    <w:p w:rsidR="009E3804" w:rsidRPr="009E3804" w:rsidRDefault="009E3804" w:rsidP="009E3804">
      <w:pPr>
        <w:autoSpaceDE w:val="0"/>
        <w:autoSpaceDN w:val="0"/>
        <w:adjustRightInd w:val="0"/>
        <w:spacing w:after="18"/>
        <w:ind w:left="360" w:firstLine="0"/>
        <w:jc w:val="left"/>
        <w:rPr>
          <w:rFonts w:asciiTheme="minorHAnsi" w:hAnsiTheme="minorHAnsi"/>
          <w:color w:val="000000"/>
          <w:sz w:val="22"/>
          <w:szCs w:val="22"/>
        </w:rPr>
      </w:pPr>
    </w:p>
    <w:p w:rsidR="00AE14BC" w:rsidRPr="003D7AAC" w:rsidRDefault="009E3804" w:rsidP="009E3804">
      <w:pPr>
        <w:pStyle w:val="Heading4"/>
        <w:numPr>
          <w:ilvl w:val="3"/>
          <w:numId w:val="14"/>
        </w:numPr>
        <w:spacing w:before="120" w:after="120"/>
        <w:ind w:left="1080" w:hanging="1080"/>
        <w:jc w:val="left"/>
        <w:rPr>
          <w:rFonts w:asciiTheme="majorHAnsi" w:hAnsiTheme="majorHAnsi" w:cs="Calibri"/>
          <w:color w:val="365F91"/>
        </w:rPr>
      </w:pPr>
      <w:bookmarkStart w:id="535" w:name="_Toc285534215"/>
      <w:bookmarkStart w:id="536" w:name="_Toc285548194"/>
      <w:r>
        <w:rPr>
          <w:rFonts w:asciiTheme="majorHAnsi" w:hAnsiTheme="majorHAnsi" w:cs="Calibri"/>
          <w:noProof/>
          <w:color w:val="365F91"/>
        </w:rPr>
        <w:drawing>
          <wp:anchor distT="0" distB="0" distL="114300" distR="114300" simplePos="0" relativeHeight="251692032" behindDoc="0" locked="0" layoutInCell="1" allowOverlap="1">
            <wp:simplePos x="0" y="0"/>
            <wp:positionH relativeFrom="margin">
              <wp:align>right</wp:align>
            </wp:positionH>
            <wp:positionV relativeFrom="margin">
              <wp:posOffset>4124325</wp:posOffset>
            </wp:positionV>
            <wp:extent cx="2272030" cy="3886200"/>
            <wp:effectExtent l="19050" t="0" r="0" b="0"/>
            <wp:wrapSquare wrapText="bothSides"/>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272030" cy="3886200"/>
                    </a:xfrm>
                    <a:prstGeom prst="rect">
                      <a:avLst/>
                    </a:prstGeom>
                    <a:noFill/>
                    <a:ln w="9525">
                      <a:noFill/>
                      <a:miter lim="800000"/>
                      <a:headEnd/>
                      <a:tailEnd/>
                    </a:ln>
                  </pic:spPr>
                </pic:pic>
              </a:graphicData>
            </a:graphic>
          </wp:anchor>
        </w:drawing>
      </w:r>
      <w:r w:rsidR="00EE039C" w:rsidRPr="003D7AAC">
        <w:rPr>
          <w:rFonts w:asciiTheme="majorHAnsi" w:hAnsiTheme="majorHAnsi" w:cs="Calibri"/>
          <w:color w:val="365F91"/>
        </w:rPr>
        <w:t>Internet Protocol Version 6 (</w:t>
      </w:r>
      <w:r w:rsidR="00AE14BC" w:rsidRPr="003D7AAC">
        <w:rPr>
          <w:rFonts w:asciiTheme="majorHAnsi" w:hAnsiTheme="majorHAnsi" w:cs="Calibri"/>
          <w:color w:val="365F91"/>
        </w:rPr>
        <w:t>IP</w:t>
      </w:r>
      <w:r w:rsidR="00EE039C" w:rsidRPr="003D7AAC">
        <w:rPr>
          <w:rFonts w:asciiTheme="majorHAnsi" w:hAnsiTheme="majorHAnsi" w:cs="Calibri"/>
          <w:color w:val="365F91"/>
        </w:rPr>
        <w:t>v</w:t>
      </w:r>
      <w:r w:rsidR="00AE14BC" w:rsidRPr="003D7AAC">
        <w:rPr>
          <w:rFonts w:asciiTheme="majorHAnsi" w:hAnsiTheme="majorHAnsi" w:cs="Calibri"/>
          <w:color w:val="365F91"/>
        </w:rPr>
        <w:t>6</w:t>
      </w:r>
      <w:bookmarkEnd w:id="535"/>
      <w:bookmarkEnd w:id="536"/>
      <w:r w:rsidR="00EE039C" w:rsidRPr="003D7AAC">
        <w:rPr>
          <w:rFonts w:asciiTheme="majorHAnsi" w:hAnsiTheme="majorHAnsi" w:cs="Calibri"/>
          <w:color w:val="365F91"/>
        </w:rPr>
        <w:t>)</w:t>
      </w:r>
      <w:r w:rsidR="00AE14BC" w:rsidRPr="003D7AAC">
        <w:rPr>
          <w:rFonts w:asciiTheme="majorHAnsi" w:hAnsiTheme="majorHAnsi" w:cs="Calibri"/>
          <w:color w:val="365F91"/>
        </w:rPr>
        <w:t xml:space="preserve"> </w:t>
      </w:r>
    </w:p>
    <w:p w:rsidR="00052B08" w:rsidRPr="00561D8B" w:rsidRDefault="00052B08" w:rsidP="00DA1C63">
      <w:pPr>
        <w:ind w:left="0" w:firstLine="0"/>
        <w:jc w:val="left"/>
        <w:rPr>
          <w:color w:val="000000"/>
          <w:sz w:val="22"/>
          <w:szCs w:val="22"/>
        </w:rPr>
      </w:pPr>
      <w:r w:rsidRPr="00561D8B">
        <w:rPr>
          <w:color w:val="000000"/>
          <w:sz w:val="22"/>
          <w:szCs w:val="22"/>
        </w:rPr>
        <w:t>In order to enable the successful deployment and expansion of key federal IT modernization initiatives, reduce complexity and increase transparency of Internet services, enable ubiquitous security services for end-to-end network communications, and enable the Internet to continue to operate efficiently, the DOE is committed to the operational deployment and use of Internet Protocol version 6 (IPv6).</w:t>
      </w:r>
      <w:r w:rsidR="00C3456B">
        <w:rPr>
          <w:color w:val="000000"/>
          <w:sz w:val="22"/>
          <w:szCs w:val="22"/>
        </w:rPr>
        <w:t xml:space="preserve"> </w:t>
      </w:r>
      <w:r w:rsidRPr="00561D8B">
        <w:rPr>
          <w:color w:val="000000"/>
          <w:sz w:val="22"/>
          <w:szCs w:val="22"/>
        </w:rPr>
        <w:t>In September of 2010, OMB provided direction for all executive agencies to:</w:t>
      </w:r>
    </w:p>
    <w:p w:rsidR="00AE14BC" w:rsidRPr="00561D8B" w:rsidRDefault="00AE14BC" w:rsidP="009E3804">
      <w:pPr>
        <w:pStyle w:val="ListParagraph"/>
        <w:numPr>
          <w:ilvl w:val="1"/>
          <w:numId w:val="6"/>
        </w:numPr>
        <w:spacing w:before="200" w:after="200"/>
        <w:jc w:val="left"/>
        <w:rPr>
          <w:rFonts w:cs="Calibri"/>
          <w:color w:val="000000"/>
          <w:sz w:val="22"/>
          <w:szCs w:val="22"/>
        </w:rPr>
      </w:pPr>
      <w:r w:rsidRPr="00561D8B">
        <w:rPr>
          <w:rFonts w:cs="Calibri"/>
          <w:color w:val="000000"/>
          <w:sz w:val="22"/>
          <w:szCs w:val="22"/>
        </w:rPr>
        <w:t>Upgrade public/external facing servers and services to operationally use native IPv6 by the end of FY 2012</w:t>
      </w:r>
    </w:p>
    <w:p w:rsidR="00AE14BC" w:rsidRPr="00561D8B" w:rsidRDefault="00AE14BC" w:rsidP="009E3804">
      <w:pPr>
        <w:pStyle w:val="ListParagraph"/>
        <w:numPr>
          <w:ilvl w:val="1"/>
          <w:numId w:val="6"/>
        </w:numPr>
        <w:spacing w:after="200"/>
        <w:jc w:val="left"/>
        <w:rPr>
          <w:rFonts w:cs="Calibri"/>
          <w:color w:val="000000"/>
          <w:sz w:val="22"/>
          <w:szCs w:val="22"/>
        </w:rPr>
      </w:pPr>
      <w:r w:rsidRPr="00561D8B">
        <w:rPr>
          <w:rFonts w:cs="Calibri"/>
          <w:color w:val="000000"/>
          <w:sz w:val="22"/>
          <w:szCs w:val="22"/>
        </w:rPr>
        <w:t xml:space="preserve">Upgrade internal client applications that communicate with public Internet servers and supporting enterprise networks to operationally use native IPv6 by the end of FY 2014 </w:t>
      </w:r>
    </w:p>
    <w:p w:rsidR="00AE14BC" w:rsidRPr="00561D8B" w:rsidRDefault="00AE14BC" w:rsidP="009E3804">
      <w:pPr>
        <w:pStyle w:val="ListParagraph"/>
        <w:numPr>
          <w:ilvl w:val="1"/>
          <w:numId w:val="6"/>
        </w:numPr>
        <w:spacing w:after="200"/>
        <w:jc w:val="left"/>
        <w:rPr>
          <w:rFonts w:cs="Calibri"/>
          <w:color w:val="000000"/>
          <w:sz w:val="22"/>
          <w:szCs w:val="22"/>
        </w:rPr>
      </w:pPr>
      <w:r w:rsidRPr="00561D8B">
        <w:rPr>
          <w:rFonts w:cs="Calibri"/>
          <w:color w:val="000000"/>
          <w:sz w:val="22"/>
          <w:szCs w:val="22"/>
        </w:rPr>
        <w:t>Designate an IPv6 Transition Manager and submit their name, title, and contact information to IPv6@omb.eop.gov by October 30, 2010</w:t>
      </w:r>
    </w:p>
    <w:p w:rsidR="00AE14BC" w:rsidRPr="00561D8B" w:rsidRDefault="00AE14BC" w:rsidP="009E3804">
      <w:pPr>
        <w:pStyle w:val="ListParagraph"/>
        <w:numPr>
          <w:ilvl w:val="1"/>
          <w:numId w:val="6"/>
        </w:numPr>
        <w:spacing w:after="200"/>
        <w:jc w:val="left"/>
        <w:rPr>
          <w:rFonts w:cs="Calibri"/>
          <w:sz w:val="22"/>
          <w:szCs w:val="22"/>
        </w:rPr>
      </w:pPr>
      <w:r w:rsidRPr="00561D8B">
        <w:rPr>
          <w:rFonts w:cs="Calibri"/>
          <w:color w:val="000000"/>
          <w:sz w:val="22"/>
          <w:szCs w:val="22"/>
        </w:rPr>
        <w:t>Ensure agency procurements of networked IT comply with FAR requirements for use of the USGv6</w:t>
      </w:r>
      <w:r w:rsidRPr="00561D8B">
        <w:rPr>
          <w:rFonts w:cs="Calibri"/>
          <w:sz w:val="22"/>
          <w:szCs w:val="22"/>
        </w:rPr>
        <w:t xml:space="preserve"> Profile and Test Program for the completeness and quality of their IPv6 capabilities.</w:t>
      </w:r>
    </w:p>
    <w:p w:rsidR="00464EC0" w:rsidRPr="00561D8B" w:rsidRDefault="00AE14BC" w:rsidP="00DA1C63">
      <w:pPr>
        <w:ind w:left="0" w:firstLine="0"/>
        <w:jc w:val="left"/>
        <w:rPr>
          <w:sz w:val="22"/>
          <w:szCs w:val="22"/>
        </w:rPr>
      </w:pPr>
      <w:r w:rsidRPr="00561D8B">
        <w:rPr>
          <w:sz w:val="22"/>
          <w:szCs w:val="22"/>
        </w:rPr>
        <w:t>The DOE continues to make progress on the IPV6 Initiative.</w:t>
      </w:r>
      <w:r w:rsidR="00C3456B">
        <w:rPr>
          <w:sz w:val="22"/>
          <w:szCs w:val="22"/>
        </w:rPr>
        <w:t xml:space="preserve"> </w:t>
      </w:r>
      <w:r w:rsidR="00464EC0" w:rsidRPr="00561D8B">
        <w:rPr>
          <w:sz w:val="22"/>
          <w:szCs w:val="22"/>
        </w:rPr>
        <w:t>DOE has established an internal taskforce of key stakeholders and technical experts from around the complex to 1) develop the strategy necessary to meet the goals and timelines prescribed by OMB, and 2) provide a forum for knowledge sharing and collaborat</w:t>
      </w:r>
      <w:r w:rsidR="001A483E">
        <w:rPr>
          <w:sz w:val="22"/>
          <w:szCs w:val="22"/>
        </w:rPr>
        <w:t>ion.</w:t>
      </w:r>
      <w:r w:rsidR="00C3456B">
        <w:rPr>
          <w:sz w:val="22"/>
          <w:szCs w:val="22"/>
        </w:rPr>
        <w:t xml:space="preserve"> </w:t>
      </w:r>
      <w:r w:rsidR="001A483E">
        <w:rPr>
          <w:sz w:val="22"/>
          <w:szCs w:val="22"/>
        </w:rPr>
        <w:t>Via this task force, the Department</w:t>
      </w:r>
      <w:r w:rsidR="00464EC0" w:rsidRPr="00561D8B">
        <w:rPr>
          <w:sz w:val="22"/>
          <w:szCs w:val="22"/>
        </w:rPr>
        <w:t xml:space="preserve"> intends to accomplish the high level milestones to ensure successful imp</w:t>
      </w:r>
      <w:r w:rsidR="001A483E">
        <w:rPr>
          <w:sz w:val="22"/>
          <w:szCs w:val="22"/>
        </w:rPr>
        <w:t>lementation of IPv6 within the Department</w:t>
      </w:r>
      <w:r w:rsidR="00464EC0" w:rsidRPr="00561D8B">
        <w:rPr>
          <w:sz w:val="22"/>
          <w:szCs w:val="22"/>
        </w:rPr>
        <w:t>.</w:t>
      </w:r>
    </w:p>
    <w:p w:rsidR="00464EC0" w:rsidRPr="00561D8B" w:rsidRDefault="00464EC0" w:rsidP="00DA1C63">
      <w:pPr>
        <w:ind w:left="0" w:firstLine="0"/>
        <w:jc w:val="left"/>
        <w:rPr>
          <w:sz w:val="22"/>
          <w:szCs w:val="22"/>
        </w:rPr>
      </w:pPr>
    </w:p>
    <w:p w:rsidR="00052B08" w:rsidRDefault="00052B08" w:rsidP="00BB31EB">
      <w:pPr>
        <w:ind w:left="0" w:firstLine="0"/>
        <w:jc w:val="left"/>
        <w:rPr>
          <w:sz w:val="22"/>
          <w:szCs w:val="22"/>
        </w:rPr>
      </w:pPr>
      <w:r w:rsidRPr="0033737D">
        <w:rPr>
          <w:sz w:val="22"/>
          <w:szCs w:val="22"/>
        </w:rPr>
        <w:t xml:space="preserve">DOE </w:t>
      </w:r>
      <w:r w:rsidR="0033737D" w:rsidRPr="0033737D">
        <w:rPr>
          <w:sz w:val="22"/>
          <w:szCs w:val="22"/>
        </w:rPr>
        <w:t>plans</w:t>
      </w:r>
      <w:r w:rsidRPr="0033737D">
        <w:rPr>
          <w:sz w:val="22"/>
          <w:szCs w:val="22"/>
        </w:rPr>
        <w:t xml:space="preserve"> to ensure that any and all networked services that agencies provide to the general public over the </w:t>
      </w:r>
      <w:r w:rsidR="00DA1C63" w:rsidRPr="0033737D">
        <w:rPr>
          <w:sz w:val="22"/>
          <w:szCs w:val="22"/>
        </w:rPr>
        <w:t>Internet</w:t>
      </w:r>
      <w:r w:rsidRPr="0033737D">
        <w:rPr>
          <w:sz w:val="22"/>
          <w:szCs w:val="22"/>
        </w:rPr>
        <w:t xml:space="preserve"> are seamlessly accessible via both IPv6 and IPv4.</w:t>
      </w:r>
      <w:r w:rsidR="00C3456B" w:rsidRPr="0033737D">
        <w:rPr>
          <w:sz w:val="22"/>
          <w:szCs w:val="22"/>
        </w:rPr>
        <w:t xml:space="preserve"> </w:t>
      </w:r>
      <w:r w:rsidRPr="0033737D">
        <w:rPr>
          <w:sz w:val="22"/>
          <w:szCs w:val="22"/>
        </w:rPr>
        <w:t xml:space="preserve">Internal services (i.e., accessible only within an agency enterprise or intra-net) and external services that are only accessible to sites/users employing virtual private network (VPN) technologies, or to closed user groups (e.g., requiring an out-of-band establishment of a login account) are not in scope </w:t>
      </w:r>
      <w:r w:rsidR="00C40ED6" w:rsidRPr="0033737D">
        <w:rPr>
          <w:sz w:val="22"/>
          <w:szCs w:val="22"/>
        </w:rPr>
        <w:t xml:space="preserve">for ensuring IPv6 interoperability </w:t>
      </w:r>
      <w:r w:rsidR="00CC41BD" w:rsidRPr="0033737D">
        <w:rPr>
          <w:sz w:val="22"/>
          <w:szCs w:val="22"/>
        </w:rPr>
        <w:t>in</w:t>
      </w:r>
      <w:r w:rsidRPr="0033737D">
        <w:rPr>
          <w:sz w:val="22"/>
          <w:szCs w:val="22"/>
        </w:rPr>
        <w:t xml:space="preserve"> FY 2012. </w:t>
      </w:r>
    </w:p>
    <w:p w:rsidR="0033737D" w:rsidRPr="0033737D" w:rsidRDefault="0033737D" w:rsidP="0033737D">
      <w:pPr>
        <w:ind w:left="90" w:firstLine="0"/>
        <w:jc w:val="left"/>
        <w:rPr>
          <w:sz w:val="22"/>
          <w:szCs w:val="22"/>
        </w:rPr>
      </w:pPr>
    </w:p>
    <w:p w:rsidR="00052B08" w:rsidRPr="0033737D" w:rsidRDefault="00052B08" w:rsidP="00BB31EB">
      <w:pPr>
        <w:spacing w:after="60"/>
        <w:ind w:left="0" w:firstLine="0"/>
        <w:jc w:val="left"/>
        <w:rPr>
          <w:sz w:val="22"/>
          <w:szCs w:val="22"/>
        </w:rPr>
      </w:pPr>
      <w:r w:rsidRPr="0033737D">
        <w:rPr>
          <w:sz w:val="22"/>
          <w:szCs w:val="22"/>
        </w:rPr>
        <w:t>DOE is upgrading its public external services to support native IPv6 transport end-to-end to IPv6-enabled clients on the public Internet to meet the FY</w:t>
      </w:r>
      <w:r w:rsidR="0016039A" w:rsidRPr="0033737D">
        <w:rPr>
          <w:sz w:val="22"/>
          <w:szCs w:val="22"/>
        </w:rPr>
        <w:t>20</w:t>
      </w:r>
      <w:r w:rsidRPr="0033737D">
        <w:rPr>
          <w:sz w:val="22"/>
          <w:szCs w:val="22"/>
        </w:rPr>
        <w:t>12 requirement.</w:t>
      </w:r>
      <w:r w:rsidR="00C3456B" w:rsidRPr="0033737D">
        <w:rPr>
          <w:sz w:val="22"/>
          <w:szCs w:val="22"/>
        </w:rPr>
        <w:t xml:space="preserve"> </w:t>
      </w:r>
      <w:r w:rsidRPr="0033737D">
        <w:rPr>
          <w:sz w:val="22"/>
          <w:szCs w:val="22"/>
        </w:rPr>
        <w:t>The support of this service should be transparent to the end user, meaning that it should be provided with the same service name (URI) as the existing IPv4 enabled service.</w:t>
      </w:r>
      <w:r w:rsidR="00C3456B" w:rsidRPr="0033737D">
        <w:rPr>
          <w:sz w:val="22"/>
          <w:szCs w:val="22"/>
        </w:rPr>
        <w:t xml:space="preserve">   </w:t>
      </w:r>
    </w:p>
    <w:p w:rsidR="00AE14BC" w:rsidRPr="003D7AAC" w:rsidRDefault="00E162C7" w:rsidP="009E3804">
      <w:pPr>
        <w:pStyle w:val="Heading4"/>
        <w:numPr>
          <w:ilvl w:val="3"/>
          <w:numId w:val="14"/>
        </w:numPr>
        <w:spacing w:before="120" w:after="120"/>
        <w:ind w:left="990" w:hanging="990"/>
        <w:jc w:val="left"/>
        <w:rPr>
          <w:rFonts w:asciiTheme="majorHAnsi" w:hAnsiTheme="majorHAnsi" w:cs="Calibri"/>
          <w:color w:val="365F91"/>
        </w:rPr>
      </w:pPr>
      <w:bookmarkStart w:id="537" w:name="_Toc285534216"/>
      <w:bookmarkStart w:id="538" w:name="_Toc285548195"/>
      <w:r w:rsidRPr="003D7AAC">
        <w:rPr>
          <w:rFonts w:asciiTheme="majorHAnsi" w:hAnsiTheme="majorHAnsi" w:cs="Calibri"/>
          <w:color w:val="365F91"/>
        </w:rPr>
        <w:t xml:space="preserve"> </w:t>
      </w:r>
      <w:r w:rsidR="00AE14BC" w:rsidRPr="003D7AAC">
        <w:rPr>
          <w:rFonts w:asciiTheme="majorHAnsi" w:hAnsiTheme="majorHAnsi" w:cs="Calibri"/>
          <w:color w:val="365F91"/>
        </w:rPr>
        <w:t>H</w:t>
      </w:r>
      <w:r w:rsidR="00597597">
        <w:rPr>
          <w:rFonts w:asciiTheme="majorHAnsi" w:hAnsiTheme="majorHAnsi" w:cs="Calibri"/>
          <w:color w:val="365F91"/>
        </w:rPr>
        <w:t xml:space="preserve">omeland </w:t>
      </w:r>
      <w:r w:rsidR="00AE14BC" w:rsidRPr="003D7AAC">
        <w:rPr>
          <w:rFonts w:asciiTheme="majorHAnsi" w:hAnsiTheme="majorHAnsi" w:cs="Calibri"/>
          <w:color w:val="365F91"/>
        </w:rPr>
        <w:t>S</w:t>
      </w:r>
      <w:r w:rsidR="00597597">
        <w:rPr>
          <w:rFonts w:asciiTheme="majorHAnsi" w:hAnsiTheme="majorHAnsi" w:cs="Calibri"/>
          <w:color w:val="365F91"/>
        </w:rPr>
        <w:t xml:space="preserve">ecurity </w:t>
      </w:r>
      <w:r w:rsidR="00AE14BC" w:rsidRPr="003D7AAC">
        <w:rPr>
          <w:rFonts w:asciiTheme="majorHAnsi" w:hAnsiTheme="majorHAnsi" w:cs="Calibri"/>
          <w:color w:val="365F91"/>
        </w:rPr>
        <w:t>P</w:t>
      </w:r>
      <w:r w:rsidR="00597597">
        <w:rPr>
          <w:rFonts w:asciiTheme="majorHAnsi" w:hAnsiTheme="majorHAnsi" w:cs="Calibri"/>
          <w:color w:val="365F91"/>
        </w:rPr>
        <w:t xml:space="preserve">residential </w:t>
      </w:r>
      <w:r w:rsidR="00AE14BC" w:rsidRPr="003D7AAC">
        <w:rPr>
          <w:rFonts w:asciiTheme="majorHAnsi" w:hAnsiTheme="majorHAnsi" w:cs="Calibri"/>
          <w:color w:val="365F91"/>
        </w:rPr>
        <w:t>D</w:t>
      </w:r>
      <w:r w:rsidR="00597597">
        <w:rPr>
          <w:rFonts w:asciiTheme="majorHAnsi" w:hAnsiTheme="majorHAnsi" w:cs="Calibri"/>
          <w:color w:val="365F91"/>
        </w:rPr>
        <w:t>irective</w:t>
      </w:r>
      <w:r w:rsidR="00AE14BC" w:rsidRPr="003D7AAC">
        <w:rPr>
          <w:rFonts w:asciiTheme="majorHAnsi" w:hAnsiTheme="majorHAnsi" w:cs="Calibri"/>
          <w:color w:val="365F91"/>
        </w:rPr>
        <w:t>-12</w:t>
      </w:r>
      <w:bookmarkEnd w:id="537"/>
      <w:bookmarkEnd w:id="538"/>
      <w:r w:rsidR="00597597">
        <w:rPr>
          <w:rFonts w:asciiTheme="majorHAnsi" w:hAnsiTheme="majorHAnsi" w:cs="Calibri"/>
          <w:color w:val="365F91"/>
        </w:rPr>
        <w:t xml:space="preserve"> (HSPD-12)</w:t>
      </w:r>
      <w:r w:rsidR="00AE14BC" w:rsidRPr="003D7AAC">
        <w:rPr>
          <w:rFonts w:asciiTheme="majorHAnsi" w:hAnsiTheme="majorHAnsi" w:cs="Calibri"/>
          <w:color w:val="365F91"/>
        </w:rPr>
        <w:t xml:space="preserve"> </w:t>
      </w:r>
    </w:p>
    <w:p w:rsidR="00CA1CED" w:rsidRDefault="006E432B" w:rsidP="00CA1CED">
      <w:pPr>
        <w:ind w:left="0" w:firstLine="0"/>
        <w:jc w:val="left"/>
        <w:rPr>
          <w:sz w:val="22"/>
          <w:szCs w:val="24"/>
        </w:rPr>
      </w:pPr>
      <w:bookmarkStart w:id="539" w:name="_Toc285534217"/>
      <w:bookmarkStart w:id="540" w:name="_Toc285548196"/>
      <w:r>
        <w:rPr>
          <w:noProof/>
          <w:sz w:val="22"/>
          <w:szCs w:val="24"/>
        </w:rPr>
        <w:drawing>
          <wp:anchor distT="0" distB="0" distL="114300" distR="114300" simplePos="0" relativeHeight="251651072" behindDoc="0" locked="0" layoutInCell="1" allowOverlap="1">
            <wp:simplePos x="0" y="0"/>
            <wp:positionH relativeFrom="margin">
              <wp:posOffset>2562225</wp:posOffset>
            </wp:positionH>
            <wp:positionV relativeFrom="margin">
              <wp:posOffset>4248150</wp:posOffset>
            </wp:positionV>
            <wp:extent cx="3429000" cy="1981200"/>
            <wp:effectExtent l="19050" t="0" r="0" b="0"/>
            <wp:wrapSquare wrapText="bothSides"/>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a:stretch>
                      <a:fillRect/>
                    </a:stretch>
                  </pic:blipFill>
                  <pic:spPr bwMode="auto">
                    <a:xfrm>
                      <a:off x="0" y="0"/>
                      <a:ext cx="3429000" cy="1981200"/>
                    </a:xfrm>
                    <a:prstGeom prst="rect">
                      <a:avLst/>
                    </a:prstGeom>
                    <a:noFill/>
                    <a:ln w="9525">
                      <a:noFill/>
                      <a:miter lim="800000"/>
                      <a:headEnd/>
                      <a:tailEnd/>
                    </a:ln>
                  </pic:spPr>
                </pic:pic>
              </a:graphicData>
            </a:graphic>
          </wp:anchor>
        </w:drawing>
      </w:r>
      <w:r w:rsidR="00F13248" w:rsidRPr="00561D8B">
        <w:rPr>
          <w:sz w:val="22"/>
          <w:szCs w:val="24"/>
        </w:rPr>
        <w:t>On August 27, 2004, the President signed HSPD-12, “Policy for a Common Identification Standard for Federal Employees and Contractors” (the Directive).</w:t>
      </w:r>
      <w:r w:rsidR="00C3456B">
        <w:rPr>
          <w:sz w:val="22"/>
          <w:szCs w:val="24"/>
        </w:rPr>
        <w:t xml:space="preserve"> </w:t>
      </w:r>
      <w:r w:rsidR="00F13248" w:rsidRPr="00561D8B">
        <w:rPr>
          <w:sz w:val="22"/>
          <w:szCs w:val="24"/>
        </w:rPr>
        <w:t>The Directive requires the development and agency implementation of a mandatory, government-wide standard for secure and reliable forms of identification for Federal employees and contractors.</w:t>
      </w:r>
      <w:r w:rsidR="00C3456B">
        <w:rPr>
          <w:sz w:val="22"/>
          <w:szCs w:val="24"/>
        </w:rPr>
        <w:t xml:space="preserve"> </w:t>
      </w:r>
      <w:r w:rsidR="00F13248" w:rsidRPr="00561D8B">
        <w:rPr>
          <w:sz w:val="22"/>
          <w:szCs w:val="24"/>
        </w:rPr>
        <w:t>HSPD-12 directs the implementation of a new standardized badge process, which is designed to enhance security, reduce identity fraud, and protect personal privacy by establishing a mandatory, government-wide standard for secure and reliable forms of identification issued by the Federal Government to its employees, contractors, and other classes of individuals.</w:t>
      </w:r>
    </w:p>
    <w:p w:rsidR="00CA1CED" w:rsidRDefault="00CA1CED" w:rsidP="00CA1CED">
      <w:pPr>
        <w:ind w:left="0" w:firstLine="0"/>
        <w:jc w:val="left"/>
        <w:rPr>
          <w:sz w:val="22"/>
          <w:szCs w:val="24"/>
        </w:rPr>
      </w:pPr>
    </w:p>
    <w:p w:rsidR="00F13248" w:rsidRPr="00561D8B" w:rsidRDefault="00D52312" w:rsidP="0033737D">
      <w:pPr>
        <w:ind w:left="0" w:firstLine="0"/>
        <w:jc w:val="left"/>
        <w:rPr>
          <w:sz w:val="24"/>
        </w:rPr>
      </w:pPr>
      <w:r w:rsidRPr="00D52312">
        <w:rPr>
          <w:noProof/>
        </w:rPr>
        <w:pict>
          <v:shape id="_x0000_s1216" type="#_x0000_t202" style="position:absolute;margin-left:191.85pt;margin-top:47.2pt;width:262.75pt;height:14.05pt;z-index:251662336" stroked="f">
            <v:textbox style="mso-next-textbox:#_x0000_s1216;mso-fit-shape-to-text:t" inset="0,0,0,0">
              <w:txbxContent>
                <w:p w:rsidR="00F929E8" w:rsidRPr="00D3247D" w:rsidRDefault="00F929E8" w:rsidP="00C84078">
                  <w:pPr>
                    <w:pStyle w:val="Caption"/>
                    <w:jc w:val="center"/>
                    <w:rPr>
                      <w:rFonts w:eastAsia="Calibri" w:cs="Calibri"/>
                      <w:noProof/>
                      <w:szCs w:val="24"/>
                    </w:rPr>
                  </w:pPr>
                  <w:bookmarkStart w:id="541" w:name="_Toc286762566"/>
                  <w:r>
                    <w:t xml:space="preserve">Figure </w:t>
                  </w:r>
                  <w:fldSimple w:instr=" SEQ Figure \* ARABIC ">
                    <w:r w:rsidR="00C068AF">
                      <w:rPr>
                        <w:noProof/>
                      </w:rPr>
                      <w:t>8</w:t>
                    </w:r>
                  </w:fldSimple>
                  <w:r>
                    <w:t xml:space="preserve"> - DOE HSPD-12 Progress</w:t>
                  </w:r>
                  <w:bookmarkEnd w:id="541"/>
                </w:p>
              </w:txbxContent>
            </v:textbox>
            <w10:wrap type="square"/>
          </v:shape>
        </w:pict>
      </w:r>
      <w:r w:rsidR="00F273AB" w:rsidRPr="00561D8B">
        <w:rPr>
          <w:sz w:val="22"/>
          <w:szCs w:val="24"/>
        </w:rPr>
        <w:t>Since the signing of the Directive, DOE has been making consistent and significant progress on integrati</w:t>
      </w:r>
      <w:r w:rsidR="001A483E">
        <w:rPr>
          <w:sz w:val="22"/>
          <w:szCs w:val="24"/>
        </w:rPr>
        <w:t>ng an HSPD-12 solution for the Department</w:t>
      </w:r>
      <w:r w:rsidR="00F273AB">
        <w:rPr>
          <w:sz w:val="22"/>
          <w:szCs w:val="24"/>
        </w:rPr>
        <w:t xml:space="preserve"> as illustrated in Figure </w:t>
      </w:r>
      <w:r w:rsidR="00BB31EB">
        <w:rPr>
          <w:sz w:val="22"/>
          <w:szCs w:val="24"/>
        </w:rPr>
        <w:t>8</w:t>
      </w:r>
      <w:r w:rsidR="00F273AB" w:rsidRPr="00561D8B">
        <w:rPr>
          <w:sz w:val="22"/>
          <w:szCs w:val="24"/>
        </w:rPr>
        <w:t>.</w:t>
      </w:r>
      <w:r w:rsidR="00C3456B">
        <w:rPr>
          <w:sz w:val="22"/>
          <w:szCs w:val="24"/>
        </w:rPr>
        <w:t xml:space="preserve"> </w:t>
      </w:r>
      <w:r w:rsidR="00F273AB" w:rsidRPr="00561D8B">
        <w:rPr>
          <w:sz w:val="22"/>
          <w:szCs w:val="24"/>
        </w:rPr>
        <w:t>At the end of July 2007, 87% (or 81,29</w:t>
      </w:r>
      <w:r w:rsidR="00F273AB">
        <w:rPr>
          <w:sz w:val="22"/>
          <w:szCs w:val="24"/>
        </w:rPr>
        <w:t>4 of 92,930 population) of the planned p</w:t>
      </w:r>
      <w:r w:rsidR="00F273AB" w:rsidRPr="00561D8B">
        <w:rPr>
          <w:sz w:val="22"/>
          <w:szCs w:val="24"/>
        </w:rPr>
        <w:t xml:space="preserve">opulation had been issued the appropriate badges. </w:t>
      </w:r>
      <w:r w:rsidR="00F273AB">
        <w:rPr>
          <w:sz w:val="22"/>
          <w:szCs w:val="24"/>
        </w:rPr>
        <w:t xml:space="preserve">In July 2010, </w:t>
      </w:r>
      <w:r w:rsidR="00F273AB" w:rsidRPr="00561D8B">
        <w:rPr>
          <w:sz w:val="22"/>
          <w:szCs w:val="24"/>
        </w:rPr>
        <w:t xml:space="preserve">94% (or 91,827 of 108,614) </w:t>
      </w:r>
      <w:r w:rsidR="00F273AB">
        <w:rPr>
          <w:sz w:val="22"/>
          <w:szCs w:val="24"/>
        </w:rPr>
        <w:t xml:space="preserve">of the population had been issued a badge </w:t>
      </w:r>
      <w:r w:rsidR="00F273AB" w:rsidRPr="00561D8B">
        <w:rPr>
          <w:sz w:val="22"/>
          <w:szCs w:val="24"/>
        </w:rPr>
        <w:t xml:space="preserve">despite </w:t>
      </w:r>
      <w:r w:rsidR="00F273AB">
        <w:rPr>
          <w:sz w:val="22"/>
          <w:szCs w:val="24"/>
        </w:rPr>
        <w:t>a near 17% increase in the planned p</w:t>
      </w:r>
      <w:r w:rsidR="00F273AB" w:rsidRPr="00561D8B">
        <w:rPr>
          <w:sz w:val="22"/>
          <w:szCs w:val="24"/>
        </w:rPr>
        <w:t>opulation (or 15,684 people).</w:t>
      </w:r>
      <w:r w:rsidR="00C3456B">
        <w:rPr>
          <w:sz w:val="22"/>
          <w:szCs w:val="24"/>
        </w:rPr>
        <w:t xml:space="preserve"> </w:t>
      </w:r>
    </w:p>
    <w:p w:rsidR="0033737D" w:rsidRDefault="0033737D" w:rsidP="0033737D">
      <w:pPr>
        <w:ind w:left="0" w:firstLine="0"/>
        <w:jc w:val="left"/>
        <w:rPr>
          <w:sz w:val="22"/>
          <w:szCs w:val="24"/>
        </w:rPr>
      </w:pPr>
    </w:p>
    <w:p w:rsidR="00F13248" w:rsidRPr="003D36EE" w:rsidRDefault="00F13248" w:rsidP="00DA1C63">
      <w:pPr>
        <w:ind w:left="0" w:firstLine="0"/>
        <w:jc w:val="left"/>
        <w:rPr>
          <w:sz w:val="22"/>
          <w:szCs w:val="24"/>
        </w:rPr>
      </w:pPr>
      <w:r w:rsidRPr="0033737D">
        <w:rPr>
          <w:sz w:val="22"/>
          <w:szCs w:val="24"/>
        </w:rPr>
        <w:t xml:space="preserve">Looking beyond the progress already achieved, a set of high-level Milestones is covered in Table </w:t>
      </w:r>
      <w:r w:rsidR="00790772" w:rsidRPr="0033737D">
        <w:rPr>
          <w:sz w:val="22"/>
          <w:szCs w:val="24"/>
        </w:rPr>
        <w:t>5</w:t>
      </w:r>
      <w:r w:rsidRPr="0033737D">
        <w:rPr>
          <w:sz w:val="22"/>
          <w:szCs w:val="24"/>
        </w:rPr>
        <w:t xml:space="preserve"> below. This </w:t>
      </w:r>
      <w:r w:rsidR="00BB31EB">
        <w:rPr>
          <w:sz w:val="22"/>
          <w:szCs w:val="24"/>
        </w:rPr>
        <w:t>p</w:t>
      </w:r>
      <w:r w:rsidRPr="0033737D">
        <w:rPr>
          <w:sz w:val="22"/>
          <w:szCs w:val="24"/>
        </w:rPr>
        <w:t>lan</w:t>
      </w:r>
      <w:r w:rsidR="001A483E" w:rsidRPr="0033737D">
        <w:rPr>
          <w:sz w:val="22"/>
          <w:szCs w:val="24"/>
        </w:rPr>
        <w:t xml:space="preserve"> is the Department</w:t>
      </w:r>
      <w:r w:rsidRPr="0033737D">
        <w:rPr>
          <w:sz w:val="22"/>
          <w:szCs w:val="24"/>
        </w:rPr>
        <w:t xml:space="preserve">’s strategy for implementing a strategy for logical access in accordance with </w:t>
      </w:r>
      <w:r w:rsidR="00244D35" w:rsidRPr="0033737D">
        <w:rPr>
          <w:sz w:val="22"/>
          <w:szCs w:val="24"/>
        </w:rPr>
        <w:t>the Federal Identity, Credential, and Access Management (</w:t>
      </w:r>
      <w:r w:rsidRPr="0033737D">
        <w:rPr>
          <w:sz w:val="22"/>
          <w:szCs w:val="24"/>
        </w:rPr>
        <w:t>FICAM</w:t>
      </w:r>
      <w:r w:rsidR="00244D35" w:rsidRPr="0033737D">
        <w:rPr>
          <w:sz w:val="22"/>
          <w:szCs w:val="24"/>
        </w:rPr>
        <w:t>) Roadmap</w:t>
      </w:r>
      <w:r w:rsidRPr="0033737D">
        <w:rPr>
          <w:sz w:val="22"/>
          <w:szCs w:val="24"/>
        </w:rPr>
        <w:t xml:space="preserve"> and OMB guidance. </w:t>
      </w:r>
    </w:p>
    <w:p w:rsidR="006D5A51" w:rsidRDefault="006D5A51" w:rsidP="006D5A51">
      <w:pPr>
        <w:pStyle w:val="Caption"/>
        <w:keepNext/>
        <w:jc w:val="center"/>
      </w:pPr>
      <w:r>
        <w:t xml:space="preserve">Table </w:t>
      </w:r>
      <w:fldSimple w:instr=" SEQ Table \* ARABIC ">
        <w:r w:rsidR="00C068AF">
          <w:rPr>
            <w:noProof/>
          </w:rPr>
          <w:t>5</w:t>
        </w:r>
      </w:fldSimple>
      <w:r>
        <w:t xml:space="preserve"> - </w:t>
      </w:r>
      <w:r w:rsidRPr="00F97124">
        <w:t xml:space="preserve">DOE </w:t>
      </w:r>
      <w:r w:rsidR="00D41127">
        <w:t>HSPD-12</w:t>
      </w:r>
      <w:r w:rsidRPr="00F97124">
        <w:t xml:space="preserve"> Implementation Plan and Major Milestones</w:t>
      </w:r>
    </w:p>
    <w:tbl>
      <w:tblPr>
        <w:tblW w:w="8960" w:type="dxa"/>
        <w:jc w:val="center"/>
        <w:tblInd w:w="-981" w:type="dxa"/>
        <w:tblBorders>
          <w:top w:val="single" w:sz="8" w:space="0" w:color="4F81BD"/>
          <w:bottom w:val="single" w:sz="8" w:space="0" w:color="4F81BD"/>
        </w:tblBorders>
        <w:tblLayout w:type="fixed"/>
        <w:tblLook w:val="04A0"/>
      </w:tblPr>
      <w:tblGrid>
        <w:gridCol w:w="3249"/>
        <w:gridCol w:w="5711"/>
      </w:tblGrid>
      <w:tr w:rsidR="0033737D" w:rsidRPr="00561D8B" w:rsidTr="0033737D">
        <w:trPr>
          <w:tblHeader/>
          <w:jc w:val="center"/>
        </w:trPr>
        <w:tc>
          <w:tcPr>
            <w:tcW w:w="3249" w:type="dxa"/>
            <w:tcBorders>
              <w:top w:val="single" w:sz="8" w:space="0" w:color="4F81BD"/>
              <w:left w:val="nil"/>
              <w:bottom w:val="single" w:sz="8" w:space="0" w:color="4F81BD"/>
              <w:right w:val="nil"/>
            </w:tcBorders>
          </w:tcPr>
          <w:p w:rsidR="0033737D" w:rsidRPr="00561D8B" w:rsidRDefault="0033737D" w:rsidP="00DA1C63">
            <w:pPr>
              <w:spacing w:line="240" w:lineRule="auto"/>
              <w:ind w:left="0" w:firstLine="0"/>
              <w:jc w:val="left"/>
              <w:rPr>
                <w:b/>
                <w:bCs/>
                <w:color w:val="365F91"/>
                <w:sz w:val="22"/>
                <w:szCs w:val="22"/>
              </w:rPr>
            </w:pPr>
            <w:r w:rsidRPr="00561D8B">
              <w:rPr>
                <w:b/>
                <w:bCs/>
                <w:color w:val="365F91"/>
                <w:sz w:val="22"/>
                <w:szCs w:val="22"/>
              </w:rPr>
              <w:t>Milestone</w:t>
            </w:r>
          </w:p>
        </w:tc>
        <w:tc>
          <w:tcPr>
            <w:tcW w:w="5711" w:type="dxa"/>
            <w:tcBorders>
              <w:top w:val="single" w:sz="8" w:space="0" w:color="4F81BD"/>
              <w:left w:val="nil"/>
              <w:bottom w:val="single" w:sz="8" w:space="0" w:color="4F81BD"/>
              <w:right w:val="nil"/>
            </w:tcBorders>
          </w:tcPr>
          <w:p w:rsidR="0033737D" w:rsidRPr="00561D8B" w:rsidRDefault="0033737D" w:rsidP="00DA1C63">
            <w:pPr>
              <w:spacing w:line="240" w:lineRule="auto"/>
              <w:ind w:left="0" w:firstLine="0"/>
              <w:jc w:val="left"/>
              <w:rPr>
                <w:b/>
                <w:bCs/>
                <w:color w:val="365F91"/>
                <w:sz w:val="22"/>
                <w:szCs w:val="22"/>
              </w:rPr>
            </w:pPr>
            <w:r w:rsidRPr="00561D8B">
              <w:rPr>
                <w:b/>
                <w:bCs/>
                <w:color w:val="365F91"/>
                <w:sz w:val="22"/>
                <w:szCs w:val="22"/>
              </w:rPr>
              <w:t>Milestone Description</w:t>
            </w:r>
          </w:p>
        </w:tc>
      </w:tr>
      <w:tr w:rsidR="0033737D" w:rsidRPr="00561D8B" w:rsidTr="0033737D">
        <w:trPr>
          <w:jc w:val="center"/>
        </w:trPr>
        <w:tc>
          <w:tcPr>
            <w:tcW w:w="3249" w:type="dxa"/>
            <w:tcBorders>
              <w:left w:val="nil"/>
              <w:right w:val="nil"/>
            </w:tcBorders>
            <w:shd w:val="clear" w:color="auto" w:fill="D3DFEE"/>
          </w:tcPr>
          <w:p w:rsidR="0033737D" w:rsidRPr="00C3456B" w:rsidRDefault="0033737D" w:rsidP="00DA1C63">
            <w:pPr>
              <w:ind w:left="0" w:firstLine="0"/>
              <w:jc w:val="left"/>
              <w:rPr>
                <w:b/>
                <w:bCs/>
                <w:color w:val="365F91"/>
                <w:sz w:val="18"/>
                <w:szCs w:val="16"/>
              </w:rPr>
            </w:pPr>
            <w:r w:rsidRPr="00C3456B">
              <w:rPr>
                <w:b/>
                <w:bCs/>
                <w:color w:val="365F91"/>
                <w:sz w:val="18"/>
                <w:szCs w:val="16"/>
              </w:rPr>
              <w:t>Background Investigation</w:t>
            </w:r>
          </w:p>
        </w:tc>
        <w:tc>
          <w:tcPr>
            <w:tcW w:w="5711" w:type="dxa"/>
            <w:tcBorders>
              <w:left w:val="nil"/>
              <w:right w:val="nil"/>
            </w:tcBorders>
            <w:shd w:val="clear" w:color="auto" w:fill="D3DFEE"/>
          </w:tcPr>
          <w:p w:rsidR="0033737D" w:rsidRPr="00CC41BD" w:rsidRDefault="0033737D" w:rsidP="00DA1C63">
            <w:pPr>
              <w:spacing w:line="240" w:lineRule="auto"/>
              <w:ind w:left="0" w:firstLine="0"/>
              <w:jc w:val="left"/>
              <w:rPr>
                <w:color w:val="365F91"/>
                <w:sz w:val="18"/>
                <w:szCs w:val="16"/>
              </w:rPr>
            </w:pPr>
            <w:r w:rsidRPr="00CC41BD">
              <w:rPr>
                <w:color w:val="365F91"/>
                <w:sz w:val="18"/>
                <w:szCs w:val="16"/>
              </w:rPr>
              <w:t>Complete adjudication or verification of background investigations for all employees and contractors</w:t>
            </w:r>
          </w:p>
        </w:tc>
      </w:tr>
      <w:tr w:rsidR="0033737D" w:rsidRPr="00561D8B" w:rsidTr="0033737D">
        <w:trPr>
          <w:jc w:val="center"/>
        </w:trPr>
        <w:tc>
          <w:tcPr>
            <w:tcW w:w="3249" w:type="dxa"/>
          </w:tcPr>
          <w:p w:rsidR="0033737D" w:rsidRPr="00C3456B" w:rsidRDefault="0033737D" w:rsidP="00DA1C63">
            <w:pPr>
              <w:ind w:left="0" w:firstLine="0"/>
              <w:jc w:val="left"/>
              <w:rPr>
                <w:b/>
                <w:bCs/>
                <w:color w:val="365F91"/>
                <w:sz w:val="18"/>
                <w:szCs w:val="16"/>
              </w:rPr>
            </w:pPr>
            <w:r w:rsidRPr="00C3456B">
              <w:rPr>
                <w:b/>
                <w:bCs/>
                <w:color w:val="365F91"/>
                <w:sz w:val="18"/>
                <w:szCs w:val="16"/>
              </w:rPr>
              <w:t>Achieved Issuance of PIV credentials</w:t>
            </w:r>
          </w:p>
        </w:tc>
        <w:tc>
          <w:tcPr>
            <w:tcW w:w="5711" w:type="dxa"/>
          </w:tcPr>
          <w:p w:rsidR="0033737D" w:rsidRPr="00CC41BD" w:rsidRDefault="0033737D" w:rsidP="00DA1C63">
            <w:pPr>
              <w:ind w:left="0" w:firstLine="0"/>
              <w:jc w:val="left"/>
              <w:rPr>
                <w:color w:val="365F91"/>
                <w:sz w:val="18"/>
                <w:szCs w:val="16"/>
              </w:rPr>
            </w:pPr>
            <w:r w:rsidRPr="00CC41BD">
              <w:rPr>
                <w:color w:val="365F91"/>
                <w:sz w:val="18"/>
                <w:szCs w:val="16"/>
              </w:rPr>
              <w:t xml:space="preserve">Achieved Issuance of PIV credentials to all new employees and contractors as part of the boarding process </w:t>
            </w:r>
          </w:p>
        </w:tc>
      </w:tr>
      <w:tr w:rsidR="0033737D" w:rsidRPr="00561D8B" w:rsidTr="0033737D">
        <w:trPr>
          <w:jc w:val="center"/>
        </w:trPr>
        <w:tc>
          <w:tcPr>
            <w:tcW w:w="3249" w:type="dxa"/>
            <w:tcBorders>
              <w:left w:val="nil"/>
              <w:right w:val="nil"/>
            </w:tcBorders>
            <w:shd w:val="clear" w:color="auto" w:fill="D3DFEE"/>
          </w:tcPr>
          <w:p w:rsidR="0033737D" w:rsidRPr="00C3456B" w:rsidRDefault="0033737D" w:rsidP="00DA1C63">
            <w:pPr>
              <w:ind w:left="0" w:firstLine="0"/>
              <w:jc w:val="left"/>
              <w:rPr>
                <w:b/>
                <w:bCs/>
                <w:color w:val="365F91"/>
                <w:sz w:val="18"/>
                <w:szCs w:val="16"/>
              </w:rPr>
            </w:pPr>
            <w:r w:rsidRPr="00C3456B">
              <w:rPr>
                <w:b/>
                <w:bCs/>
                <w:color w:val="365F91"/>
                <w:sz w:val="18"/>
                <w:szCs w:val="16"/>
              </w:rPr>
              <w:t>Finalize development of Energy Complex-wide Identity Management</w:t>
            </w:r>
          </w:p>
        </w:tc>
        <w:tc>
          <w:tcPr>
            <w:tcW w:w="5711" w:type="dxa"/>
            <w:tcBorders>
              <w:left w:val="nil"/>
              <w:right w:val="nil"/>
            </w:tcBorders>
            <w:shd w:val="clear" w:color="auto" w:fill="D3DFEE"/>
          </w:tcPr>
          <w:p w:rsidR="0033737D" w:rsidRPr="00CC41BD" w:rsidRDefault="0033737D" w:rsidP="00DA1C63">
            <w:pPr>
              <w:spacing w:line="240" w:lineRule="auto"/>
              <w:ind w:left="0" w:firstLine="0"/>
              <w:jc w:val="left"/>
              <w:rPr>
                <w:color w:val="365F91"/>
                <w:sz w:val="18"/>
                <w:szCs w:val="16"/>
              </w:rPr>
            </w:pPr>
            <w:r w:rsidRPr="00CC41BD">
              <w:rPr>
                <w:color w:val="365F91"/>
                <w:sz w:val="18"/>
                <w:szCs w:val="16"/>
              </w:rPr>
              <w:t>Finalize development of Energy Complex-wide Identity Management System plan</w:t>
            </w:r>
          </w:p>
        </w:tc>
      </w:tr>
      <w:tr w:rsidR="0033737D" w:rsidRPr="00561D8B" w:rsidTr="0033737D">
        <w:trPr>
          <w:jc w:val="center"/>
        </w:trPr>
        <w:tc>
          <w:tcPr>
            <w:tcW w:w="3249" w:type="dxa"/>
          </w:tcPr>
          <w:p w:rsidR="0033737D" w:rsidRPr="00C3456B" w:rsidRDefault="0033737D" w:rsidP="00DA1C63">
            <w:pPr>
              <w:ind w:left="0" w:firstLine="0"/>
              <w:jc w:val="left"/>
              <w:rPr>
                <w:b/>
                <w:bCs/>
                <w:color w:val="365F91"/>
                <w:sz w:val="18"/>
                <w:szCs w:val="16"/>
              </w:rPr>
            </w:pPr>
            <w:r w:rsidRPr="00C3456B">
              <w:rPr>
                <w:b/>
                <w:bCs/>
                <w:color w:val="365F91"/>
                <w:sz w:val="18"/>
                <w:szCs w:val="16"/>
              </w:rPr>
              <w:t>Physical and Logical System Upgrade Plan</w:t>
            </w:r>
          </w:p>
        </w:tc>
        <w:tc>
          <w:tcPr>
            <w:tcW w:w="5711" w:type="dxa"/>
          </w:tcPr>
          <w:p w:rsidR="0033737D" w:rsidRPr="00CC41BD" w:rsidRDefault="0033737D" w:rsidP="00DA1C63">
            <w:pPr>
              <w:ind w:left="0" w:firstLine="0"/>
              <w:jc w:val="left"/>
              <w:rPr>
                <w:color w:val="365F91"/>
                <w:sz w:val="18"/>
                <w:szCs w:val="16"/>
              </w:rPr>
            </w:pPr>
            <w:r w:rsidRPr="00CC41BD">
              <w:rPr>
                <w:color w:val="365F91"/>
                <w:sz w:val="18"/>
                <w:szCs w:val="16"/>
              </w:rPr>
              <w:t xml:space="preserve">Finalize implementation plan for physical and logical systems upgrades. </w:t>
            </w:r>
          </w:p>
        </w:tc>
      </w:tr>
      <w:tr w:rsidR="0033737D" w:rsidRPr="00561D8B" w:rsidTr="0033737D">
        <w:trPr>
          <w:jc w:val="center"/>
        </w:trPr>
        <w:tc>
          <w:tcPr>
            <w:tcW w:w="3249" w:type="dxa"/>
            <w:tcBorders>
              <w:left w:val="nil"/>
              <w:right w:val="nil"/>
            </w:tcBorders>
            <w:shd w:val="clear" w:color="auto" w:fill="D3DFEE"/>
          </w:tcPr>
          <w:p w:rsidR="0033737D" w:rsidRPr="00C3456B" w:rsidRDefault="0033737D" w:rsidP="00DA1C63">
            <w:pPr>
              <w:ind w:left="0" w:firstLine="0"/>
              <w:jc w:val="left"/>
              <w:rPr>
                <w:b/>
                <w:bCs/>
                <w:color w:val="365F91"/>
                <w:sz w:val="18"/>
                <w:szCs w:val="16"/>
              </w:rPr>
            </w:pPr>
            <w:r w:rsidRPr="00C3456B">
              <w:rPr>
                <w:b/>
                <w:bCs/>
                <w:color w:val="365F91"/>
                <w:sz w:val="18"/>
                <w:szCs w:val="16"/>
              </w:rPr>
              <w:t>Changeover of HQ physical access control system</w:t>
            </w:r>
          </w:p>
        </w:tc>
        <w:tc>
          <w:tcPr>
            <w:tcW w:w="5711" w:type="dxa"/>
            <w:tcBorders>
              <w:left w:val="nil"/>
              <w:right w:val="nil"/>
            </w:tcBorders>
            <w:shd w:val="clear" w:color="auto" w:fill="D3DFEE"/>
          </w:tcPr>
          <w:p w:rsidR="0033737D" w:rsidRPr="00CC41BD" w:rsidRDefault="0033737D" w:rsidP="00DA1C63">
            <w:pPr>
              <w:ind w:left="0" w:firstLine="0"/>
              <w:jc w:val="left"/>
              <w:rPr>
                <w:color w:val="365F91"/>
                <w:sz w:val="18"/>
                <w:szCs w:val="16"/>
              </w:rPr>
            </w:pPr>
            <w:r w:rsidRPr="00CC41BD">
              <w:rPr>
                <w:color w:val="365F91"/>
                <w:sz w:val="18"/>
                <w:szCs w:val="16"/>
              </w:rPr>
              <w:t xml:space="preserve">Begin changeover of HQ physical access control system from magnetic stripe to PIV credential. </w:t>
            </w:r>
          </w:p>
        </w:tc>
      </w:tr>
      <w:tr w:rsidR="0033737D" w:rsidRPr="00561D8B" w:rsidTr="0033737D">
        <w:trPr>
          <w:jc w:val="center"/>
        </w:trPr>
        <w:tc>
          <w:tcPr>
            <w:tcW w:w="3249" w:type="dxa"/>
          </w:tcPr>
          <w:p w:rsidR="0033737D" w:rsidRPr="00C3456B" w:rsidRDefault="0033737D" w:rsidP="00DA1C63">
            <w:pPr>
              <w:ind w:left="0" w:firstLine="0"/>
              <w:jc w:val="left"/>
              <w:rPr>
                <w:b/>
                <w:bCs/>
                <w:color w:val="365F91"/>
                <w:sz w:val="18"/>
                <w:szCs w:val="16"/>
              </w:rPr>
            </w:pPr>
            <w:r w:rsidRPr="00C3456B">
              <w:rPr>
                <w:b/>
                <w:bCs/>
                <w:color w:val="365F91"/>
                <w:sz w:val="18"/>
                <w:szCs w:val="16"/>
              </w:rPr>
              <w:t>Implementation of logical card readers</w:t>
            </w:r>
          </w:p>
        </w:tc>
        <w:tc>
          <w:tcPr>
            <w:tcW w:w="5711" w:type="dxa"/>
          </w:tcPr>
          <w:p w:rsidR="0033737D" w:rsidRPr="00CC41BD" w:rsidRDefault="0033737D" w:rsidP="00DA1C63">
            <w:pPr>
              <w:ind w:left="0" w:firstLine="0"/>
              <w:jc w:val="left"/>
              <w:rPr>
                <w:color w:val="365F91"/>
                <w:sz w:val="18"/>
                <w:szCs w:val="16"/>
              </w:rPr>
            </w:pPr>
            <w:r w:rsidRPr="00CC41BD">
              <w:rPr>
                <w:color w:val="365F91"/>
                <w:sz w:val="18"/>
                <w:szCs w:val="16"/>
              </w:rPr>
              <w:t xml:space="preserve">Begin roll-out and implementation of logical card readers on DOE-HQ DOECOE environment. </w:t>
            </w:r>
          </w:p>
        </w:tc>
      </w:tr>
      <w:tr w:rsidR="0033737D" w:rsidRPr="00561D8B" w:rsidTr="0033737D">
        <w:trPr>
          <w:jc w:val="center"/>
        </w:trPr>
        <w:tc>
          <w:tcPr>
            <w:tcW w:w="3249" w:type="dxa"/>
            <w:tcBorders>
              <w:left w:val="nil"/>
              <w:right w:val="nil"/>
            </w:tcBorders>
            <w:shd w:val="clear" w:color="auto" w:fill="D3DFEE"/>
          </w:tcPr>
          <w:p w:rsidR="0033737D" w:rsidRPr="00C3456B" w:rsidRDefault="0033737D" w:rsidP="00DA1C63">
            <w:pPr>
              <w:ind w:left="0" w:firstLine="0"/>
              <w:jc w:val="left"/>
              <w:rPr>
                <w:b/>
                <w:bCs/>
                <w:color w:val="365F91"/>
                <w:sz w:val="18"/>
                <w:szCs w:val="16"/>
              </w:rPr>
            </w:pPr>
            <w:r w:rsidRPr="00C3456B">
              <w:rPr>
                <w:b/>
                <w:bCs/>
                <w:color w:val="365F91"/>
                <w:sz w:val="18"/>
                <w:szCs w:val="16"/>
              </w:rPr>
              <w:t>Integration of PIV credentials</w:t>
            </w:r>
          </w:p>
        </w:tc>
        <w:tc>
          <w:tcPr>
            <w:tcW w:w="5711" w:type="dxa"/>
            <w:tcBorders>
              <w:left w:val="nil"/>
              <w:right w:val="nil"/>
            </w:tcBorders>
            <w:shd w:val="clear" w:color="auto" w:fill="D3DFEE"/>
          </w:tcPr>
          <w:p w:rsidR="0033737D" w:rsidRPr="00CC41BD" w:rsidRDefault="0033737D" w:rsidP="00DA1C63">
            <w:pPr>
              <w:ind w:left="0" w:firstLine="0"/>
              <w:jc w:val="left"/>
              <w:rPr>
                <w:color w:val="365F91"/>
                <w:sz w:val="18"/>
                <w:szCs w:val="16"/>
              </w:rPr>
            </w:pPr>
            <w:r w:rsidRPr="00CC41BD">
              <w:rPr>
                <w:color w:val="365F91"/>
                <w:sz w:val="18"/>
                <w:szCs w:val="16"/>
              </w:rPr>
              <w:t xml:space="preserve">Complete integration of PIV credentials with physical access systems </w:t>
            </w:r>
          </w:p>
        </w:tc>
      </w:tr>
      <w:tr w:rsidR="0033737D" w:rsidRPr="00561D8B" w:rsidTr="0033737D">
        <w:trPr>
          <w:jc w:val="center"/>
        </w:trPr>
        <w:tc>
          <w:tcPr>
            <w:tcW w:w="3249" w:type="dxa"/>
          </w:tcPr>
          <w:p w:rsidR="0033737D" w:rsidRPr="00C3456B" w:rsidRDefault="0033737D" w:rsidP="00DA1C63">
            <w:pPr>
              <w:ind w:left="0" w:firstLine="0"/>
              <w:jc w:val="left"/>
              <w:rPr>
                <w:b/>
                <w:bCs/>
                <w:color w:val="365F91"/>
                <w:sz w:val="18"/>
                <w:szCs w:val="16"/>
              </w:rPr>
            </w:pPr>
            <w:r w:rsidRPr="00C3456B">
              <w:rPr>
                <w:b/>
                <w:bCs/>
                <w:color w:val="365F91"/>
                <w:sz w:val="18"/>
                <w:szCs w:val="16"/>
              </w:rPr>
              <w:t>Integration of PIV credentials with DOE EITS logical access systems</w:t>
            </w:r>
          </w:p>
        </w:tc>
        <w:tc>
          <w:tcPr>
            <w:tcW w:w="5711" w:type="dxa"/>
          </w:tcPr>
          <w:p w:rsidR="0033737D" w:rsidRPr="00CC41BD" w:rsidRDefault="0033737D" w:rsidP="00DA1C63">
            <w:pPr>
              <w:ind w:left="0" w:firstLine="0"/>
              <w:jc w:val="left"/>
              <w:rPr>
                <w:color w:val="365F91"/>
                <w:sz w:val="18"/>
                <w:szCs w:val="16"/>
              </w:rPr>
            </w:pPr>
            <w:r w:rsidRPr="00CC41BD">
              <w:rPr>
                <w:color w:val="365F91"/>
                <w:sz w:val="18"/>
                <w:szCs w:val="16"/>
              </w:rPr>
              <w:t>Complete integration of PIV credentials with DOE EITS logical access systems</w:t>
            </w:r>
          </w:p>
        </w:tc>
      </w:tr>
    </w:tbl>
    <w:p w:rsidR="00F13248" w:rsidRPr="00561D8B" w:rsidRDefault="00F13248" w:rsidP="00DA1C63">
      <w:pPr>
        <w:ind w:left="0" w:firstLine="0"/>
        <w:jc w:val="left"/>
        <w:rPr>
          <w:sz w:val="24"/>
          <w:szCs w:val="24"/>
          <w:highlight w:val="yellow"/>
        </w:rPr>
      </w:pPr>
    </w:p>
    <w:p w:rsidR="00DB2DF3" w:rsidRPr="00561D8B" w:rsidRDefault="00F13248" w:rsidP="00DB2DF3">
      <w:pPr>
        <w:ind w:left="0" w:firstLine="0"/>
        <w:jc w:val="left"/>
        <w:rPr>
          <w:sz w:val="22"/>
          <w:szCs w:val="24"/>
        </w:rPr>
      </w:pPr>
      <w:r w:rsidRPr="00561D8B">
        <w:rPr>
          <w:sz w:val="22"/>
          <w:szCs w:val="24"/>
        </w:rPr>
        <w:t xml:space="preserve">In the future, DOE federal employees and their direct support contractors will be using their HSPD-12 credential to logon onto the computer and DOE network (i.e., Domain Logon) by 30 March 2012. The HSPD-12 credential will be used for </w:t>
      </w:r>
      <w:r w:rsidR="0033737D">
        <w:rPr>
          <w:sz w:val="22"/>
          <w:szCs w:val="24"/>
        </w:rPr>
        <w:t>d</w:t>
      </w:r>
      <w:r w:rsidRPr="00561D8B">
        <w:rPr>
          <w:sz w:val="22"/>
          <w:szCs w:val="24"/>
        </w:rPr>
        <w:t xml:space="preserve">omain </w:t>
      </w:r>
      <w:r w:rsidR="0033737D">
        <w:rPr>
          <w:sz w:val="22"/>
          <w:szCs w:val="24"/>
        </w:rPr>
        <w:t>l</w:t>
      </w:r>
      <w:r w:rsidRPr="00561D8B">
        <w:rPr>
          <w:sz w:val="22"/>
          <w:szCs w:val="24"/>
        </w:rPr>
        <w:t>ogon throughout DOE, including M&amp;O contracting facilities, as practical</w:t>
      </w:r>
      <w:r w:rsidR="00332A3F">
        <w:rPr>
          <w:sz w:val="22"/>
          <w:szCs w:val="24"/>
        </w:rPr>
        <w:t>.</w:t>
      </w:r>
    </w:p>
    <w:p w:rsidR="00CF130C" w:rsidRPr="003D7AAC" w:rsidRDefault="006E432B" w:rsidP="009E3804">
      <w:pPr>
        <w:pStyle w:val="Heading4"/>
        <w:numPr>
          <w:ilvl w:val="3"/>
          <w:numId w:val="14"/>
        </w:numPr>
        <w:spacing w:before="120" w:after="120"/>
        <w:ind w:left="1080" w:hanging="1080"/>
        <w:jc w:val="left"/>
        <w:rPr>
          <w:rFonts w:asciiTheme="majorHAnsi" w:hAnsiTheme="majorHAnsi" w:cs="Calibri"/>
          <w:color w:val="365F91"/>
          <w:sz w:val="36"/>
        </w:rPr>
      </w:pPr>
      <w:r>
        <w:rPr>
          <w:rFonts w:asciiTheme="majorHAnsi" w:hAnsiTheme="majorHAnsi" w:cs="Calibri"/>
          <w:noProof/>
          <w:color w:val="365F91"/>
        </w:rPr>
        <w:drawing>
          <wp:anchor distT="0" distB="0" distL="114300" distR="114300" simplePos="0" relativeHeight="251720704" behindDoc="0" locked="0" layoutInCell="1" allowOverlap="1">
            <wp:simplePos x="0" y="0"/>
            <wp:positionH relativeFrom="margin">
              <wp:posOffset>3800475</wp:posOffset>
            </wp:positionH>
            <wp:positionV relativeFrom="margin">
              <wp:posOffset>4067175</wp:posOffset>
            </wp:positionV>
            <wp:extent cx="2125980" cy="2667000"/>
            <wp:effectExtent l="19050" t="0" r="7620" b="0"/>
            <wp:wrapSquare wrapText="bothSides"/>
            <wp:docPr id="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2125980" cy="2667000"/>
                    </a:xfrm>
                    <a:prstGeom prst="rect">
                      <a:avLst/>
                    </a:prstGeom>
                    <a:noFill/>
                    <a:ln w="9525">
                      <a:noFill/>
                      <a:miter lim="800000"/>
                      <a:headEnd/>
                      <a:tailEnd/>
                    </a:ln>
                  </pic:spPr>
                </pic:pic>
              </a:graphicData>
            </a:graphic>
          </wp:anchor>
        </w:drawing>
      </w:r>
      <w:r w:rsidR="00AE14BC" w:rsidRPr="003D7AAC">
        <w:rPr>
          <w:rFonts w:asciiTheme="majorHAnsi" w:hAnsiTheme="majorHAnsi" w:cs="Calibri"/>
          <w:color w:val="365F91"/>
        </w:rPr>
        <w:t>T</w:t>
      </w:r>
      <w:bookmarkEnd w:id="539"/>
      <w:bookmarkEnd w:id="540"/>
      <w:r w:rsidR="004E30B4" w:rsidRPr="003D7AAC">
        <w:rPr>
          <w:rFonts w:asciiTheme="majorHAnsi" w:hAnsiTheme="majorHAnsi" w:cs="Calibri"/>
          <w:color w:val="365F91"/>
        </w:rPr>
        <w:t>rusted Internet Connection (TIC)</w:t>
      </w:r>
    </w:p>
    <w:p w:rsidR="004E30B4" w:rsidRPr="00561D8B" w:rsidRDefault="00CF130C" w:rsidP="00DA1C63">
      <w:pPr>
        <w:ind w:left="0" w:firstLine="0"/>
        <w:jc w:val="left"/>
        <w:rPr>
          <w:sz w:val="24"/>
          <w:szCs w:val="24"/>
        </w:rPr>
      </w:pPr>
      <w:r>
        <w:rPr>
          <w:sz w:val="22"/>
          <w:szCs w:val="24"/>
        </w:rPr>
        <w:t>A</w:t>
      </w:r>
      <w:r w:rsidR="004E30B4" w:rsidRPr="00561D8B">
        <w:rPr>
          <w:sz w:val="22"/>
          <w:szCs w:val="24"/>
        </w:rPr>
        <w:t xml:space="preserve">nother piece of DOE’s strategic </w:t>
      </w:r>
      <w:r w:rsidR="004E30B4">
        <w:rPr>
          <w:sz w:val="22"/>
          <w:szCs w:val="24"/>
        </w:rPr>
        <w:t>p</w:t>
      </w:r>
      <w:r w:rsidR="004E30B4" w:rsidRPr="00561D8B">
        <w:rPr>
          <w:sz w:val="22"/>
          <w:szCs w:val="24"/>
        </w:rPr>
        <w:t>riority is to modernize the wide area network infrastructure</w:t>
      </w:r>
      <w:r w:rsidR="004E30B4">
        <w:rPr>
          <w:sz w:val="22"/>
          <w:szCs w:val="24"/>
        </w:rPr>
        <w:t xml:space="preserve"> in</w:t>
      </w:r>
      <w:r w:rsidR="004E30B4" w:rsidRPr="00561D8B">
        <w:rPr>
          <w:sz w:val="22"/>
          <w:szCs w:val="24"/>
        </w:rPr>
        <w:t xml:space="preserve"> response to OMB Memorandum M-08-05</w:t>
      </w:r>
      <w:r w:rsidR="004E30B4">
        <w:rPr>
          <w:sz w:val="22"/>
          <w:szCs w:val="24"/>
        </w:rPr>
        <w:t>,</w:t>
      </w:r>
      <w:r w:rsidR="004E30B4" w:rsidRPr="00561D8B">
        <w:rPr>
          <w:sz w:val="22"/>
          <w:szCs w:val="24"/>
        </w:rPr>
        <w:t xml:space="preserve"> which is the Trusted Internet Connection (TIC) initiative.</w:t>
      </w:r>
      <w:r w:rsidR="00C3456B">
        <w:rPr>
          <w:sz w:val="22"/>
          <w:szCs w:val="24"/>
        </w:rPr>
        <w:t xml:space="preserve"> </w:t>
      </w:r>
      <w:r w:rsidR="004E30B4" w:rsidRPr="00561D8B">
        <w:rPr>
          <w:sz w:val="22"/>
          <w:szCs w:val="24"/>
        </w:rPr>
        <w:t xml:space="preserve">TIC consolidates the </w:t>
      </w:r>
      <w:r w:rsidR="001A483E">
        <w:rPr>
          <w:sz w:val="22"/>
          <w:szCs w:val="24"/>
        </w:rPr>
        <w:t>Department</w:t>
      </w:r>
      <w:r w:rsidR="004E30B4" w:rsidRPr="00561D8B">
        <w:rPr>
          <w:sz w:val="22"/>
          <w:szCs w:val="24"/>
        </w:rPr>
        <w:t>’s external internet connections to a smaller target of 50 connections, through the use of standardized and optimized “internet portals</w:t>
      </w:r>
      <w:r w:rsidR="0033737D">
        <w:rPr>
          <w:sz w:val="22"/>
          <w:szCs w:val="24"/>
        </w:rPr>
        <w:t>.”</w:t>
      </w:r>
      <w:r w:rsidR="00C3456B">
        <w:rPr>
          <w:sz w:val="22"/>
          <w:szCs w:val="24"/>
        </w:rPr>
        <w:t xml:space="preserve"> </w:t>
      </w:r>
      <w:r w:rsidR="004E30B4" w:rsidRPr="00561D8B">
        <w:rPr>
          <w:sz w:val="22"/>
          <w:szCs w:val="24"/>
        </w:rPr>
        <w:t>The TIC initiative will also provide improved monitoring, incident notification, direct operational support, defense-in-depth, improved security operations, and incidence response.</w:t>
      </w:r>
      <w:r w:rsidR="00C3456B">
        <w:rPr>
          <w:sz w:val="22"/>
          <w:szCs w:val="24"/>
        </w:rPr>
        <w:t xml:space="preserve"> </w:t>
      </w:r>
      <w:r w:rsidR="004E30B4" w:rsidRPr="00561D8B">
        <w:rPr>
          <w:sz w:val="22"/>
          <w:szCs w:val="24"/>
        </w:rPr>
        <w:t xml:space="preserve"> Additionally, TIC will ensure performance-based security and service level agreements between all parties.</w:t>
      </w:r>
      <w:r w:rsidR="00C3456B">
        <w:rPr>
          <w:sz w:val="22"/>
          <w:szCs w:val="24"/>
        </w:rPr>
        <w:t xml:space="preserve"> </w:t>
      </w:r>
      <w:r w:rsidR="004E30B4" w:rsidRPr="00561D8B">
        <w:rPr>
          <w:sz w:val="22"/>
          <w:szCs w:val="24"/>
        </w:rPr>
        <w:t>DOE is currently working on a federated agency plan for a TIC solution</w:t>
      </w:r>
      <w:r w:rsidR="004E30B4" w:rsidRPr="00561D8B">
        <w:rPr>
          <w:sz w:val="24"/>
          <w:szCs w:val="24"/>
        </w:rPr>
        <w:t>.</w:t>
      </w:r>
      <w:r w:rsidR="00C3456B">
        <w:rPr>
          <w:sz w:val="24"/>
          <w:szCs w:val="24"/>
        </w:rPr>
        <w:t xml:space="preserve"> </w:t>
      </w:r>
      <w:r w:rsidR="004E30B4" w:rsidRPr="00561D8B">
        <w:rPr>
          <w:sz w:val="24"/>
          <w:szCs w:val="24"/>
        </w:rPr>
        <w:t xml:space="preserve"> </w:t>
      </w:r>
    </w:p>
    <w:p w:rsidR="00BB31EB" w:rsidRDefault="00BB31EB">
      <w:pPr>
        <w:spacing w:line="240" w:lineRule="auto"/>
        <w:ind w:left="0" w:firstLine="0"/>
        <w:jc w:val="left"/>
        <w:rPr>
          <w:rFonts w:asciiTheme="majorHAnsi" w:eastAsia="Times New Roman" w:hAnsiTheme="majorHAnsi"/>
          <w:b/>
          <w:bCs/>
          <w:color w:val="365F91"/>
          <w:sz w:val="28"/>
          <w:szCs w:val="28"/>
        </w:rPr>
      </w:pPr>
      <w:bookmarkStart w:id="542" w:name="_Toc285522911"/>
      <w:bookmarkStart w:id="543" w:name="_Toc285534219"/>
      <w:bookmarkStart w:id="544" w:name="_Toc285548197"/>
      <w:bookmarkStart w:id="545" w:name="_Toc286753665"/>
      <w:r>
        <w:rPr>
          <w:rFonts w:asciiTheme="majorHAnsi" w:hAnsiTheme="majorHAnsi"/>
        </w:rPr>
        <w:br w:type="page"/>
      </w:r>
    </w:p>
    <w:p w:rsidR="00AE14BC" w:rsidRPr="003D7AAC" w:rsidRDefault="00AE14BC" w:rsidP="009E3804">
      <w:pPr>
        <w:pStyle w:val="Heading1"/>
        <w:numPr>
          <w:ilvl w:val="0"/>
          <w:numId w:val="14"/>
        </w:numPr>
        <w:spacing w:before="120" w:after="120"/>
        <w:jc w:val="left"/>
        <w:rPr>
          <w:rFonts w:asciiTheme="majorHAnsi" w:hAnsiTheme="majorHAnsi" w:cs="Calibri"/>
        </w:rPr>
      </w:pPr>
      <w:r w:rsidRPr="003D7AAC">
        <w:rPr>
          <w:rFonts w:asciiTheme="majorHAnsi" w:hAnsiTheme="majorHAnsi" w:cs="Calibri"/>
        </w:rPr>
        <w:t>Transition Plan</w:t>
      </w:r>
      <w:bookmarkEnd w:id="542"/>
      <w:bookmarkEnd w:id="543"/>
      <w:bookmarkEnd w:id="544"/>
      <w:bookmarkEnd w:id="545"/>
    </w:p>
    <w:p w:rsidR="00767B80" w:rsidRPr="00561D8B" w:rsidRDefault="00AE14BC" w:rsidP="00DA1C63">
      <w:pPr>
        <w:ind w:left="0" w:firstLine="0"/>
        <w:jc w:val="left"/>
        <w:rPr>
          <w:sz w:val="22"/>
          <w:szCs w:val="24"/>
        </w:rPr>
      </w:pPr>
      <w:r w:rsidRPr="00561D8B">
        <w:rPr>
          <w:sz w:val="22"/>
          <w:szCs w:val="24"/>
        </w:rPr>
        <w:t xml:space="preserve">DOE’s </w:t>
      </w:r>
      <w:r w:rsidR="004E30B4">
        <w:rPr>
          <w:sz w:val="22"/>
          <w:szCs w:val="24"/>
        </w:rPr>
        <w:t>ETP</w:t>
      </w:r>
      <w:r w:rsidR="001A483E">
        <w:rPr>
          <w:sz w:val="22"/>
          <w:szCs w:val="24"/>
        </w:rPr>
        <w:t xml:space="preserve"> depicts the Department</w:t>
      </w:r>
      <w:r w:rsidRPr="00561D8B">
        <w:rPr>
          <w:sz w:val="22"/>
          <w:szCs w:val="24"/>
        </w:rPr>
        <w:t xml:space="preserve">’s transition from the Baseline to the Target EA, as a high-level schedule represented by a Gantt chart in Figure </w:t>
      </w:r>
      <w:r w:rsidR="00802B5D">
        <w:rPr>
          <w:sz w:val="22"/>
          <w:szCs w:val="24"/>
        </w:rPr>
        <w:t>9</w:t>
      </w:r>
      <w:r w:rsidRPr="00561D8B">
        <w:rPr>
          <w:sz w:val="22"/>
          <w:szCs w:val="24"/>
        </w:rPr>
        <w:t xml:space="preserve"> below.</w:t>
      </w:r>
      <w:r w:rsidR="00C3456B">
        <w:rPr>
          <w:sz w:val="22"/>
          <w:szCs w:val="24"/>
        </w:rPr>
        <w:t xml:space="preserve"> </w:t>
      </w:r>
      <w:r w:rsidR="004E30B4">
        <w:rPr>
          <w:sz w:val="22"/>
          <w:szCs w:val="24"/>
        </w:rPr>
        <w:t>The</w:t>
      </w:r>
      <w:r w:rsidRPr="00561D8B">
        <w:rPr>
          <w:sz w:val="22"/>
          <w:szCs w:val="24"/>
        </w:rPr>
        <w:t xml:space="preserve"> Transition Strategy describes how DOE will migrate to the target state</w:t>
      </w:r>
      <w:r w:rsidR="004E30B4">
        <w:rPr>
          <w:sz w:val="22"/>
          <w:szCs w:val="24"/>
        </w:rPr>
        <w:t xml:space="preserve"> and </w:t>
      </w:r>
      <w:r w:rsidRPr="00561D8B">
        <w:rPr>
          <w:sz w:val="22"/>
          <w:szCs w:val="24"/>
        </w:rPr>
        <w:t xml:space="preserve">when DOE will achieve key activity and performance milestones to close performance gaps and accomplish improvement opportunities. </w:t>
      </w:r>
    </w:p>
    <w:p w:rsidR="00767B80" w:rsidRPr="00561D8B" w:rsidRDefault="00767B80" w:rsidP="00DA1C63">
      <w:pPr>
        <w:ind w:left="0" w:firstLine="0"/>
        <w:jc w:val="left"/>
        <w:rPr>
          <w:sz w:val="22"/>
          <w:szCs w:val="24"/>
        </w:rPr>
      </w:pPr>
    </w:p>
    <w:p w:rsidR="00767B80" w:rsidRDefault="00BB31EB" w:rsidP="00DA1C63">
      <w:pPr>
        <w:ind w:left="0" w:firstLine="0"/>
        <w:jc w:val="left"/>
        <w:rPr>
          <w:sz w:val="22"/>
          <w:szCs w:val="24"/>
        </w:rPr>
      </w:pPr>
      <w:r>
        <w:rPr>
          <w:noProof/>
          <w:sz w:val="22"/>
          <w:szCs w:val="24"/>
        </w:rPr>
        <w:drawing>
          <wp:anchor distT="0" distB="0" distL="114300" distR="114300" simplePos="0" relativeHeight="251726848" behindDoc="0" locked="0" layoutInCell="1" allowOverlap="1">
            <wp:simplePos x="0" y="0"/>
            <wp:positionH relativeFrom="margin">
              <wp:posOffset>-390525</wp:posOffset>
            </wp:positionH>
            <wp:positionV relativeFrom="margin">
              <wp:posOffset>1847850</wp:posOffset>
            </wp:positionV>
            <wp:extent cx="6810375" cy="4476750"/>
            <wp:effectExtent l="19050" t="0" r="9525" b="0"/>
            <wp:wrapSquare wrapText="bothSides"/>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a:stretch>
                      <a:fillRect/>
                    </a:stretch>
                  </pic:blipFill>
                  <pic:spPr bwMode="auto">
                    <a:xfrm>
                      <a:off x="0" y="0"/>
                      <a:ext cx="6810375" cy="4476750"/>
                    </a:xfrm>
                    <a:prstGeom prst="rect">
                      <a:avLst/>
                    </a:prstGeom>
                    <a:noFill/>
                    <a:ln w="9525">
                      <a:noFill/>
                      <a:miter lim="800000"/>
                      <a:headEnd/>
                      <a:tailEnd/>
                    </a:ln>
                  </pic:spPr>
                </pic:pic>
              </a:graphicData>
            </a:graphic>
          </wp:anchor>
        </w:drawing>
      </w:r>
      <w:r w:rsidR="00767B80" w:rsidRPr="00561D8B">
        <w:rPr>
          <w:sz w:val="22"/>
          <w:szCs w:val="24"/>
        </w:rPr>
        <w:t xml:space="preserve">This Transition Plan is subject to change as strategic drivers, priorities, </w:t>
      </w:r>
      <w:r w:rsidR="0033737D">
        <w:rPr>
          <w:sz w:val="22"/>
          <w:szCs w:val="24"/>
        </w:rPr>
        <w:t>and future</w:t>
      </w:r>
      <w:r w:rsidR="00767B80" w:rsidRPr="00561D8B">
        <w:rPr>
          <w:sz w:val="22"/>
          <w:szCs w:val="24"/>
        </w:rPr>
        <w:t xml:space="preserve"> opportunities may </w:t>
      </w:r>
      <w:r w:rsidR="0033737D">
        <w:rPr>
          <w:sz w:val="22"/>
          <w:szCs w:val="24"/>
        </w:rPr>
        <w:t>require</w:t>
      </w:r>
      <w:r w:rsidR="00767B80" w:rsidRPr="00561D8B">
        <w:rPr>
          <w:sz w:val="22"/>
          <w:szCs w:val="24"/>
        </w:rPr>
        <w:t xml:space="preserve"> revision</w:t>
      </w:r>
      <w:r w:rsidR="0033737D">
        <w:rPr>
          <w:sz w:val="22"/>
          <w:szCs w:val="24"/>
        </w:rPr>
        <w:t>s</w:t>
      </w:r>
      <w:r w:rsidR="00767B80" w:rsidRPr="00561D8B">
        <w:rPr>
          <w:sz w:val="22"/>
          <w:szCs w:val="24"/>
        </w:rPr>
        <w:t xml:space="preserve"> to the target segment architectures and Target EA.</w:t>
      </w:r>
    </w:p>
    <w:p w:rsidR="005D603C" w:rsidRDefault="00D52312" w:rsidP="00DA1C63">
      <w:pPr>
        <w:ind w:left="0" w:firstLine="0"/>
        <w:jc w:val="left"/>
        <w:rPr>
          <w:sz w:val="22"/>
          <w:szCs w:val="24"/>
        </w:rPr>
      </w:pPr>
      <w:r w:rsidRPr="00D52312">
        <w:rPr>
          <w:noProof/>
        </w:rPr>
        <w:pict>
          <v:shape id="_x0000_s1229" type="#_x0000_t202" style="position:absolute;margin-left:-41.25pt;margin-top:375.55pt;width:538pt;height:14.05pt;z-index:251763712" stroked="f">
            <v:textbox style="mso-next-textbox:#_x0000_s1229;mso-fit-shape-to-text:t" inset="0,0,0,0">
              <w:txbxContent>
                <w:p w:rsidR="00F929E8" w:rsidRPr="00FA320B" w:rsidRDefault="00F929E8" w:rsidP="00F94B03">
                  <w:pPr>
                    <w:pStyle w:val="Caption"/>
                    <w:jc w:val="center"/>
                    <w:rPr>
                      <w:rFonts w:eastAsia="Calibri" w:cs="Calibri"/>
                      <w:noProof/>
                      <w:szCs w:val="24"/>
                    </w:rPr>
                  </w:pPr>
                  <w:bookmarkStart w:id="546" w:name="_Toc286762567"/>
                  <w:r>
                    <w:t xml:space="preserve">Figure </w:t>
                  </w:r>
                  <w:fldSimple w:instr=" SEQ Figure \* ARABIC ">
                    <w:r w:rsidR="00C068AF">
                      <w:rPr>
                        <w:noProof/>
                      </w:rPr>
                      <w:t>9</w:t>
                    </w:r>
                  </w:fldSimple>
                  <w:r>
                    <w:t xml:space="preserve"> - DOE Transition Timeline</w:t>
                  </w:r>
                  <w:bookmarkEnd w:id="546"/>
                </w:p>
              </w:txbxContent>
            </v:textbox>
            <w10:wrap type="square"/>
          </v:shape>
        </w:pict>
      </w:r>
      <w:r w:rsidR="00244D35">
        <w:rPr>
          <w:sz w:val="22"/>
          <w:szCs w:val="24"/>
        </w:rPr>
        <w:br w:type="page"/>
      </w:r>
    </w:p>
    <w:p w:rsidR="0040480E" w:rsidRPr="00806886" w:rsidRDefault="0040480E" w:rsidP="0040480E">
      <w:pPr>
        <w:pStyle w:val="Heading1"/>
        <w:spacing w:before="0"/>
        <w:ind w:left="0" w:firstLine="0"/>
        <w:jc w:val="left"/>
        <w:rPr>
          <w:rFonts w:asciiTheme="majorHAnsi" w:hAnsiTheme="majorHAnsi" w:cs="Calibri"/>
        </w:rPr>
      </w:pPr>
      <w:bookmarkStart w:id="547" w:name="_Toc286753666"/>
      <w:bookmarkStart w:id="548" w:name="_Toc285355682"/>
      <w:r w:rsidRPr="00806886">
        <w:rPr>
          <w:rFonts w:asciiTheme="majorHAnsi" w:hAnsiTheme="majorHAnsi" w:cs="Calibri"/>
        </w:rPr>
        <w:t xml:space="preserve">Appendix </w:t>
      </w:r>
      <w:r w:rsidR="00C179FD" w:rsidRPr="00806886">
        <w:rPr>
          <w:rFonts w:asciiTheme="majorHAnsi" w:hAnsiTheme="majorHAnsi" w:cs="Calibri"/>
        </w:rPr>
        <w:t>A</w:t>
      </w:r>
      <w:r w:rsidRPr="00806886">
        <w:rPr>
          <w:rFonts w:asciiTheme="majorHAnsi" w:hAnsiTheme="majorHAnsi" w:cs="Calibri"/>
        </w:rPr>
        <w:t xml:space="preserve"> – EA Repository Features and Capabilities</w:t>
      </w:r>
      <w:bookmarkEnd w:id="547"/>
    </w:p>
    <w:tbl>
      <w:tblPr>
        <w:tblpPr w:leftFromText="180" w:rightFromText="180" w:vertAnchor="text" w:horzAnchor="margin"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6588"/>
      </w:tblGrid>
      <w:tr w:rsidR="0040480E" w:rsidRPr="00561D8B" w:rsidTr="0060513B">
        <w:tc>
          <w:tcPr>
            <w:tcW w:w="2628" w:type="dxa"/>
            <w:shd w:val="clear" w:color="auto" w:fill="DBE5F1"/>
          </w:tcPr>
          <w:p w:rsidR="0040480E" w:rsidRPr="00561D8B" w:rsidRDefault="0040480E" w:rsidP="0060513B">
            <w:pPr>
              <w:ind w:left="0" w:firstLine="0"/>
              <w:jc w:val="left"/>
              <w:rPr>
                <w:rFonts w:eastAsia="Times New Roman"/>
                <w:b/>
              </w:rPr>
            </w:pPr>
            <w:r w:rsidRPr="00561D8B">
              <w:rPr>
                <w:rFonts w:eastAsia="Times New Roman"/>
                <w:b/>
              </w:rPr>
              <w:t>Repository Features</w:t>
            </w:r>
          </w:p>
        </w:tc>
        <w:tc>
          <w:tcPr>
            <w:tcW w:w="6588" w:type="dxa"/>
            <w:shd w:val="clear" w:color="auto" w:fill="DBE5F1"/>
          </w:tcPr>
          <w:p w:rsidR="0040480E" w:rsidRPr="00561D8B" w:rsidRDefault="0040480E" w:rsidP="0060513B">
            <w:pPr>
              <w:ind w:left="0" w:firstLine="0"/>
              <w:jc w:val="left"/>
              <w:rPr>
                <w:rFonts w:eastAsia="Times New Roman"/>
                <w:b/>
              </w:rPr>
            </w:pPr>
            <w:r w:rsidRPr="00561D8B">
              <w:rPr>
                <w:rFonts w:eastAsia="Times New Roman"/>
                <w:b/>
              </w:rPr>
              <w:t>Repository Capabilities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Alternative Analysis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Identification of existing assets and capabilities to satisfy new functional requirements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Impact Analysis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Impact of change to current systems across business, data, and technology</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Redundancy and Duplication Analysis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Identification and elimination of duplicative/overlapping efforts in spending and technology</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Portfolio Analysis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Investment analysis and alignment by business function, segment, location, mission area, and program</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Architectural Support</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Identification of potential enterprise standards and solution architectures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Information Dissemination</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User centric views/dashboards of information (business and technical) easily accessible via the web with user-friendly navigation</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Multi-User Access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Internet Browser accessible for multiple users with no client tools or per user license restrictions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Global Search</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Ability to query the repository by keyword across all information types including architectural alignment across domains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Reports &amp; Analytics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Pre-defined and dynamic reports and tools to aid research and analysis efforts for performing strategic alignment, technical impact, alternative, and redundancy and duplication analyses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Architecture &amp; Portfolio Perspectives</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Ability to view architectural and portfolio infor</w:t>
            </w:r>
            <w:r>
              <w:rPr>
                <w:rFonts w:eastAsia="Times New Roman"/>
              </w:rPr>
              <w:t>mation relevant to the various Department</w:t>
            </w:r>
            <w:r w:rsidRPr="00561D8B">
              <w:rPr>
                <w:rFonts w:eastAsia="Times New Roman"/>
              </w:rPr>
              <w:t>al programs and stakeholders</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Data Exchange</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Ability to import/export data in various formats including CSV, XML, Excel</w:t>
            </w:r>
          </w:p>
        </w:tc>
      </w:tr>
      <w:tr w:rsidR="0040480E" w:rsidRPr="00561D8B" w:rsidTr="0060513B">
        <w:tc>
          <w:tcPr>
            <w:tcW w:w="2628" w:type="dxa"/>
            <w:shd w:val="clear" w:color="auto" w:fill="FFFFFF"/>
          </w:tcPr>
          <w:p w:rsidR="0040480E" w:rsidRPr="00561D8B" w:rsidRDefault="0040480E" w:rsidP="0060513B">
            <w:pPr>
              <w:ind w:left="0" w:firstLine="0"/>
              <w:jc w:val="left"/>
              <w:rPr>
                <w:rFonts w:eastAsia="Times New Roman"/>
                <w:b/>
              </w:rPr>
            </w:pPr>
            <w:r w:rsidRPr="00561D8B">
              <w:rPr>
                <w:rFonts w:eastAsia="Times New Roman"/>
                <w:b/>
              </w:rPr>
              <w:t>Flexible Data Model</w:t>
            </w:r>
          </w:p>
        </w:tc>
        <w:tc>
          <w:tcPr>
            <w:tcW w:w="6588" w:type="dxa"/>
            <w:shd w:val="clear" w:color="auto" w:fill="FFFFFF"/>
          </w:tcPr>
          <w:p w:rsidR="0040480E" w:rsidRPr="00561D8B" w:rsidRDefault="0040480E" w:rsidP="0060513B">
            <w:pPr>
              <w:ind w:left="0" w:firstLine="0"/>
              <w:jc w:val="left"/>
              <w:rPr>
                <w:rFonts w:eastAsia="Times New Roman"/>
              </w:rPr>
            </w:pPr>
            <w:r w:rsidRPr="00561D8B">
              <w:rPr>
                <w:rFonts w:eastAsia="Times New Roman"/>
              </w:rPr>
              <w:t>Support for dynamic Object Types, Object Attributes, and Relationship Types</w:t>
            </w:r>
          </w:p>
        </w:tc>
      </w:tr>
    </w:tbl>
    <w:p w:rsidR="007E6561" w:rsidRPr="00DA1215" w:rsidRDefault="00756B23" w:rsidP="007E6561">
      <w:pPr>
        <w:pStyle w:val="Heading1"/>
        <w:spacing w:before="0"/>
        <w:ind w:left="0" w:firstLine="0"/>
        <w:jc w:val="left"/>
        <w:rPr>
          <w:rFonts w:ascii="Calibri" w:hAnsi="Calibri" w:cs="Calibri"/>
          <w:color w:val="548DD4"/>
        </w:rPr>
      </w:pPr>
      <w:r>
        <w:rPr>
          <w:rFonts w:ascii="Calibri" w:hAnsi="Calibri" w:cs="Calibri"/>
        </w:rPr>
        <w:br w:type="page"/>
      </w:r>
    </w:p>
    <w:p w:rsidR="0079073B" w:rsidRPr="00806886" w:rsidRDefault="0079073B" w:rsidP="0079073B">
      <w:pPr>
        <w:pStyle w:val="Heading1"/>
        <w:spacing w:before="0"/>
        <w:ind w:left="0" w:firstLine="0"/>
        <w:jc w:val="left"/>
        <w:rPr>
          <w:rFonts w:asciiTheme="majorHAnsi" w:hAnsiTheme="majorHAnsi" w:cs="Calibri"/>
        </w:rPr>
      </w:pPr>
      <w:bookmarkStart w:id="549" w:name="_Toc286753667"/>
      <w:r w:rsidRPr="00806886">
        <w:rPr>
          <w:rFonts w:asciiTheme="majorHAnsi" w:hAnsiTheme="majorHAnsi" w:cs="Calibri"/>
        </w:rPr>
        <w:t xml:space="preserve">Appendix </w:t>
      </w:r>
      <w:r w:rsidR="00C179FD" w:rsidRPr="00806886">
        <w:rPr>
          <w:rFonts w:asciiTheme="majorHAnsi" w:hAnsiTheme="majorHAnsi" w:cs="Calibri"/>
        </w:rPr>
        <w:t>B</w:t>
      </w:r>
      <w:r w:rsidRPr="00806886">
        <w:rPr>
          <w:rFonts w:asciiTheme="majorHAnsi" w:hAnsiTheme="majorHAnsi" w:cs="Calibri"/>
        </w:rPr>
        <w:t xml:space="preserve"> –</w:t>
      </w:r>
      <w:r w:rsidR="00E22AE4">
        <w:rPr>
          <w:rFonts w:asciiTheme="majorHAnsi" w:hAnsiTheme="majorHAnsi" w:cs="Calibri"/>
        </w:rPr>
        <w:t xml:space="preserve"> </w:t>
      </w:r>
      <w:r w:rsidRPr="00806886">
        <w:rPr>
          <w:rFonts w:asciiTheme="majorHAnsi" w:hAnsiTheme="majorHAnsi" w:cs="Calibri"/>
        </w:rPr>
        <w:t>DOE Baseline Architecture</w:t>
      </w:r>
      <w:bookmarkEnd w:id="549"/>
    </w:p>
    <w:p w:rsidR="0079073B" w:rsidRDefault="0079073B" w:rsidP="0079073B"/>
    <w:p w:rsidR="0079073B" w:rsidRPr="00DA7901" w:rsidRDefault="0079073B" w:rsidP="0079073B">
      <w:pPr>
        <w:pStyle w:val="Heading2"/>
        <w:rPr>
          <w:color w:val="548DD4"/>
          <w:sz w:val="28"/>
        </w:rPr>
      </w:pPr>
      <w:bookmarkStart w:id="550" w:name="_Toc286753668"/>
      <w:r>
        <w:rPr>
          <w:color w:val="548DD4"/>
          <w:sz w:val="28"/>
        </w:rPr>
        <w:t xml:space="preserve">DOE Baseline </w:t>
      </w:r>
      <w:r w:rsidRPr="00DA7901">
        <w:rPr>
          <w:color w:val="548DD4"/>
          <w:sz w:val="28"/>
        </w:rPr>
        <w:t>Performance and Strategy Layer</w:t>
      </w:r>
      <w:bookmarkEnd w:id="550"/>
    </w:p>
    <w:p w:rsidR="0079073B" w:rsidRDefault="0079073B" w:rsidP="0079073B"/>
    <w:p w:rsidR="0079073B" w:rsidRDefault="0079073B" w:rsidP="0079073B"/>
    <w:p w:rsidR="0079073B" w:rsidRDefault="006E432B" w:rsidP="0079073B">
      <w:r>
        <w:rPr>
          <w:noProof/>
        </w:rPr>
        <w:drawing>
          <wp:anchor distT="0" distB="0" distL="114300" distR="114300" simplePos="0" relativeHeight="251748352" behindDoc="0" locked="0" layoutInCell="1" allowOverlap="1">
            <wp:simplePos x="0" y="0"/>
            <wp:positionH relativeFrom="margin">
              <wp:posOffset>828675</wp:posOffset>
            </wp:positionH>
            <wp:positionV relativeFrom="margin">
              <wp:posOffset>1238250</wp:posOffset>
            </wp:positionV>
            <wp:extent cx="4333875" cy="3962400"/>
            <wp:effectExtent l="19050" t="0" r="9525" b="0"/>
            <wp:wrapSquare wrapText="bothSides"/>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333875" cy="3962400"/>
                    </a:xfrm>
                    <a:prstGeom prst="rect">
                      <a:avLst/>
                    </a:prstGeom>
                    <a:noFill/>
                    <a:ln w="9525">
                      <a:noFill/>
                      <a:miter lim="800000"/>
                      <a:headEnd/>
                      <a:tailEnd/>
                    </a:ln>
                  </pic:spPr>
                </pic:pic>
              </a:graphicData>
            </a:graphic>
          </wp:anchor>
        </w:drawing>
      </w:r>
    </w:p>
    <w:p w:rsidR="0079073B" w:rsidRDefault="0079073B" w:rsidP="0079073B"/>
    <w:p w:rsidR="0079073B" w:rsidRDefault="0079073B" w:rsidP="0079073B"/>
    <w:p w:rsidR="003960AE" w:rsidRDefault="003960AE">
      <w:pPr>
        <w:spacing w:line="240" w:lineRule="auto"/>
        <w:ind w:left="0" w:firstLine="0"/>
        <w:jc w:val="left"/>
        <w:rPr>
          <w:rFonts w:ascii="Cambria" w:eastAsia="Times New Roman" w:hAnsi="Cambria" w:cs="Times New Roman"/>
          <w:b/>
          <w:bCs/>
          <w:color w:val="548DD4"/>
          <w:sz w:val="28"/>
          <w:szCs w:val="26"/>
        </w:rPr>
      </w:pPr>
      <w:r>
        <w:rPr>
          <w:color w:val="548DD4"/>
          <w:sz w:val="28"/>
        </w:rPr>
        <w:br w:type="page"/>
      </w:r>
    </w:p>
    <w:p w:rsidR="0079073B" w:rsidRDefault="0079073B" w:rsidP="0079073B">
      <w:pPr>
        <w:pStyle w:val="Heading2"/>
        <w:jc w:val="left"/>
        <w:rPr>
          <w:color w:val="548DD4"/>
          <w:sz w:val="28"/>
        </w:rPr>
      </w:pPr>
      <w:bookmarkStart w:id="551" w:name="_Toc286753669"/>
      <w:r>
        <w:rPr>
          <w:color w:val="548DD4"/>
          <w:sz w:val="28"/>
        </w:rPr>
        <w:t xml:space="preserve">DOE Baseline </w:t>
      </w:r>
      <w:r w:rsidRPr="00BA7190">
        <w:rPr>
          <w:color w:val="548DD4"/>
          <w:sz w:val="28"/>
        </w:rPr>
        <w:t>Business Layer</w:t>
      </w:r>
      <w:r>
        <w:rPr>
          <w:color w:val="548DD4"/>
          <w:sz w:val="28"/>
        </w:rPr>
        <w:t xml:space="preserve"> – Mission/Business Areas</w:t>
      </w:r>
      <w:bookmarkEnd w:id="551"/>
    </w:p>
    <w:p w:rsidR="0079073B" w:rsidRDefault="0079073B" w:rsidP="0079073B"/>
    <w:p w:rsidR="0079073B" w:rsidRDefault="006E432B" w:rsidP="0079073B">
      <w:r>
        <w:rPr>
          <w:noProof/>
        </w:rPr>
        <w:drawing>
          <wp:anchor distT="0" distB="0" distL="114300" distR="114300" simplePos="0" relativeHeight="251745280" behindDoc="0" locked="0" layoutInCell="1" allowOverlap="1">
            <wp:simplePos x="0" y="0"/>
            <wp:positionH relativeFrom="margin">
              <wp:posOffset>704850</wp:posOffset>
            </wp:positionH>
            <wp:positionV relativeFrom="margin">
              <wp:posOffset>571500</wp:posOffset>
            </wp:positionV>
            <wp:extent cx="4714875" cy="6781800"/>
            <wp:effectExtent l="0" t="0" r="0" b="0"/>
            <wp:wrapSquare wrapText="bothSides"/>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4714875" cy="6781800"/>
                    </a:xfrm>
                    <a:prstGeom prst="rect">
                      <a:avLst/>
                    </a:prstGeom>
                    <a:noFill/>
                    <a:ln w="9525">
                      <a:noFill/>
                      <a:miter lim="800000"/>
                      <a:headEnd/>
                      <a:tailEnd/>
                    </a:ln>
                  </pic:spPr>
                </pic:pic>
              </a:graphicData>
            </a:graphic>
          </wp:anchor>
        </w:drawing>
      </w:r>
    </w:p>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Pr="00B748D0" w:rsidRDefault="0079073B" w:rsidP="0079073B"/>
    <w:p w:rsidR="0079073B" w:rsidRDefault="0079073B" w:rsidP="0079073B"/>
    <w:p w:rsidR="0079073B" w:rsidRDefault="0079073B" w:rsidP="0079073B"/>
    <w:p w:rsidR="0079073B" w:rsidRDefault="0079073B" w:rsidP="0079073B"/>
    <w:p w:rsidR="0079073B" w:rsidRDefault="0079073B" w:rsidP="0079073B">
      <w:pPr>
        <w:spacing w:line="240" w:lineRule="auto"/>
        <w:ind w:left="0" w:firstLine="0"/>
        <w:jc w:val="left"/>
      </w:pPr>
      <w:r>
        <w:br w:type="page"/>
      </w:r>
    </w:p>
    <w:p w:rsidR="0079073B" w:rsidRDefault="0079073B" w:rsidP="0079073B">
      <w:pPr>
        <w:pStyle w:val="Heading2"/>
        <w:jc w:val="left"/>
        <w:rPr>
          <w:color w:val="548DD4"/>
          <w:sz w:val="28"/>
        </w:rPr>
      </w:pPr>
      <w:bookmarkStart w:id="552" w:name="_Toc286753670"/>
      <w:r>
        <w:rPr>
          <w:color w:val="548DD4"/>
          <w:sz w:val="28"/>
        </w:rPr>
        <w:t xml:space="preserve">DOE Baseline </w:t>
      </w:r>
      <w:r w:rsidRPr="00BA7190">
        <w:rPr>
          <w:color w:val="548DD4"/>
          <w:sz w:val="28"/>
        </w:rPr>
        <w:t>Business Layer</w:t>
      </w:r>
      <w:r>
        <w:rPr>
          <w:color w:val="548DD4"/>
          <w:sz w:val="28"/>
        </w:rPr>
        <w:t xml:space="preserve"> – General Management</w:t>
      </w:r>
      <w:bookmarkEnd w:id="552"/>
    </w:p>
    <w:p w:rsidR="0079073B" w:rsidRDefault="0079073B" w:rsidP="0079073B"/>
    <w:p w:rsidR="0079073B" w:rsidRDefault="00E22AE4" w:rsidP="0079073B">
      <w:r>
        <w:rPr>
          <w:noProof/>
        </w:rPr>
        <w:drawing>
          <wp:anchor distT="0" distB="0" distL="114300" distR="114300" simplePos="0" relativeHeight="251750400" behindDoc="0" locked="0" layoutInCell="1" allowOverlap="1">
            <wp:simplePos x="0" y="0"/>
            <wp:positionH relativeFrom="margin">
              <wp:align>center</wp:align>
            </wp:positionH>
            <wp:positionV relativeFrom="margin">
              <wp:posOffset>571500</wp:posOffset>
            </wp:positionV>
            <wp:extent cx="4000500" cy="5686425"/>
            <wp:effectExtent l="0" t="0" r="0" b="0"/>
            <wp:wrapSquare wrapText="bothSides"/>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000500" cy="5686425"/>
                    </a:xfrm>
                    <a:prstGeom prst="rect">
                      <a:avLst/>
                    </a:prstGeom>
                    <a:noFill/>
                    <a:ln w="9525">
                      <a:noFill/>
                      <a:miter lim="800000"/>
                      <a:headEnd/>
                      <a:tailEnd/>
                    </a:ln>
                  </pic:spPr>
                </pic:pic>
              </a:graphicData>
            </a:graphic>
          </wp:anchor>
        </w:drawing>
      </w:r>
    </w:p>
    <w:p w:rsidR="0079073B" w:rsidRDefault="0079073B" w:rsidP="0079073B">
      <w:pPr>
        <w:spacing w:line="240" w:lineRule="auto"/>
        <w:ind w:left="0" w:firstLine="0"/>
        <w:jc w:val="left"/>
      </w:pPr>
      <w:r>
        <w:br w:type="page"/>
      </w:r>
    </w:p>
    <w:p w:rsidR="0079073B" w:rsidRPr="00BA7190" w:rsidRDefault="0079073B" w:rsidP="0079073B">
      <w:pPr>
        <w:pStyle w:val="Heading2"/>
        <w:rPr>
          <w:color w:val="548DD4"/>
          <w:sz w:val="28"/>
        </w:rPr>
      </w:pPr>
      <w:bookmarkStart w:id="553" w:name="_Toc286753671"/>
      <w:r>
        <w:rPr>
          <w:color w:val="548DD4"/>
          <w:sz w:val="28"/>
        </w:rPr>
        <w:t xml:space="preserve">DOE Baseline </w:t>
      </w:r>
      <w:r w:rsidRPr="00BA7190">
        <w:rPr>
          <w:color w:val="548DD4"/>
          <w:sz w:val="28"/>
        </w:rPr>
        <w:t>Services Layer</w:t>
      </w:r>
      <w:bookmarkEnd w:id="553"/>
    </w:p>
    <w:p w:rsidR="0079073B" w:rsidRDefault="0079073B" w:rsidP="0079073B"/>
    <w:p w:rsidR="0079073B" w:rsidRDefault="0079073B" w:rsidP="00BB31EB">
      <w:pPr>
        <w:jc w:val="center"/>
      </w:pPr>
      <w:r w:rsidRPr="0072113E">
        <w:rPr>
          <w:noProof/>
        </w:rPr>
        <w:drawing>
          <wp:inline distT="0" distB="0" distL="0" distR="0">
            <wp:extent cx="3452775" cy="380047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3453159" cy="3800898"/>
                    </a:xfrm>
                    <a:prstGeom prst="rect">
                      <a:avLst/>
                    </a:prstGeom>
                    <a:noFill/>
                    <a:ln w="9525">
                      <a:noFill/>
                      <a:miter lim="800000"/>
                      <a:headEnd/>
                      <a:tailEnd/>
                    </a:ln>
                  </pic:spPr>
                </pic:pic>
              </a:graphicData>
            </a:graphic>
          </wp:inline>
        </w:drawing>
      </w:r>
    </w:p>
    <w:p w:rsidR="0079073B" w:rsidRDefault="0079073B" w:rsidP="003D7AAC">
      <w:pPr>
        <w:pStyle w:val="Heading2"/>
        <w:ind w:left="0" w:firstLine="0"/>
        <w:rPr>
          <w:color w:val="548DD4"/>
          <w:sz w:val="28"/>
        </w:rPr>
      </w:pPr>
      <w:bookmarkStart w:id="554" w:name="_Toc286753672"/>
      <w:r>
        <w:rPr>
          <w:color w:val="548DD4"/>
          <w:sz w:val="28"/>
        </w:rPr>
        <w:t xml:space="preserve">DOE Baseline </w:t>
      </w:r>
      <w:r w:rsidRPr="00BA7190">
        <w:rPr>
          <w:color w:val="548DD4"/>
          <w:sz w:val="28"/>
        </w:rPr>
        <w:t>Data Layer</w:t>
      </w:r>
      <w:bookmarkEnd w:id="554"/>
    </w:p>
    <w:p w:rsidR="0079073B" w:rsidRDefault="00E22AE4" w:rsidP="0079073B">
      <w:r>
        <w:rPr>
          <w:noProof/>
        </w:rPr>
        <w:drawing>
          <wp:anchor distT="0" distB="0" distL="114300" distR="114300" simplePos="0" relativeHeight="251749376" behindDoc="0" locked="0" layoutInCell="1" allowOverlap="1">
            <wp:simplePos x="0" y="0"/>
            <wp:positionH relativeFrom="margin">
              <wp:posOffset>1143000</wp:posOffset>
            </wp:positionH>
            <wp:positionV relativeFrom="margin">
              <wp:posOffset>4762500</wp:posOffset>
            </wp:positionV>
            <wp:extent cx="3952875" cy="3571875"/>
            <wp:effectExtent l="19050" t="0" r="9525" b="0"/>
            <wp:wrapSquare wrapText="bothSides"/>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3952875" cy="3571875"/>
                    </a:xfrm>
                    <a:prstGeom prst="rect">
                      <a:avLst/>
                    </a:prstGeom>
                    <a:noFill/>
                    <a:ln w="9525">
                      <a:noFill/>
                      <a:miter lim="800000"/>
                      <a:headEnd/>
                      <a:tailEnd/>
                    </a:ln>
                  </pic:spPr>
                </pic:pic>
              </a:graphicData>
            </a:graphic>
          </wp:anchor>
        </w:drawing>
      </w:r>
    </w:p>
    <w:p w:rsidR="0079073B" w:rsidRDefault="0079073B" w:rsidP="0079073B"/>
    <w:p w:rsidR="0079073B" w:rsidRPr="0072113E"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3D7AAC" w:rsidRDefault="003D7AAC" w:rsidP="0079073B">
      <w:pPr>
        <w:pStyle w:val="Heading2"/>
        <w:rPr>
          <w:color w:val="548DD4"/>
          <w:sz w:val="28"/>
        </w:rPr>
      </w:pPr>
    </w:p>
    <w:p w:rsidR="00BB31EB" w:rsidRDefault="00BB31EB">
      <w:pPr>
        <w:spacing w:line="240" w:lineRule="auto"/>
        <w:ind w:left="0" w:firstLine="0"/>
        <w:jc w:val="left"/>
        <w:rPr>
          <w:rFonts w:ascii="Cambria" w:eastAsia="Times New Roman" w:hAnsi="Cambria" w:cs="Times New Roman"/>
          <w:b/>
          <w:bCs/>
          <w:color w:val="548DD4"/>
          <w:sz w:val="28"/>
          <w:szCs w:val="26"/>
        </w:rPr>
      </w:pPr>
      <w:bookmarkStart w:id="555" w:name="_Toc286753673"/>
      <w:r>
        <w:rPr>
          <w:color w:val="548DD4"/>
          <w:sz w:val="28"/>
        </w:rPr>
        <w:br w:type="page"/>
      </w:r>
    </w:p>
    <w:p w:rsidR="0079073B" w:rsidRPr="00145189" w:rsidRDefault="0079073B" w:rsidP="0079073B">
      <w:pPr>
        <w:pStyle w:val="Heading2"/>
        <w:rPr>
          <w:color w:val="548DD4"/>
          <w:sz w:val="28"/>
        </w:rPr>
      </w:pPr>
      <w:r w:rsidRPr="00145189">
        <w:rPr>
          <w:color w:val="548DD4"/>
          <w:sz w:val="28"/>
        </w:rPr>
        <w:t xml:space="preserve">The </w:t>
      </w:r>
      <w:r>
        <w:rPr>
          <w:color w:val="548DD4"/>
          <w:sz w:val="28"/>
        </w:rPr>
        <w:t xml:space="preserve">DOE Baseline </w:t>
      </w:r>
      <w:r w:rsidRPr="00145189">
        <w:rPr>
          <w:color w:val="548DD4"/>
          <w:sz w:val="28"/>
        </w:rPr>
        <w:t>Technology Layer</w:t>
      </w:r>
      <w:bookmarkEnd w:id="555"/>
    </w:p>
    <w:p w:rsidR="0079073B" w:rsidRDefault="0079073B" w:rsidP="0079073B"/>
    <w:p w:rsidR="0079073B" w:rsidRDefault="0079073B" w:rsidP="0079073B"/>
    <w:p w:rsidR="0079073B" w:rsidRDefault="0079073B" w:rsidP="0079073B"/>
    <w:p w:rsidR="0079073B" w:rsidRDefault="00E22AE4" w:rsidP="0079073B">
      <w:r>
        <w:rPr>
          <w:noProof/>
        </w:rPr>
        <w:drawing>
          <wp:anchor distT="0" distB="0" distL="114300" distR="114300" simplePos="0" relativeHeight="251746304" behindDoc="0" locked="0" layoutInCell="1" allowOverlap="1">
            <wp:simplePos x="0" y="0"/>
            <wp:positionH relativeFrom="margin">
              <wp:posOffset>581025</wp:posOffset>
            </wp:positionH>
            <wp:positionV relativeFrom="margin">
              <wp:posOffset>876300</wp:posOffset>
            </wp:positionV>
            <wp:extent cx="5048250" cy="4257675"/>
            <wp:effectExtent l="19050" t="0" r="0" b="0"/>
            <wp:wrapSquare wrapText="bothSides"/>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048250" cy="4257675"/>
                    </a:xfrm>
                    <a:prstGeom prst="rect">
                      <a:avLst/>
                    </a:prstGeom>
                  </pic:spPr>
                </pic:pic>
              </a:graphicData>
            </a:graphic>
          </wp:anchor>
        </w:drawing>
      </w:r>
    </w:p>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Default="0079073B" w:rsidP="0079073B"/>
    <w:p w:rsidR="0079073B" w:rsidRPr="00145189" w:rsidRDefault="0079073B" w:rsidP="0079073B">
      <w:pPr>
        <w:pStyle w:val="Heading2"/>
        <w:rPr>
          <w:color w:val="548DD4"/>
          <w:sz w:val="28"/>
        </w:rPr>
      </w:pPr>
      <w:bookmarkStart w:id="556" w:name="_Toc286753674"/>
      <w:r w:rsidRPr="00145189">
        <w:rPr>
          <w:color w:val="548DD4"/>
          <w:sz w:val="28"/>
        </w:rPr>
        <w:t xml:space="preserve">The </w:t>
      </w:r>
      <w:r>
        <w:rPr>
          <w:color w:val="548DD4"/>
          <w:sz w:val="28"/>
        </w:rPr>
        <w:t xml:space="preserve">DOE Baseline </w:t>
      </w:r>
      <w:r w:rsidRPr="00145189">
        <w:rPr>
          <w:color w:val="548DD4"/>
          <w:sz w:val="28"/>
        </w:rPr>
        <w:t>Technology Layer</w:t>
      </w:r>
      <w:r>
        <w:rPr>
          <w:color w:val="548DD4"/>
          <w:sz w:val="28"/>
        </w:rPr>
        <w:t xml:space="preserve"> (continued)</w:t>
      </w:r>
      <w:bookmarkEnd w:id="556"/>
    </w:p>
    <w:p w:rsidR="0079073B" w:rsidRDefault="0079073B" w:rsidP="0079073B"/>
    <w:p w:rsidR="0079073B" w:rsidRDefault="0079073B" w:rsidP="0079073B"/>
    <w:p w:rsidR="0079073B" w:rsidRDefault="00E22AE4" w:rsidP="0079073B">
      <w:r>
        <w:rPr>
          <w:noProof/>
        </w:rPr>
        <w:drawing>
          <wp:anchor distT="0" distB="0" distL="114300" distR="114300" simplePos="0" relativeHeight="251747328" behindDoc="0" locked="0" layoutInCell="1" allowOverlap="1">
            <wp:simplePos x="0" y="0"/>
            <wp:positionH relativeFrom="margin">
              <wp:posOffset>657225</wp:posOffset>
            </wp:positionH>
            <wp:positionV relativeFrom="margin">
              <wp:posOffset>762000</wp:posOffset>
            </wp:positionV>
            <wp:extent cx="4829175" cy="3867150"/>
            <wp:effectExtent l="19050" t="0" r="9525" b="0"/>
            <wp:wrapSquare wrapText="bothSides"/>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4829175" cy="3867150"/>
                    </a:xfrm>
                    <a:prstGeom prst="rect">
                      <a:avLst/>
                    </a:prstGeom>
                    <a:noFill/>
                    <a:ln w="9525">
                      <a:noFill/>
                      <a:miter lim="800000"/>
                      <a:headEnd/>
                      <a:tailEnd/>
                    </a:ln>
                  </pic:spPr>
                </pic:pic>
              </a:graphicData>
            </a:graphic>
          </wp:anchor>
        </w:drawing>
      </w:r>
    </w:p>
    <w:p w:rsidR="0079073B" w:rsidRDefault="0079073B" w:rsidP="0079073B"/>
    <w:p w:rsidR="0079073B" w:rsidRDefault="0079073B" w:rsidP="0079073B"/>
    <w:p w:rsidR="0079073B" w:rsidRDefault="0079073B" w:rsidP="0079073B"/>
    <w:p w:rsidR="0079073B" w:rsidRDefault="0079073B" w:rsidP="0079073B">
      <w:pPr>
        <w:jc w:val="center"/>
      </w:pPr>
    </w:p>
    <w:p w:rsidR="0079073B" w:rsidRDefault="0079073B" w:rsidP="0079073B"/>
    <w:p w:rsidR="0079073B" w:rsidRDefault="0079073B" w:rsidP="0079073B"/>
    <w:p w:rsidR="0079073B" w:rsidRDefault="0079073B" w:rsidP="0079073B"/>
    <w:p w:rsidR="0079073B" w:rsidRDefault="0079073B" w:rsidP="0079073B"/>
    <w:p w:rsidR="006E432B" w:rsidRDefault="006E432B">
      <w:pPr>
        <w:spacing w:line="240" w:lineRule="auto"/>
        <w:ind w:left="0" w:firstLine="0"/>
        <w:jc w:val="left"/>
        <w:rPr>
          <w:rFonts w:asciiTheme="majorHAnsi" w:eastAsia="Times New Roman" w:hAnsiTheme="majorHAnsi"/>
          <w:b/>
          <w:bCs/>
          <w:color w:val="365F91"/>
          <w:sz w:val="28"/>
          <w:szCs w:val="28"/>
        </w:rPr>
      </w:pPr>
      <w:bookmarkStart w:id="557" w:name="_Toc286753675"/>
      <w:r>
        <w:rPr>
          <w:rFonts w:asciiTheme="majorHAnsi" w:hAnsiTheme="majorHAnsi"/>
        </w:rPr>
        <w:br w:type="page"/>
      </w:r>
    </w:p>
    <w:p w:rsidR="000F44A8" w:rsidRPr="00806886" w:rsidRDefault="00707E52" w:rsidP="00FD2520">
      <w:pPr>
        <w:pStyle w:val="Heading1"/>
        <w:jc w:val="left"/>
        <w:rPr>
          <w:rFonts w:asciiTheme="majorHAnsi" w:hAnsiTheme="majorHAnsi" w:cs="Calibri"/>
        </w:rPr>
      </w:pPr>
      <w:r w:rsidRPr="00806886">
        <w:rPr>
          <w:rFonts w:asciiTheme="majorHAnsi" w:hAnsiTheme="majorHAnsi" w:cs="Calibri"/>
        </w:rPr>
        <w:t xml:space="preserve">Appendix </w:t>
      </w:r>
      <w:r w:rsidR="003960AE" w:rsidRPr="00806886">
        <w:rPr>
          <w:rFonts w:asciiTheme="majorHAnsi" w:hAnsiTheme="majorHAnsi" w:cs="Calibri"/>
        </w:rPr>
        <w:t>C</w:t>
      </w:r>
      <w:r w:rsidRPr="00806886">
        <w:rPr>
          <w:rFonts w:asciiTheme="majorHAnsi" w:hAnsiTheme="majorHAnsi" w:cs="Calibri"/>
        </w:rPr>
        <w:t xml:space="preserve"> – The DOE Investment Portfolio</w:t>
      </w:r>
      <w:bookmarkEnd w:id="557"/>
      <w:r w:rsidRPr="00806886">
        <w:rPr>
          <w:rFonts w:asciiTheme="majorHAnsi" w:hAnsiTheme="majorHAnsi" w:cs="Calibri"/>
        </w:rPr>
        <w:t xml:space="preserve"> </w:t>
      </w:r>
      <w:bookmarkEnd w:id="548"/>
    </w:p>
    <w:p w:rsidR="00B01E49" w:rsidRDefault="00B01E49" w:rsidP="000F44A8"/>
    <w:p w:rsidR="000F44A8" w:rsidRPr="00B01E49" w:rsidRDefault="0079073B" w:rsidP="00B01E49">
      <w:pPr>
        <w:jc w:val="center"/>
        <w:rPr>
          <w:rFonts w:eastAsia="Times New Roman"/>
          <w:b/>
          <w:sz w:val="36"/>
          <w:szCs w:val="28"/>
        </w:rPr>
      </w:pPr>
      <w:r>
        <w:rPr>
          <w:b/>
          <w:noProof/>
          <w:sz w:val="24"/>
        </w:rPr>
        <w:drawing>
          <wp:anchor distT="0" distB="0" distL="114300" distR="114300" simplePos="0" relativeHeight="251729920" behindDoc="0" locked="0" layoutInCell="1" allowOverlap="1">
            <wp:simplePos x="0" y="0"/>
            <wp:positionH relativeFrom="margin">
              <wp:posOffset>-114300</wp:posOffset>
            </wp:positionH>
            <wp:positionV relativeFrom="margin">
              <wp:posOffset>1012825</wp:posOffset>
            </wp:positionV>
            <wp:extent cx="5995670" cy="3148965"/>
            <wp:effectExtent l="19050" t="0" r="5080" b="0"/>
            <wp:wrapSquare wrapText="bothSides"/>
            <wp:docPr id="69" name="Picture 31" descr="N:\DOE OMB EA Update Submission 01Mar2011\28Feb2011 Review\SegmentPortfolioV3-1-28-2011_OnePager_v1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DOE OMB EA Update Submission 01Mar2011\28Feb2011 Review\SegmentPortfolioV3-1-28-2011_OnePager_v10_Page_01.jpg"/>
                    <pic:cNvPicPr>
                      <a:picLocks noChangeAspect="1" noChangeArrowheads="1"/>
                    </pic:cNvPicPr>
                  </pic:nvPicPr>
                  <pic:blipFill>
                    <a:blip r:embed="rId52" cstate="print"/>
                    <a:srcRect b="59695"/>
                    <a:stretch>
                      <a:fillRect/>
                    </a:stretch>
                  </pic:blipFill>
                  <pic:spPr bwMode="auto">
                    <a:xfrm>
                      <a:off x="0" y="0"/>
                      <a:ext cx="5995670" cy="3148965"/>
                    </a:xfrm>
                    <a:prstGeom prst="rect">
                      <a:avLst/>
                    </a:prstGeom>
                    <a:noFill/>
                    <a:ln w="9525">
                      <a:noFill/>
                      <a:miter lim="800000"/>
                      <a:headEnd/>
                      <a:tailEnd/>
                    </a:ln>
                  </pic:spPr>
                </pic:pic>
              </a:graphicData>
            </a:graphic>
          </wp:anchor>
        </w:drawing>
      </w:r>
      <w:r w:rsidR="00B01E49">
        <w:rPr>
          <w:b/>
          <w:sz w:val="24"/>
        </w:rPr>
        <w:t>B</w:t>
      </w:r>
      <w:r w:rsidR="00B01E49" w:rsidRPr="00B01E49">
        <w:rPr>
          <w:b/>
          <w:sz w:val="24"/>
        </w:rPr>
        <w:t>ased on the DOE BY2012 Exhib</w:t>
      </w:r>
      <w:r w:rsidR="00B01E49">
        <w:rPr>
          <w:b/>
          <w:sz w:val="24"/>
        </w:rPr>
        <w:t>i</w:t>
      </w:r>
      <w:r w:rsidR="00B01E49" w:rsidRPr="00B01E49">
        <w:rPr>
          <w:b/>
          <w:sz w:val="24"/>
        </w:rPr>
        <w:t>t 53 submitted to OMB on 2/18/2011</w:t>
      </w:r>
      <w:r w:rsidR="000F44A8" w:rsidRPr="00B01E49">
        <w:rPr>
          <w:b/>
          <w:sz w:val="24"/>
        </w:rPr>
        <w:br w:type="page"/>
      </w:r>
    </w:p>
    <w:p w:rsidR="003D7AAC" w:rsidRDefault="00A449E2" w:rsidP="00747119">
      <w:pPr>
        <w:pStyle w:val="Heading1"/>
        <w:ind w:left="0" w:firstLine="0"/>
        <w:jc w:val="left"/>
        <w:rPr>
          <w:rFonts w:ascii="Calibri" w:hAnsi="Calibri" w:cs="Calibri"/>
          <w:color w:val="548DD4"/>
        </w:rPr>
      </w:pPr>
      <w:r>
        <w:rPr>
          <w:noProof/>
        </w:rPr>
        <w:drawing>
          <wp:inline distT="0" distB="0" distL="0" distR="0">
            <wp:extent cx="5919470" cy="7659467"/>
            <wp:effectExtent l="19050" t="0" r="5080" b="0"/>
            <wp:docPr id="71" name="Picture 32" descr="N:\DOE OMB EA Update Submission 01Mar2011\28Feb2011 Review\SegmentPortfolioV3-1-28-2011_OnePager_v1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DOE OMB EA Update Submission 01Mar2011\28Feb2011 Review\SegmentPortfolioV3-1-28-2011_OnePager_v10_Page_02.jpg"/>
                    <pic:cNvPicPr>
                      <a:picLocks noChangeAspect="1" noChangeArrowheads="1"/>
                    </pic:cNvPicPr>
                  </pic:nvPicPr>
                  <pic:blipFill>
                    <a:blip r:embed="rId53"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73" name="Picture 33" descr="N:\DOE OMB EA Update Submission 01Mar2011\28Feb2011 Review\SegmentPortfolioV3-1-28-2011_OnePager_v1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DOE OMB EA Update Submission 01Mar2011\28Feb2011 Review\SegmentPortfolioV3-1-28-2011_OnePager_v10_Page_03.jpg"/>
                    <pic:cNvPicPr>
                      <a:picLocks noChangeAspect="1" noChangeArrowheads="1"/>
                    </pic:cNvPicPr>
                  </pic:nvPicPr>
                  <pic:blipFill>
                    <a:blip r:embed="rId54"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76" name="Picture 34" descr="N:\DOE OMB EA Update Submission 01Mar2011\28Feb2011 Review\SegmentPortfolioV3-1-28-2011_OnePager_v1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DOE OMB EA Update Submission 01Mar2011\28Feb2011 Review\SegmentPortfolioV3-1-28-2011_OnePager_v10_Page_04.jpg"/>
                    <pic:cNvPicPr>
                      <a:picLocks noChangeAspect="1" noChangeArrowheads="1"/>
                    </pic:cNvPicPr>
                  </pic:nvPicPr>
                  <pic:blipFill>
                    <a:blip r:embed="rId55"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78" name="Picture 35" descr="N:\DOE OMB EA Update Submission 01Mar2011\28Feb2011 Review\SegmentPortfolioV3-1-28-2011_OnePager_v1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DOE OMB EA Update Submission 01Mar2011\28Feb2011 Review\SegmentPortfolioV3-1-28-2011_OnePager_v10_Page_05.jpg"/>
                    <pic:cNvPicPr>
                      <a:picLocks noChangeAspect="1" noChangeArrowheads="1"/>
                    </pic:cNvPicPr>
                  </pic:nvPicPr>
                  <pic:blipFill>
                    <a:blip r:embed="rId56"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79" name="Picture 36" descr="N:\DOE OMB EA Update Submission 01Mar2011\28Feb2011 Review\SegmentPortfolioV3-1-28-2011_OnePager_v1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DOE OMB EA Update Submission 01Mar2011\28Feb2011 Review\SegmentPortfolioV3-1-28-2011_OnePager_v10_Page_06.jpg"/>
                    <pic:cNvPicPr>
                      <a:picLocks noChangeAspect="1" noChangeArrowheads="1"/>
                    </pic:cNvPicPr>
                  </pic:nvPicPr>
                  <pic:blipFill>
                    <a:blip r:embed="rId57"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80" name="Picture 37" descr="N:\DOE OMB EA Update Submission 01Mar2011\28Feb2011 Review\SegmentPortfolioV3-1-28-2011_OnePager_v1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DOE OMB EA Update Submission 01Mar2011\28Feb2011 Review\SegmentPortfolioV3-1-28-2011_OnePager_v10_Page_07.jpg"/>
                    <pic:cNvPicPr>
                      <a:picLocks noChangeAspect="1" noChangeArrowheads="1"/>
                    </pic:cNvPicPr>
                  </pic:nvPicPr>
                  <pic:blipFill>
                    <a:blip r:embed="rId58"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81" name="Picture 38" descr="N:\DOE OMB EA Update Submission 01Mar2011\28Feb2011 Review\SegmentPortfolioV3-1-28-2011_OnePager_v1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DOE OMB EA Update Submission 01Mar2011\28Feb2011 Review\SegmentPortfolioV3-1-28-2011_OnePager_v10_Page_08.jpg"/>
                    <pic:cNvPicPr>
                      <a:picLocks noChangeAspect="1" noChangeArrowheads="1"/>
                    </pic:cNvPicPr>
                  </pic:nvPicPr>
                  <pic:blipFill>
                    <a:blip r:embed="rId59"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87" name="Picture 39" descr="N:\DOE OMB EA Update Submission 01Mar2011\28Feb2011 Review\SegmentPortfolioV3-1-28-2011_OnePager_v1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DOE OMB EA Update Submission 01Mar2011\28Feb2011 Review\SegmentPortfolioV3-1-28-2011_OnePager_v10_Page_09.jpg"/>
                    <pic:cNvPicPr>
                      <a:picLocks noChangeAspect="1" noChangeArrowheads="1"/>
                    </pic:cNvPicPr>
                  </pic:nvPicPr>
                  <pic:blipFill>
                    <a:blip r:embed="rId60"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89" name="Picture 40" descr="N:\DOE OMB EA Update Submission 01Mar2011\28Feb2011 Review\SegmentPortfolioV3-1-28-2011_OnePager_v1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DOE OMB EA Update Submission 01Mar2011\28Feb2011 Review\SegmentPortfolioV3-1-28-2011_OnePager_v10_Page_10.jpg"/>
                    <pic:cNvPicPr>
                      <a:picLocks noChangeAspect="1" noChangeArrowheads="1"/>
                    </pic:cNvPicPr>
                  </pic:nvPicPr>
                  <pic:blipFill>
                    <a:blip r:embed="rId61"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700010"/>
            <wp:effectExtent l="19050" t="0" r="5080" b="0"/>
            <wp:docPr id="90" name="Picture 41" descr="N:\DOE OMB EA Update Submission 01Mar2011\28Feb2011 Review\SegmentPortfolioV3-1-28-2011_OnePager_v1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DOE OMB EA Update Submission 01Mar2011\28Feb2011 Review\SegmentPortfolioV3-1-28-2011_OnePager_v10_Page_11.jpg"/>
                    <pic:cNvPicPr>
                      <a:picLocks noChangeAspect="1" noChangeArrowheads="1"/>
                    </pic:cNvPicPr>
                  </pic:nvPicPr>
                  <pic:blipFill>
                    <a:blip r:embed="rId62" cstate="print"/>
                    <a:srcRect/>
                    <a:stretch>
                      <a:fillRect/>
                    </a:stretch>
                  </pic:blipFill>
                  <pic:spPr bwMode="auto">
                    <a:xfrm>
                      <a:off x="0" y="0"/>
                      <a:ext cx="5919470" cy="7700010"/>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91" name="Picture 42" descr="N:\DOE OMB EA Update Submission 01Mar2011\28Feb2011 Review\SegmentPortfolioV3-1-28-2011_OnePager_v1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DOE OMB EA Update Submission 01Mar2011\28Feb2011 Review\SegmentPortfolioV3-1-28-2011_OnePager_v10_Page_12.jpg"/>
                    <pic:cNvPicPr>
                      <a:picLocks noChangeAspect="1" noChangeArrowheads="1"/>
                    </pic:cNvPicPr>
                  </pic:nvPicPr>
                  <pic:blipFill>
                    <a:blip r:embed="rId63"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700010"/>
            <wp:effectExtent l="19050" t="0" r="5080" b="0"/>
            <wp:docPr id="92" name="Picture 43" descr="N:\DOE OMB EA Update Submission 01Mar2011\28Feb2011 Review\SegmentPortfolioV3-1-28-2011_OnePager_v10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DOE OMB EA Update Submission 01Mar2011\28Feb2011 Review\SegmentPortfolioV3-1-28-2011_OnePager_v10_Page_13.jpg"/>
                    <pic:cNvPicPr>
                      <a:picLocks noChangeAspect="1" noChangeArrowheads="1"/>
                    </pic:cNvPicPr>
                  </pic:nvPicPr>
                  <pic:blipFill>
                    <a:blip r:embed="rId64" cstate="print"/>
                    <a:srcRect/>
                    <a:stretch>
                      <a:fillRect/>
                    </a:stretch>
                  </pic:blipFill>
                  <pic:spPr bwMode="auto">
                    <a:xfrm>
                      <a:off x="0" y="0"/>
                      <a:ext cx="5919470" cy="7700010"/>
                    </a:xfrm>
                    <a:prstGeom prst="rect">
                      <a:avLst/>
                    </a:prstGeom>
                    <a:noFill/>
                    <a:ln w="9525">
                      <a:noFill/>
                      <a:miter lim="800000"/>
                      <a:headEnd/>
                      <a:tailEnd/>
                    </a:ln>
                  </pic:spPr>
                </pic:pic>
              </a:graphicData>
            </a:graphic>
          </wp:inline>
        </w:drawing>
      </w:r>
      <w:r>
        <w:rPr>
          <w:noProof/>
        </w:rPr>
        <w:drawing>
          <wp:inline distT="0" distB="0" distL="0" distR="0">
            <wp:extent cx="5919470" cy="7700010"/>
            <wp:effectExtent l="19050" t="0" r="5080" b="0"/>
            <wp:docPr id="93" name="Picture 44" descr="N:\DOE OMB EA Update Submission 01Mar2011\28Feb2011 Review\SegmentPortfolioV3-1-28-2011_OnePager_v10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DOE OMB EA Update Submission 01Mar2011\28Feb2011 Review\SegmentPortfolioV3-1-28-2011_OnePager_v10_Page_14.jpg"/>
                    <pic:cNvPicPr>
                      <a:picLocks noChangeAspect="1" noChangeArrowheads="1"/>
                    </pic:cNvPicPr>
                  </pic:nvPicPr>
                  <pic:blipFill>
                    <a:blip r:embed="rId65" cstate="print"/>
                    <a:srcRect/>
                    <a:stretch>
                      <a:fillRect/>
                    </a:stretch>
                  </pic:blipFill>
                  <pic:spPr bwMode="auto">
                    <a:xfrm>
                      <a:off x="0" y="0"/>
                      <a:ext cx="5919470" cy="7700010"/>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94" name="Picture 45" descr="N:\DOE OMB EA Update Submission 01Mar2011\28Feb2011 Review\SegmentPortfolioV3-1-28-2011_OnePager_v10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DOE OMB EA Update Submission 01Mar2011\28Feb2011 Review\SegmentPortfolioV3-1-28-2011_OnePager_v10_Page_15.jpg"/>
                    <pic:cNvPicPr>
                      <a:picLocks noChangeAspect="1" noChangeArrowheads="1"/>
                    </pic:cNvPicPr>
                  </pic:nvPicPr>
                  <pic:blipFill>
                    <a:blip r:embed="rId66"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noProof/>
        </w:rPr>
        <w:drawing>
          <wp:inline distT="0" distB="0" distL="0" distR="0">
            <wp:extent cx="5919470" cy="7659467"/>
            <wp:effectExtent l="19050" t="0" r="5080" b="0"/>
            <wp:docPr id="95" name="Picture 46" descr="N:\DOE OMB EA Update Submission 01Mar2011\28Feb2011 Review\SegmentPortfolioV3-1-28-2011_OnePager_v10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DOE OMB EA Update Submission 01Mar2011\28Feb2011 Review\SegmentPortfolioV3-1-28-2011_OnePager_v10_Page_16.jpg"/>
                    <pic:cNvPicPr>
                      <a:picLocks noChangeAspect="1" noChangeArrowheads="1"/>
                    </pic:cNvPicPr>
                  </pic:nvPicPr>
                  <pic:blipFill>
                    <a:blip r:embed="rId67"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p>
    <w:p w:rsidR="003D7AAC" w:rsidRDefault="003D7AAC" w:rsidP="003D7AAC">
      <w:pPr>
        <w:rPr>
          <w:rFonts w:eastAsia="Times New Roman"/>
          <w:sz w:val="28"/>
          <w:szCs w:val="28"/>
        </w:rPr>
      </w:pPr>
      <w:r>
        <w:br w:type="page"/>
      </w:r>
    </w:p>
    <w:p w:rsidR="003D7AAC" w:rsidRDefault="003D7AAC">
      <w:pPr>
        <w:spacing w:line="240" w:lineRule="auto"/>
        <w:ind w:left="0" w:firstLine="0"/>
        <w:jc w:val="left"/>
        <w:rPr>
          <w:rFonts w:eastAsia="Times New Roman"/>
          <w:b/>
          <w:bCs/>
          <w:color w:val="548DD4"/>
          <w:sz w:val="28"/>
          <w:szCs w:val="28"/>
        </w:rPr>
      </w:pPr>
      <w:r>
        <w:rPr>
          <w:noProof/>
        </w:rPr>
        <w:drawing>
          <wp:inline distT="0" distB="0" distL="0" distR="0">
            <wp:extent cx="5919470" cy="7659467"/>
            <wp:effectExtent l="19050" t="0" r="5080" b="0"/>
            <wp:docPr id="17" name="Picture 47" descr="N:\DOE OMB EA Update Submission 01Mar2011\28Feb2011 Review\SegmentPortfolioV3-1-28-2011_OnePager_v10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DOE OMB EA Update Submission 01Mar2011\28Feb2011 Review\SegmentPortfolioV3-1-28-2011_OnePager_v10_Page_17.jpg"/>
                    <pic:cNvPicPr>
                      <a:picLocks noChangeAspect="1" noChangeArrowheads="1"/>
                    </pic:cNvPicPr>
                  </pic:nvPicPr>
                  <pic:blipFill>
                    <a:blip r:embed="rId68" cstate="print"/>
                    <a:stretch>
                      <a:fillRect/>
                    </a:stretch>
                  </pic:blipFill>
                  <pic:spPr bwMode="auto">
                    <a:xfrm>
                      <a:off x="0" y="0"/>
                      <a:ext cx="5919470" cy="7659467"/>
                    </a:xfrm>
                    <a:prstGeom prst="rect">
                      <a:avLst/>
                    </a:prstGeom>
                    <a:noFill/>
                    <a:ln w="9525">
                      <a:noFill/>
                      <a:miter lim="800000"/>
                      <a:headEnd/>
                      <a:tailEnd/>
                    </a:ln>
                  </pic:spPr>
                </pic:pic>
              </a:graphicData>
            </a:graphic>
          </wp:inline>
        </w:drawing>
      </w:r>
      <w:r>
        <w:rPr>
          <w:color w:val="548DD4"/>
        </w:rPr>
        <w:br w:type="page"/>
      </w:r>
    </w:p>
    <w:bookmarkEnd w:id="271"/>
    <w:p w:rsidR="003D7AAC" w:rsidRDefault="003D7AAC" w:rsidP="00FD2520">
      <w:pPr>
        <w:pStyle w:val="Heading1"/>
        <w:jc w:val="left"/>
      </w:pPr>
    </w:p>
    <w:p w:rsidR="00EE2D69" w:rsidRDefault="003D7AAC" w:rsidP="00FD2520">
      <w:pPr>
        <w:pStyle w:val="Heading1"/>
        <w:jc w:val="left"/>
      </w:pPr>
      <w:bookmarkStart w:id="558" w:name="_Toc286753676"/>
      <w:r>
        <w:t xml:space="preserve">Appendix </w:t>
      </w:r>
      <w:r w:rsidR="003960AE">
        <w:t xml:space="preserve">D – </w:t>
      </w:r>
      <w:r>
        <w:t>Linkage from Key Priori</w:t>
      </w:r>
      <w:r w:rsidR="00E74122">
        <w:t>ty Initiatives</w:t>
      </w:r>
      <w:r>
        <w:t xml:space="preserve"> to EA Segments</w:t>
      </w:r>
      <w:bookmarkEnd w:id="558"/>
    </w:p>
    <w:p w:rsidR="003D7AAC" w:rsidRDefault="003D7AAC" w:rsidP="003D7AAC"/>
    <w:p w:rsidR="003D7AAC" w:rsidRDefault="00483FE1" w:rsidP="003D7AAC">
      <w:r>
        <w:rPr>
          <w:noProof/>
        </w:rPr>
        <w:drawing>
          <wp:anchor distT="0" distB="0" distL="114300" distR="114300" simplePos="0" relativeHeight="251766784" behindDoc="0" locked="0" layoutInCell="1" allowOverlap="1">
            <wp:simplePos x="0" y="0"/>
            <wp:positionH relativeFrom="margin">
              <wp:posOffset>161925</wp:posOffset>
            </wp:positionH>
            <wp:positionV relativeFrom="margin">
              <wp:posOffset>1200150</wp:posOffset>
            </wp:positionV>
            <wp:extent cx="5610225" cy="3804285"/>
            <wp:effectExtent l="19050" t="0" r="9525"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610225" cy="3804285"/>
                    </a:xfrm>
                    <a:prstGeom prst="rect">
                      <a:avLst/>
                    </a:prstGeom>
                    <a:noFill/>
                    <a:ln w="9525">
                      <a:noFill/>
                      <a:miter lim="800000"/>
                      <a:headEnd/>
                      <a:tailEnd/>
                    </a:ln>
                  </pic:spPr>
                </pic:pic>
              </a:graphicData>
            </a:graphic>
          </wp:anchor>
        </w:drawing>
      </w:r>
    </w:p>
    <w:p w:rsidR="003D7AAC" w:rsidRPr="003D7AAC" w:rsidRDefault="003D7AAC" w:rsidP="003D7AAC"/>
    <w:sectPr w:rsidR="003D7AAC" w:rsidRPr="003D7AAC" w:rsidSect="00EE0E7D">
      <w:headerReference w:type="first" r:id="rId7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E73" w:rsidRDefault="00000E73" w:rsidP="002355E5">
      <w:pPr>
        <w:spacing w:line="240" w:lineRule="auto"/>
      </w:pPr>
      <w:r>
        <w:separator/>
      </w:r>
    </w:p>
  </w:endnote>
  <w:endnote w:type="continuationSeparator" w:id="0">
    <w:p w:rsidR="00000E73" w:rsidRDefault="00000E73" w:rsidP="002355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E8" w:rsidRDefault="00F929E8">
    <w:pPr>
      <w:pStyle w:val="Footer"/>
      <w:jc w:val="center"/>
    </w:pPr>
    <w:r>
      <w:t xml:space="preserve">Page </w:t>
    </w:r>
    <w:r w:rsidR="00D52312">
      <w:rPr>
        <w:b/>
        <w:sz w:val="24"/>
        <w:szCs w:val="24"/>
      </w:rPr>
      <w:fldChar w:fldCharType="begin"/>
    </w:r>
    <w:r>
      <w:rPr>
        <w:b/>
      </w:rPr>
      <w:instrText xml:space="preserve"> PAGE </w:instrText>
    </w:r>
    <w:r w:rsidR="00D52312">
      <w:rPr>
        <w:b/>
        <w:sz w:val="24"/>
        <w:szCs w:val="24"/>
      </w:rPr>
      <w:fldChar w:fldCharType="separate"/>
    </w:r>
    <w:r w:rsidR="00420097">
      <w:rPr>
        <w:b/>
        <w:noProof/>
      </w:rPr>
      <w:t>49</w:t>
    </w:r>
    <w:r w:rsidR="00D52312">
      <w:rPr>
        <w:b/>
        <w:sz w:val="24"/>
        <w:szCs w:val="24"/>
      </w:rPr>
      <w:fldChar w:fldCharType="end"/>
    </w:r>
    <w:r>
      <w:t xml:space="preserve"> of </w:t>
    </w:r>
    <w:r w:rsidR="00D52312">
      <w:rPr>
        <w:b/>
        <w:sz w:val="24"/>
        <w:szCs w:val="24"/>
      </w:rPr>
      <w:fldChar w:fldCharType="begin"/>
    </w:r>
    <w:r>
      <w:rPr>
        <w:b/>
      </w:rPr>
      <w:instrText xml:space="preserve"> NUMPAGES  </w:instrText>
    </w:r>
    <w:r w:rsidR="00D52312">
      <w:rPr>
        <w:b/>
        <w:sz w:val="24"/>
        <w:szCs w:val="24"/>
      </w:rPr>
      <w:fldChar w:fldCharType="separate"/>
    </w:r>
    <w:r w:rsidR="00420097">
      <w:rPr>
        <w:b/>
        <w:noProof/>
      </w:rPr>
      <w:t>52</w:t>
    </w:r>
    <w:r w:rsidR="00D52312">
      <w:rPr>
        <w:b/>
        <w:sz w:val="24"/>
        <w:szCs w:val="24"/>
      </w:rPr>
      <w:fldChar w:fldCharType="end"/>
    </w:r>
  </w:p>
  <w:p w:rsidR="00F929E8" w:rsidRDefault="00F929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E73" w:rsidRDefault="00000E73" w:rsidP="002355E5">
      <w:pPr>
        <w:spacing w:line="240" w:lineRule="auto"/>
      </w:pPr>
      <w:r>
        <w:separator/>
      </w:r>
    </w:p>
  </w:footnote>
  <w:footnote w:type="continuationSeparator" w:id="0">
    <w:p w:rsidR="00000E73" w:rsidRDefault="00000E73" w:rsidP="002355E5">
      <w:pPr>
        <w:spacing w:line="240" w:lineRule="auto"/>
      </w:pPr>
      <w:r>
        <w:continuationSeparator/>
      </w:r>
    </w:p>
  </w:footnote>
  <w:footnote w:id="1">
    <w:p w:rsidR="00F929E8" w:rsidRPr="008B5044" w:rsidRDefault="00F929E8" w:rsidP="00D426AE">
      <w:pPr>
        <w:pStyle w:val="FootnoteText"/>
      </w:pPr>
      <w:r>
        <w:rPr>
          <w:rStyle w:val="FootnoteReference"/>
        </w:rPr>
        <w:footnoteRef/>
      </w:r>
      <w:r>
        <w:t xml:space="preserve"> </w:t>
      </w:r>
      <w:r w:rsidRPr="008B5044">
        <w:rPr>
          <w:sz w:val="18"/>
          <w:szCs w:val="18"/>
        </w:rPr>
        <w:t>Annual Performance Report, http://www</w:t>
      </w:r>
      <w:r>
        <w:rPr>
          <w:sz w:val="18"/>
          <w:szCs w:val="18"/>
        </w:rPr>
        <w:t>.cfo.doe.gov/cf1-2/2008 APR.pdf</w:t>
      </w:r>
    </w:p>
  </w:footnote>
  <w:footnote w:id="2">
    <w:p w:rsidR="00F929E8" w:rsidRPr="00CA5676" w:rsidRDefault="00F929E8">
      <w:pPr>
        <w:pStyle w:val="FootnoteText"/>
      </w:pPr>
      <w:r>
        <w:rPr>
          <w:rStyle w:val="FootnoteReference"/>
        </w:rPr>
        <w:footnoteRef/>
      </w:r>
      <w:r>
        <w:t xml:space="preserve"> </w:t>
      </w:r>
      <w:r w:rsidRPr="008B5044">
        <w:rPr>
          <w:sz w:val="18"/>
          <w:szCs w:val="18"/>
        </w:rPr>
        <w:t>Program Assessment Rating Tool</w:t>
      </w:r>
    </w:p>
  </w:footnote>
  <w:footnote w:id="3">
    <w:p w:rsidR="00F929E8" w:rsidRPr="00CA5676" w:rsidRDefault="00F929E8">
      <w:pPr>
        <w:pStyle w:val="FootnoteText"/>
      </w:pPr>
      <w:r>
        <w:rPr>
          <w:rStyle w:val="FootnoteReference"/>
        </w:rPr>
        <w:footnoteRef/>
      </w:r>
      <w:r>
        <w:t xml:space="preserve"> </w:t>
      </w:r>
      <w:r w:rsidRPr="008B5044">
        <w:rPr>
          <w:sz w:val="18"/>
          <w:szCs w:val="18"/>
        </w:rPr>
        <w:t>Performance and Accountability Report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E8" w:rsidRPr="009B3D02" w:rsidRDefault="00F929E8" w:rsidP="009B3D02">
    <w:pPr>
      <w:pStyle w:val="Header"/>
      <w:tabs>
        <w:tab w:val="clear" w:pos="4680"/>
        <w:tab w:val="center" w:pos="5760"/>
      </w:tabs>
    </w:pPr>
    <w:r>
      <w:rPr>
        <w:noProof/>
      </w:rPr>
      <w:drawing>
        <wp:anchor distT="0" distB="0" distL="114300" distR="114300" simplePos="0" relativeHeight="251657216" behindDoc="0" locked="0" layoutInCell="1" allowOverlap="1">
          <wp:simplePos x="0" y="0"/>
          <wp:positionH relativeFrom="margin">
            <wp:posOffset>-228600</wp:posOffset>
          </wp:positionH>
          <wp:positionV relativeFrom="margin">
            <wp:posOffset>-657225</wp:posOffset>
          </wp:positionV>
          <wp:extent cx="1908175" cy="495300"/>
          <wp:effectExtent l="19050" t="0" r="0" b="0"/>
          <wp:wrapSquare wrapText="bothSides"/>
          <wp:docPr id="2" name="Picture 11" descr="DOELogoBanner01_14Jan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ELogoBanner01_14Jan2011.gif"/>
                  <pic:cNvPicPr>
                    <a:picLocks noChangeAspect="1" noChangeArrowheads="1"/>
                  </pic:cNvPicPr>
                </pic:nvPicPr>
                <pic:blipFill>
                  <a:blip r:embed="rId1"/>
                  <a:srcRect/>
                  <a:stretch>
                    <a:fillRect/>
                  </a:stretch>
                </pic:blipFill>
                <pic:spPr bwMode="auto">
                  <a:xfrm>
                    <a:off x="0" y="0"/>
                    <a:ext cx="1908175" cy="495300"/>
                  </a:xfrm>
                  <a:prstGeom prst="rect">
                    <a:avLst/>
                  </a:prstGeom>
                  <a:noFill/>
                  <a:ln w="9525">
                    <a:noFill/>
                    <a:miter lim="800000"/>
                    <a:headEnd/>
                    <a:tailEnd/>
                  </a:ln>
                </pic:spPr>
              </pic:pic>
            </a:graphicData>
          </a:graphic>
        </wp:anchor>
      </w:drawing>
    </w:r>
    <w:r>
      <w:rPr>
        <w:rFonts w:ascii="Arial Black" w:hAnsi="Arial Black"/>
      </w:rPr>
      <w:tab/>
    </w:r>
    <w:r>
      <w:rPr>
        <w:rFonts w:ascii="Arial Black" w:hAnsi="Arial Black"/>
      </w:rPr>
      <w:tab/>
      <w:t>ENTERPRISE TRANSITION PLAN</w:t>
    </w:r>
    <w:r>
      <w:rPr>
        <w:rFonts w:ascii="Arial Black" w:hAnsi="Arial Black"/>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E8" w:rsidRDefault="00F929E8" w:rsidP="00A50EF0">
    <w:pPr>
      <w:pStyle w:val="Header"/>
      <w:tabs>
        <w:tab w:val="clear" w:pos="4680"/>
        <w:tab w:val="center" w:pos="5760"/>
      </w:tabs>
    </w:pPr>
    <w:r>
      <w:rPr>
        <w:rFonts w:ascii="Arial Black" w:hAnsi="Arial Black"/>
      </w:rPr>
      <w:tab/>
    </w:r>
    <w:r>
      <w:rPr>
        <w:rFonts w:ascii="Arial Black" w:hAnsi="Arial Black"/>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E8" w:rsidRDefault="00F929E8" w:rsidP="00A50EF0">
    <w:pPr>
      <w:pStyle w:val="Header"/>
      <w:tabs>
        <w:tab w:val="clear" w:pos="4680"/>
        <w:tab w:val="center" w:pos="5760"/>
      </w:tabs>
    </w:pPr>
    <w:r>
      <w:rPr>
        <w:rFonts w:ascii="Arial Black" w:hAnsi="Arial Black"/>
        <w:noProof/>
      </w:rPr>
      <w:drawing>
        <wp:anchor distT="0" distB="0" distL="114300" distR="114300" simplePos="0" relativeHeight="251658240" behindDoc="0" locked="0" layoutInCell="1" allowOverlap="1">
          <wp:simplePos x="0" y="0"/>
          <wp:positionH relativeFrom="margin">
            <wp:posOffset>-28575</wp:posOffset>
          </wp:positionH>
          <wp:positionV relativeFrom="margin">
            <wp:posOffset>-619125</wp:posOffset>
          </wp:positionV>
          <wp:extent cx="1908175" cy="495300"/>
          <wp:effectExtent l="19050" t="0" r="0" b="0"/>
          <wp:wrapSquare wrapText="bothSides"/>
          <wp:docPr id="5" name="Picture 11" descr="DOELogoBanner01_14Jan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ELogoBanner01_14Jan2011.gif"/>
                  <pic:cNvPicPr>
                    <a:picLocks noChangeAspect="1" noChangeArrowheads="1"/>
                  </pic:cNvPicPr>
                </pic:nvPicPr>
                <pic:blipFill>
                  <a:blip r:embed="rId1"/>
                  <a:srcRect/>
                  <a:stretch>
                    <a:fillRect/>
                  </a:stretch>
                </pic:blipFill>
                <pic:spPr bwMode="auto">
                  <a:xfrm>
                    <a:off x="0" y="0"/>
                    <a:ext cx="1908175" cy="495300"/>
                  </a:xfrm>
                  <a:prstGeom prst="rect">
                    <a:avLst/>
                  </a:prstGeom>
                  <a:noFill/>
                  <a:ln w="9525">
                    <a:noFill/>
                    <a:miter lim="800000"/>
                    <a:headEnd/>
                    <a:tailEnd/>
                  </a:ln>
                </pic:spPr>
              </pic:pic>
            </a:graphicData>
          </a:graphic>
        </wp:anchor>
      </w:drawing>
    </w:r>
    <w:r>
      <w:rPr>
        <w:rFonts w:ascii="Arial Black" w:hAnsi="Arial Black"/>
      </w:rPr>
      <w:tab/>
    </w:r>
    <w:r>
      <w:rPr>
        <w:rFonts w:ascii="Arial Black" w:hAnsi="Arial Black"/>
      </w:rPr>
      <w:tab/>
      <w:t xml:space="preserve">ENTERPRISE TRANSITION PLAN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C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433E83"/>
    <w:multiLevelType w:val="hybridMultilevel"/>
    <w:tmpl w:val="C82E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260DA"/>
    <w:multiLevelType w:val="hybridMultilevel"/>
    <w:tmpl w:val="B2584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44449"/>
    <w:multiLevelType w:val="hybridMultilevel"/>
    <w:tmpl w:val="332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408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9C4607"/>
    <w:multiLevelType w:val="hybridMultilevel"/>
    <w:tmpl w:val="99EA12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60B33"/>
    <w:multiLevelType w:val="multilevel"/>
    <w:tmpl w:val="8ACE674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5603B9A"/>
    <w:multiLevelType w:val="multilevel"/>
    <w:tmpl w:val="E6501BD4"/>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120DB9"/>
    <w:multiLevelType w:val="hybridMultilevel"/>
    <w:tmpl w:val="5A828BAE"/>
    <w:lvl w:ilvl="0" w:tplc="1AF80132">
      <w:start w:val="1"/>
      <w:numFmt w:val="decimal"/>
      <w:lvlText w:val="%1."/>
      <w:lvlJc w:val="left"/>
      <w:pPr>
        <w:tabs>
          <w:tab w:val="num" w:pos="720"/>
        </w:tabs>
        <w:ind w:left="720" w:hanging="360"/>
      </w:pPr>
    </w:lvl>
    <w:lvl w:ilvl="1" w:tplc="265E613C" w:tentative="1">
      <w:start w:val="1"/>
      <w:numFmt w:val="decimal"/>
      <w:lvlText w:val="%2."/>
      <w:lvlJc w:val="left"/>
      <w:pPr>
        <w:tabs>
          <w:tab w:val="num" w:pos="1440"/>
        </w:tabs>
        <w:ind w:left="1440" w:hanging="360"/>
      </w:pPr>
    </w:lvl>
    <w:lvl w:ilvl="2" w:tplc="9F202C3E" w:tentative="1">
      <w:start w:val="1"/>
      <w:numFmt w:val="decimal"/>
      <w:lvlText w:val="%3."/>
      <w:lvlJc w:val="left"/>
      <w:pPr>
        <w:tabs>
          <w:tab w:val="num" w:pos="2160"/>
        </w:tabs>
        <w:ind w:left="2160" w:hanging="360"/>
      </w:pPr>
    </w:lvl>
    <w:lvl w:ilvl="3" w:tplc="D37E17B8" w:tentative="1">
      <w:start w:val="1"/>
      <w:numFmt w:val="decimal"/>
      <w:lvlText w:val="%4."/>
      <w:lvlJc w:val="left"/>
      <w:pPr>
        <w:tabs>
          <w:tab w:val="num" w:pos="2880"/>
        </w:tabs>
        <w:ind w:left="2880" w:hanging="360"/>
      </w:pPr>
    </w:lvl>
    <w:lvl w:ilvl="4" w:tplc="559A7600" w:tentative="1">
      <w:start w:val="1"/>
      <w:numFmt w:val="decimal"/>
      <w:lvlText w:val="%5."/>
      <w:lvlJc w:val="left"/>
      <w:pPr>
        <w:tabs>
          <w:tab w:val="num" w:pos="3600"/>
        </w:tabs>
        <w:ind w:left="3600" w:hanging="360"/>
      </w:pPr>
    </w:lvl>
    <w:lvl w:ilvl="5" w:tplc="441662EC" w:tentative="1">
      <w:start w:val="1"/>
      <w:numFmt w:val="decimal"/>
      <w:lvlText w:val="%6."/>
      <w:lvlJc w:val="left"/>
      <w:pPr>
        <w:tabs>
          <w:tab w:val="num" w:pos="4320"/>
        </w:tabs>
        <w:ind w:left="4320" w:hanging="360"/>
      </w:pPr>
    </w:lvl>
    <w:lvl w:ilvl="6" w:tplc="4DC2988A" w:tentative="1">
      <w:start w:val="1"/>
      <w:numFmt w:val="decimal"/>
      <w:lvlText w:val="%7."/>
      <w:lvlJc w:val="left"/>
      <w:pPr>
        <w:tabs>
          <w:tab w:val="num" w:pos="5040"/>
        </w:tabs>
        <w:ind w:left="5040" w:hanging="360"/>
      </w:pPr>
    </w:lvl>
    <w:lvl w:ilvl="7" w:tplc="5E927BCA" w:tentative="1">
      <w:start w:val="1"/>
      <w:numFmt w:val="decimal"/>
      <w:lvlText w:val="%8."/>
      <w:lvlJc w:val="left"/>
      <w:pPr>
        <w:tabs>
          <w:tab w:val="num" w:pos="5760"/>
        </w:tabs>
        <w:ind w:left="5760" w:hanging="360"/>
      </w:pPr>
    </w:lvl>
    <w:lvl w:ilvl="8" w:tplc="82E06A6C" w:tentative="1">
      <w:start w:val="1"/>
      <w:numFmt w:val="decimal"/>
      <w:lvlText w:val="%9."/>
      <w:lvlJc w:val="left"/>
      <w:pPr>
        <w:tabs>
          <w:tab w:val="num" w:pos="6480"/>
        </w:tabs>
        <w:ind w:left="6480" w:hanging="360"/>
      </w:pPr>
    </w:lvl>
  </w:abstractNum>
  <w:abstractNum w:abstractNumId="9">
    <w:nsid w:val="18D43447"/>
    <w:multiLevelType w:val="hybridMultilevel"/>
    <w:tmpl w:val="688C448A"/>
    <w:lvl w:ilvl="0" w:tplc="758E3ED8">
      <w:start w:val="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4000B"/>
    <w:multiLevelType w:val="hybridMultilevel"/>
    <w:tmpl w:val="EFB4786E"/>
    <w:lvl w:ilvl="0" w:tplc="C644A864">
      <w:start w:val="1"/>
      <w:numFmt w:val="bullet"/>
      <w:pStyle w:val="LACS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9560862">
      <w:start w:val="1"/>
      <w:numFmt w:val="decimal"/>
      <w:lvlText w:val="%3."/>
      <w:lvlJc w:val="left"/>
      <w:pPr>
        <w:tabs>
          <w:tab w:val="num" w:pos="504"/>
        </w:tabs>
        <w:ind w:left="504" w:hanging="432"/>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83623C"/>
    <w:multiLevelType w:val="hybridMultilevel"/>
    <w:tmpl w:val="EA8A3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47BE8"/>
    <w:multiLevelType w:val="multilevel"/>
    <w:tmpl w:val="8ACE674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7732741"/>
    <w:multiLevelType w:val="multilevel"/>
    <w:tmpl w:val="8ACE674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F37ABB"/>
    <w:multiLevelType w:val="hybridMultilevel"/>
    <w:tmpl w:val="54B8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9552C1"/>
    <w:multiLevelType w:val="hybridMultilevel"/>
    <w:tmpl w:val="B91886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02114B"/>
    <w:multiLevelType w:val="multilevel"/>
    <w:tmpl w:val="8ACE674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E831C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A04672"/>
    <w:multiLevelType w:val="multilevel"/>
    <w:tmpl w:val="0409001F"/>
    <w:lvl w:ilvl="0">
      <w:start w:val="1"/>
      <w:numFmt w:val="decimal"/>
      <w:lvlText w:val="%1."/>
      <w:lvlJc w:val="left"/>
      <w:pPr>
        <w:ind w:left="360" w:hanging="360"/>
      </w:pPr>
    </w:lvl>
    <w:lvl w:ilvl="1">
      <w:start w:val="1"/>
      <w:numFmt w:val="decimal"/>
      <w:lvlText w:val="%1.%2."/>
      <w:lvlJc w:val="left"/>
      <w:pPr>
        <w:ind w:left="882" w:hanging="432"/>
      </w:p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31F7007"/>
    <w:multiLevelType w:val="hybridMultilevel"/>
    <w:tmpl w:val="3154B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390D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E1323D"/>
    <w:multiLevelType w:val="hybridMultilevel"/>
    <w:tmpl w:val="203C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2767A"/>
    <w:multiLevelType w:val="multilevel"/>
    <w:tmpl w:val="AFC6E430"/>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23">
    <w:nsid w:val="439F7C99"/>
    <w:multiLevelType w:val="hybridMultilevel"/>
    <w:tmpl w:val="C0807B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50F7551B"/>
    <w:multiLevelType w:val="multilevel"/>
    <w:tmpl w:val="C77092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864" w:hanging="504"/>
      </w:pPr>
      <w:rPr>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C86330"/>
    <w:multiLevelType w:val="hybridMultilevel"/>
    <w:tmpl w:val="CE9C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88328B"/>
    <w:multiLevelType w:val="multilevel"/>
    <w:tmpl w:val="68FABC9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B6B52B4"/>
    <w:multiLevelType w:val="multilevel"/>
    <w:tmpl w:val="8ACE674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9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EE1071"/>
    <w:multiLevelType w:val="hybridMultilevel"/>
    <w:tmpl w:val="C2E8C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0C5955"/>
    <w:multiLevelType w:val="hybridMultilevel"/>
    <w:tmpl w:val="CEA2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B74883"/>
    <w:multiLevelType w:val="multilevel"/>
    <w:tmpl w:val="007E545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399262A"/>
    <w:multiLevelType w:val="hybridMultilevel"/>
    <w:tmpl w:val="9A82D50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695B129C"/>
    <w:multiLevelType w:val="hybridMultilevel"/>
    <w:tmpl w:val="5704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D344A"/>
    <w:multiLevelType w:val="multilevel"/>
    <w:tmpl w:val="49FCDE62"/>
    <w:lvl w:ilvl="0">
      <w:start w:val="1"/>
      <w:numFmt w:val="decimal"/>
      <w:lvlText w:val="%1."/>
      <w:lvlJc w:val="left"/>
      <w:pPr>
        <w:ind w:left="720" w:hanging="360"/>
      </w:pPr>
      <w:rPr>
        <w:rFonts w:hint="default"/>
      </w:rPr>
    </w:lvl>
    <w:lvl w:ilvl="1">
      <w:start w:val="6"/>
      <w:numFmt w:val="decimal"/>
      <w:lvlText w:val="%1.%2."/>
      <w:lvlJc w:val="left"/>
      <w:pPr>
        <w:ind w:left="1152" w:hanging="432"/>
      </w:pPr>
      <w:rPr>
        <w:rFonts w:hint="default"/>
      </w:rPr>
    </w:lvl>
    <w:lvl w:ilvl="2">
      <w:start w:val="3"/>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nsid w:val="6A8831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B461D85"/>
    <w:multiLevelType w:val="hybridMultilevel"/>
    <w:tmpl w:val="6278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127633"/>
    <w:multiLevelType w:val="hybridMultilevel"/>
    <w:tmpl w:val="B1C2D4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D94071"/>
    <w:multiLevelType w:val="hybridMultilevel"/>
    <w:tmpl w:val="1E90D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356A0"/>
    <w:multiLevelType w:val="hybridMultilevel"/>
    <w:tmpl w:val="41AE43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6E1404"/>
    <w:multiLevelType w:val="hybridMultilevel"/>
    <w:tmpl w:val="158E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DE55F8"/>
    <w:multiLevelType w:val="multilevel"/>
    <w:tmpl w:val="4006BB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rPr>
    </w:lvl>
    <w:lvl w:ilvl="3">
      <w:start w:val="1"/>
      <w:numFmt w:val="decimal"/>
      <w:lvlText w:val="%1.%2.%3.%4."/>
      <w:lvlJc w:val="left"/>
      <w:pPr>
        <w:ind w:left="1188" w:hanging="648"/>
      </w:pPr>
      <w:rPr>
        <w:sz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C301FC6"/>
    <w:multiLevelType w:val="hybridMultilevel"/>
    <w:tmpl w:val="3770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65641C"/>
    <w:multiLevelType w:val="hybridMultilevel"/>
    <w:tmpl w:val="7AEE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lvlOverride w:ilvl="0">
      <w:lvl w:ilvl="0">
        <w:start w:val="1"/>
        <w:numFmt w:val="decimal"/>
        <w:pStyle w:val="Num-Heading1"/>
        <w:lvlText w:val="%1.0"/>
        <w:lvlJc w:val="left"/>
        <w:pPr>
          <w:tabs>
            <w:tab w:val="num" w:pos="720"/>
          </w:tabs>
          <w:ind w:left="720" w:hanging="720"/>
        </w:pPr>
        <w:rPr>
          <w:rFonts w:ascii="Times New Roman" w:hAnsi="Times New Roman" w:cs="Times New Roman" w:hint="default"/>
          <w:b/>
          <w:i w:val="0"/>
          <w:sz w:val="32"/>
        </w:rPr>
      </w:lvl>
    </w:lvlOverride>
    <w:lvlOverride w:ilvl="1">
      <w:lvl w:ilvl="1">
        <w:start w:val="1"/>
        <w:numFmt w:val="decimal"/>
        <w:lvlText w:val="%1.%2"/>
        <w:lvlJc w:val="left"/>
        <w:pPr>
          <w:tabs>
            <w:tab w:val="num" w:pos="1170"/>
          </w:tabs>
          <w:ind w:left="1170" w:hanging="720"/>
        </w:pPr>
        <w:rPr>
          <w:rFonts w:ascii="Times New Roman" w:hAnsi="Times New Roman" w:cs="Times New Roman" w:hint="default"/>
          <w:b/>
          <w:i w:val="0"/>
          <w:spacing w:val="10"/>
          <w:sz w:val="28"/>
        </w:rPr>
      </w:lvl>
    </w:lvlOverride>
    <w:lvlOverride w:ilvl="2">
      <w:lvl w:ilvl="2">
        <w:start w:val="1"/>
        <w:numFmt w:val="decimal"/>
        <w:pStyle w:val="Num-Heading3"/>
        <w:lvlText w:val="%1.%2.%3"/>
        <w:lvlJc w:val="left"/>
        <w:pPr>
          <w:tabs>
            <w:tab w:val="num" w:pos="907"/>
          </w:tabs>
          <w:ind w:left="907" w:hanging="907"/>
        </w:pPr>
        <w:rPr>
          <w:rFonts w:ascii="Times New Roman" w:hAnsi="Times New Roman" w:cs="Times New Roman" w:hint="default"/>
          <w:b/>
          <w:i w:val="0"/>
          <w:sz w:val="24"/>
        </w:rPr>
      </w:lvl>
    </w:lvlOverride>
    <w:lvlOverride w:ilvl="3">
      <w:lvl w:ilvl="3">
        <w:start w:val="1"/>
        <w:numFmt w:val="decimal"/>
        <w:pStyle w:val="Num-Heading4"/>
        <w:lvlText w:val="%1.%2.%3.%4"/>
        <w:lvlJc w:val="left"/>
        <w:pPr>
          <w:tabs>
            <w:tab w:val="num" w:pos="994"/>
          </w:tabs>
          <w:ind w:left="994" w:hanging="994"/>
        </w:pPr>
        <w:rPr>
          <w:rFonts w:ascii="Times New Roman" w:hAnsi="Times New Roman" w:cs="Times New Roman" w:hint="default"/>
          <w:b/>
          <w:i/>
          <w:sz w:val="24"/>
        </w:rPr>
      </w:lvl>
    </w:lvlOverride>
  </w:num>
  <w:num w:numId="3">
    <w:abstractNumId w:val="22"/>
  </w:num>
  <w:num w:numId="4">
    <w:abstractNumId w:val="17"/>
  </w:num>
  <w:num w:numId="5">
    <w:abstractNumId w:val="7"/>
  </w:num>
  <w:num w:numId="6">
    <w:abstractNumId w:val="30"/>
  </w:num>
  <w:num w:numId="7">
    <w:abstractNumId w:val="9"/>
  </w:num>
  <w:num w:numId="8">
    <w:abstractNumId w:val="31"/>
  </w:num>
  <w:num w:numId="9">
    <w:abstractNumId w:val="2"/>
  </w:num>
  <w:num w:numId="10">
    <w:abstractNumId w:val="6"/>
  </w:num>
  <w:num w:numId="11">
    <w:abstractNumId w:val="19"/>
  </w:num>
  <w:num w:numId="12">
    <w:abstractNumId w:val="14"/>
  </w:num>
  <w:num w:numId="13">
    <w:abstractNumId w:val="4"/>
  </w:num>
  <w:num w:numId="14">
    <w:abstractNumId w:val="40"/>
  </w:num>
  <w:num w:numId="15">
    <w:abstractNumId w:val="1"/>
  </w:num>
  <w:num w:numId="16">
    <w:abstractNumId w:val="0"/>
  </w:num>
  <w:num w:numId="17">
    <w:abstractNumId w:val="24"/>
  </w:num>
  <w:num w:numId="18">
    <w:abstractNumId w:val="10"/>
  </w:num>
  <w:num w:numId="19">
    <w:abstractNumId w:val="36"/>
  </w:num>
  <w:num w:numId="20">
    <w:abstractNumId w:val="11"/>
  </w:num>
  <w:num w:numId="21">
    <w:abstractNumId w:val="25"/>
  </w:num>
  <w:num w:numId="22">
    <w:abstractNumId w:val="39"/>
  </w:num>
  <w:num w:numId="23">
    <w:abstractNumId w:val="37"/>
  </w:num>
  <w:num w:numId="24">
    <w:abstractNumId w:val="41"/>
  </w:num>
  <w:num w:numId="25">
    <w:abstractNumId w:val="28"/>
  </w:num>
  <w:num w:numId="26">
    <w:abstractNumId w:val="21"/>
  </w:num>
  <w:num w:numId="27">
    <w:abstractNumId w:val="35"/>
  </w:num>
  <w:num w:numId="28">
    <w:abstractNumId w:val="29"/>
  </w:num>
  <w:num w:numId="29">
    <w:abstractNumId w:val="8"/>
  </w:num>
  <w:num w:numId="30">
    <w:abstractNumId w:val="26"/>
  </w:num>
  <w:num w:numId="31">
    <w:abstractNumId w:val="3"/>
  </w:num>
  <w:num w:numId="32">
    <w:abstractNumId w:val="18"/>
  </w:num>
  <w:num w:numId="33">
    <w:abstractNumId w:val="20"/>
  </w:num>
  <w:num w:numId="34">
    <w:abstractNumId w:val="33"/>
  </w:num>
  <w:num w:numId="35">
    <w:abstractNumId w:val="32"/>
  </w:num>
  <w:num w:numId="36">
    <w:abstractNumId w:val="42"/>
  </w:num>
  <w:num w:numId="37">
    <w:abstractNumId w:val="38"/>
  </w:num>
  <w:num w:numId="38">
    <w:abstractNumId w:val="15"/>
  </w:num>
  <w:num w:numId="39">
    <w:abstractNumId w:val="5"/>
  </w:num>
  <w:num w:numId="40">
    <w:abstractNumId w:val="13"/>
  </w:num>
  <w:num w:numId="41">
    <w:abstractNumId w:val="16"/>
  </w:num>
  <w:num w:numId="42">
    <w:abstractNumId w:val="27"/>
  </w:num>
  <w:num w:numId="43">
    <w:abstractNumId w:val="12"/>
  </w:num>
  <w:num w:numId="44">
    <w:abstractNumId w:val="3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savePreviewPicture/>
  <w:hdrShapeDefaults>
    <o:shapedefaults v:ext="edit" spidmax="30722"/>
  </w:hdrShapeDefaults>
  <w:footnotePr>
    <w:footnote w:id="-1"/>
    <w:footnote w:id="0"/>
  </w:footnotePr>
  <w:endnotePr>
    <w:endnote w:id="-1"/>
    <w:endnote w:id="0"/>
  </w:endnotePr>
  <w:compat/>
  <w:rsids>
    <w:rsidRoot w:val="00B144DD"/>
    <w:rsid w:val="00000E73"/>
    <w:rsid w:val="000028E3"/>
    <w:rsid w:val="00002DEB"/>
    <w:rsid w:val="000067E3"/>
    <w:rsid w:val="00007F3B"/>
    <w:rsid w:val="0001043F"/>
    <w:rsid w:val="0001315B"/>
    <w:rsid w:val="000157CB"/>
    <w:rsid w:val="00021BC3"/>
    <w:rsid w:val="00022C5A"/>
    <w:rsid w:val="000232CC"/>
    <w:rsid w:val="00024632"/>
    <w:rsid w:val="000267D8"/>
    <w:rsid w:val="00030E59"/>
    <w:rsid w:val="0003183A"/>
    <w:rsid w:val="000424A9"/>
    <w:rsid w:val="00045D9A"/>
    <w:rsid w:val="00052B08"/>
    <w:rsid w:val="00055C64"/>
    <w:rsid w:val="000578E6"/>
    <w:rsid w:val="00057BC4"/>
    <w:rsid w:val="00057FF6"/>
    <w:rsid w:val="0006215C"/>
    <w:rsid w:val="00063175"/>
    <w:rsid w:val="0006563A"/>
    <w:rsid w:val="00066B25"/>
    <w:rsid w:val="00066DCF"/>
    <w:rsid w:val="000706E7"/>
    <w:rsid w:val="00074E3E"/>
    <w:rsid w:val="000805B9"/>
    <w:rsid w:val="00080A44"/>
    <w:rsid w:val="00082175"/>
    <w:rsid w:val="0008283F"/>
    <w:rsid w:val="000828AF"/>
    <w:rsid w:val="00083434"/>
    <w:rsid w:val="00084C76"/>
    <w:rsid w:val="000861F9"/>
    <w:rsid w:val="00087CEA"/>
    <w:rsid w:val="00093004"/>
    <w:rsid w:val="00094B7E"/>
    <w:rsid w:val="00094E26"/>
    <w:rsid w:val="000954C4"/>
    <w:rsid w:val="000A22A4"/>
    <w:rsid w:val="000A74AD"/>
    <w:rsid w:val="000A79E6"/>
    <w:rsid w:val="000B0083"/>
    <w:rsid w:val="000B21D5"/>
    <w:rsid w:val="000B4C3D"/>
    <w:rsid w:val="000B7A98"/>
    <w:rsid w:val="000C3379"/>
    <w:rsid w:val="000D013B"/>
    <w:rsid w:val="000D4E2C"/>
    <w:rsid w:val="000D518D"/>
    <w:rsid w:val="000D61F9"/>
    <w:rsid w:val="000E1418"/>
    <w:rsid w:val="000E4916"/>
    <w:rsid w:val="000E6777"/>
    <w:rsid w:val="000E7D15"/>
    <w:rsid w:val="000F02EC"/>
    <w:rsid w:val="000F03F8"/>
    <w:rsid w:val="000F161F"/>
    <w:rsid w:val="000F3E8E"/>
    <w:rsid w:val="000F44A8"/>
    <w:rsid w:val="000F6865"/>
    <w:rsid w:val="000F759E"/>
    <w:rsid w:val="001002EF"/>
    <w:rsid w:val="001003A9"/>
    <w:rsid w:val="00102A06"/>
    <w:rsid w:val="00116A14"/>
    <w:rsid w:val="001208A7"/>
    <w:rsid w:val="00125C80"/>
    <w:rsid w:val="00125D0A"/>
    <w:rsid w:val="001333DC"/>
    <w:rsid w:val="00140B2C"/>
    <w:rsid w:val="00140D45"/>
    <w:rsid w:val="001423B9"/>
    <w:rsid w:val="00144DE5"/>
    <w:rsid w:val="00145189"/>
    <w:rsid w:val="0014720A"/>
    <w:rsid w:val="0015092E"/>
    <w:rsid w:val="0015208D"/>
    <w:rsid w:val="00152E1B"/>
    <w:rsid w:val="001535C3"/>
    <w:rsid w:val="001555D6"/>
    <w:rsid w:val="0015574D"/>
    <w:rsid w:val="00156923"/>
    <w:rsid w:val="0016039A"/>
    <w:rsid w:val="00161F9D"/>
    <w:rsid w:val="00162419"/>
    <w:rsid w:val="00163D01"/>
    <w:rsid w:val="00173E56"/>
    <w:rsid w:val="00174FB5"/>
    <w:rsid w:val="001772BE"/>
    <w:rsid w:val="00177587"/>
    <w:rsid w:val="001839D5"/>
    <w:rsid w:val="00185AA1"/>
    <w:rsid w:val="001873B8"/>
    <w:rsid w:val="0019156D"/>
    <w:rsid w:val="00195ABF"/>
    <w:rsid w:val="00195F23"/>
    <w:rsid w:val="001974EB"/>
    <w:rsid w:val="001A4367"/>
    <w:rsid w:val="001A483E"/>
    <w:rsid w:val="001A4B68"/>
    <w:rsid w:val="001A5C79"/>
    <w:rsid w:val="001A65F2"/>
    <w:rsid w:val="001B091C"/>
    <w:rsid w:val="001B1763"/>
    <w:rsid w:val="001B2796"/>
    <w:rsid w:val="001B3306"/>
    <w:rsid w:val="001B548A"/>
    <w:rsid w:val="001B6D2F"/>
    <w:rsid w:val="001C032B"/>
    <w:rsid w:val="001C24CE"/>
    <w:rsid w:val="001C2D77"/>
    <w:rsid w:val="001C6206"/>
    <w:rsid w:val="001C70E9"/>
    <w:rsid w:val="001D3246"/>
    <w:rsid w:val="001D3427"/>
    <w:rsid w:val="001D5D12"/>
    <w:rsid w:val="001E34A9"/>
    <w:rsid w:val="001E744B"/>
    <w:rsid w:val="001F0310"/>
    <w:rsid w:val="001F713A"/>
    <w:rsid w:val="0020276C"/>
    <w:rsid w:val="00202E92"/>
    <w:rsid w:val="00203174"/>
    <w:rsid w:val="0020553E"/>
    <w:rsid w:val="00206922"/>
    <w:rsid w:val="00211830"/>
    <w:rsid w:val="00212082"/>
    <w:rsid w:val="00212922"/>
    <w:rsid w:val="00215F8B"/>
    <w:rsid w:val="00223515"/>
    <w:rsid w:val="00233B68"/>
    <w:rsid w:val="00233CB2"/>
    <w:rsid w:val="00234573"/>
    <w:rsid w:val="002355E5"/>
    <w:rsid w:val="00235FEF"/>
    <w:rsid w:val="00236B67"/>
    <w:rsid w:val="002404C8"/>
    <w:rsid w:val="00242CD8"/>
    <w:rsid w:val="00244D35"/>
    <w:rsid w:val="00245211"/>
    <w:rsid w:val="00245319"/>
    <w:rsid w:val="00246D02"/>
    <w:rsid w:val="002528E1"/>
    <w:rsid w:val="002531F5"/>
    <w:rsid w:val="00253ED6"/>
    <w:rsid w:val="00257733"/>
    <w:rsid w:val="0026093F"/>
    <w:rsid w:val="0026140E"/>
    <w:rsid w:val="002623EC"/>
    <w:rsid w:val="00262C2D"/>
    <w:rsid w:val="00272FE4"/>
    <w:rsid w:val="002745F2"/>
    <w:rsid w:val="00275834"/>
    <w:rsid w:val="00282F4C"/>
    <w:rsid w:val="00286D01"/>
    <w:rsid w:val="00293E65"/>
    <w:rsid w:val="00294CD6"/>
    <w:rsid w:val="00295E3B"/>
    <w:rsid w:val="002A2C0D"/>
    <w:rsid w:val="002B00CE"/>
    <w:rsid w:val="002B4367"/>
    <w:rsid w:val="002B55D5"/>
    <w:rsid w:val="002C2A0A"/>
    <w:rsid w:val="002C40E6"/>
    <w:rsid w:val="002C76E4"/>
    <w:rsid w:val="002D0008"/>
    <w:rsid w:val="002D2299"/>
    <w:rsid w:val="002D4CAD"/>
    <w:rsid w:val="002D6A00"/>
    <w:rsid w:val="002E1F04"/>
    <w:rsid w:val="002E775F"/>
    <w:rsid w:val="00301664"/>
    <w:rsid w:val="003021EF"/>
    <w:rsid w:val="003056E2"/>
    <w:rsid w:val="00311535"/>
    <w:rsid w:val="00312223"/>
    <w:rsid w:val="00312EA4"/>
    <w:rsid w:val="003156DD"/>
    <w:rsid w:val="003201E3"/>
    <w:rsid w:val="00322D03"/>
    <w:rsid w:val="00322D12"/>
    <w:rsid w:val="00324647"/>
    <w:rsid w:val="00326264"/>
    <w:rsid w:val="00326666"/>
    <w:rsid w:val="00327060"/>
    <w:rsid w:val="00327DE1"/>
    <w:rsid w:val="00330232"/>
    <w:rsid w:val="003315AC"/>
    <w:rsid w:val="00332A3F"/>
    <w:rsid w:val="00333298"/>
    <w:rsid w:val="0033737D"/>
    <w:rsid w:val="003443D7"/>
    <w:rsid w:val="003455B4"/>
    <w:rsid w:val="00347AE1"/>
    <w:rsid w:val="00347FED"/>
    <w:rsid w:val="00353772"/>
    <w:rsid w:val="00354666"/>
    <w:rsid w:val="00356ECB"/>
    <w:rsid w:val="003600AA"/>
    <w:rsid w:val="00361937"/>
    <w:rsid w:val="00363856"/>
    <w:rsid w:val="00363D19"/>
    <w:rsid w:val="003647CD"/>
    <w:rsid w:val="003765BE"/>
    <w:rsid w:val="0038373A"/>
    <w:rsid w:val="003854ED"/>
    <w:rsid w:val="00385A6F"/>
    <w:rsid w:val="0039343A"/>
    <w:rsid w:val="00394510"/>
    <w:rsid w:val="003950E0"/>
    <w:rsid w:val="003960AE"/>
    <w:rsid w:val="003963E5"/>
    <w:rsid w:val="003A0B88"/>
    <w:rsid w:val="003A5F08"/>
    <w:rsid w:val="003B0ED3"/>
    <w:rsid w:val="003B18F3"/>
    <w:rsid w:val="003B3E22"/>
    <w:rsid w:val="003C299E"/>
    <w:rsid w:val="003C3878"/>
    <w:rsid w:val="003C40EC"/>
    <w:rsid w:val="003C5908"/>
    <w:rsid w:val="003D0C9C"/>
    <w:rsid w:val="003D1908"/>
    <w:rsid w:val="003D1B3B"/>
    <w:rsid w:val="003D1B96"/>
    <w:rsid w:val="003D36EE"/>
    <w:rsid w:val="003D3A88"/>
    <w:rsid w:val="003D5090"/>
    <w:rsid w:val="003D7AAC"/>
    <w:rsid w:val="003E0451"/>
    <w:rsid w:val="003E2345"/>
    <w:rsid w:val="003E65A5"/>
    <w:rsid w:val="003E6CB5"/>
    <w:rsid w:val="003F0A18"/>
    <w:rsid w:val="003F440B"/>
    <w:rsid w:val="003F60BE"/>
    <w:rsid w:val="003F7787"/>
    <w:rsid w:val="004002C1"/>
    <w:rsid w:val="00401B74"/>
    <w:rsid w:val="0040480E"/>
    <w:rsid w:val="00405980"/>
    <w:rsid w:val="00413CD8"/>
    <w:rsid w:val="00417F6E"/>
    <w:rsid w:val="00420097"/>
    <w:rsid w:val="0042412E"/>
    <w:rsid w:val="0043189C"/>
    <w:rsid w:val="00433B53"/>
    <w:rsid w:val="004340F9"/>
    <w:rsid w:val="00440718"/>
    <w:rsid w:val="004425F3"/>
    <w:rsid w:val="00442EEC"/>
    <w:rsid w:val="0045164E"/>
    <w:rsid w:val="00453357"/>
    <w:rsid w:val="00457579"/>
    <w:rsid w:val="00457747"/>
    <w:rsid w:val="004627B4"/>
    <w:rsid w:val="00464EC0"/>
    <w:rsid w:val="00466BF3"/>
    <w:rsid w:val="00467A34"/>
    <w:rsid w:val="00473911"/>
    <w:rsid w:val="00475A9A"/>
    <w:rsid w:val="00476E37"/>
    <w:rsid w:val="00477FA5"/>
    <w:rsid w:val="00480C1E"/>
    <w:rsid w:val="00483FE1"/>
    <w:rsid w:val="00485895"/>
    <w:rsid w:val="004866DF"/>
    <w:rsid w:val="00491354"/>
    <w:rsid w:val="004927D1"/>
    <w:rsid w:val="0049351D"/>
    <w:rsid w:val="004938C1"/>
    <w:rsid w:val="00493A9A"/>
    <w:rsid w:val="00494031"/>
    <w:rsid w:val="004A1EF4"/>
    <w:rsid w:val="004A27D6"/>
    <w:rsid w:val="004A6967"/>
    <w:rsid w:val="004B0B15"/>
    <w:rsid w:val="004B2617"/>
    <w:rsid w:val="004B2A02"/>
    <w:rsid w:val="004B4282"/>
    <w:rsid w:val="004B598E"/>
    <w:rsid w:val="004B6AC0"/>
    <w:rsid w:val="004C2D91"/>
    <w:rsid w:val="004C51E2"/>
    <w:rsid w:val="004C570A"/>
    <w:rsid w:val="004C5F48"/>
    <w:rsid w:val="004C745E"/>
    <w:rsid w:val="004D0515"/>
    <w:rsid w:val="004D267D"/>
    <w:rsid w:val="004D4BA4"/>
    <w:rsid w:val="004D4C40"/>
    <w:rsid w:val="004E28B8"/>
    <w:rsid w:val="004E30B4"/>
    <w:rsid w:val="004E76ED"/>
    <w:rsid w:val="004F05DD"/>
    <w:rsid w:val="004F38B1"/>
    <w:rsid w:val="004F5DA7"/>
    <w:rsid w:val="004F6CFF"/>
    <w:rsid w:val="004F7F8D"/>
    <w:rsid w:val="005003F6"/>
    <w:rsid w:val="0050266E"/>
    <w:rsid w:val="00505001"/>
    <w:rsid w:val="00507487"/>
    <w:rsid w:val="00512EBD"/>
    <w:rsid w:val="005138CC"/>
    <w:rsid w:val="005165BF"/>
    <w:rsid w:val="00526E21"/>
    <w:rsid w:val="00526E94"/>
    <w:rsid w:val="00536148"/>
    <w:rsid w:val="005371C6"/>
    <w:rsid w:val="00542AA5"/>
    <w:rsid w:val="00561D8B"/>
    <w:rsid w:val="0056416B"/>
    <w:rsid w:val="00567CB7"/>
    <w:rsid w:val="00572F77"/>
    <w:rsid w:val="005773F3"/>
    <w:rsid w:val="00580369"/>
    <w:rsid w:val="00581FD3"/>
    <w:rsid w:val="005825EE"/>
    <w:rsid w:val="00582B45"/>
    <w:rsid w:val="005831B3"/>
    <w:rsid w:val="00583A5F"/>
    <w:rsid w:val="00586B8C"/>
    <w:rsid w:val="005915A6"/>
    <w:rsid w:val="00592BD3"/>
    <w:rsid w:val="0059349D"/>
    <w:rsid w:val="00597597"/>
    <w:rsid w:val="005A0380"/>
    <w:rsid w:val="005A0C60"/>
    <w:rsid w:val="005A1D39"/>
    <w:rsid w:val="005A32CF"/>
    <w:rsid w:val="005A38C6"/>
    <w:rsid w:val="005B58D0"/>
    <w:rsid w:val="005C16EE"/>
    <w:rsid w:val="005C2AB2"/>
    <w:rsid w:val="005C5253"/>
    <w:rsid w:val="005D252F"/>
    <w:rsid w:val="005D3461"/>
    <w:rsid w:val="005D4724"/>
    <w:rsid w:val="005D603C"/>
    <w:rsid w:val="005D6F75"/>
    <w:rsid w:val="005E65CA"/>
    <w:rsid w:val="005F3CF9"/>
    <w:rsid w:val="005F43C6"/>
    <w:rsid w:val="005F59DD"/>
    <w:rsid w:val="005F77F2"/>
    <w:rsid w:val="006000CA"/>
    <w:rsid w:val="00601D56"/>
    <w:rsid w:val="00603CBD"/>
    <w:rsid w:val="0060513B"/>
    <w:rsid w:val="00605906"/>
    <w:rsid w:val="0061091E"/>
    <w:rsid w:val="00611A50"/>
    <w:rsid w:val="006146A5"/>
    <w:rsid w:val="00617749"/>
    <w:rsid w:val="006206C7"/>
    <w:rsid w:val="00624567"/>
    <w:rsid w:val="00624896"/>
    <w:rsid w:val="00625932"/>
    <w:rsid w:val="00625ADB"/>
    <w:rsid w:val="006274A7"/>
    <w:rsid w:val="00627741"/>
    <w:rsid w:val="00630844"/>
    <w:rsid w:val="00631514"/>
    <w:rsid w:val="00632F61"/>
    <w:rsid w:val="006365C5"/>
    <w:rsid w:val="00637E77"/>
    <w:rsid w:val="00640497"/>
    <w:rsid w:val="00642A74"/>
    <w:rsid w:val="006447CD"/>
    <w:rsid w:val="00651456"/>
    <w:rsid w:val="00654837"/>
    <w:rsid w:val="006554A8"/>
    <w:rsid w:val="006632C7"/>
    <w:rsid w:val="00675999"/>
    <w:rsid w:val="00675F51"/>
    <w:rsid w:val="00680362"/>
    <w:rsid w:val="00686982"/>
    <w:rsid w:val="00687155"/>
    <w:rsid w:val="00687D24"/>
    <w:rsid w:val="006910AC"/>
    <w:rsid w:val="006958FB"/>
    <w:rsid w:val="00695CCD"/>
    <w:rsid w:val="006A179F"/>
    <w:rsid w:val="006A2378"/>
    <w:rsid w:val="006A237F"/>
    <w:rsid w:val="006A5D5B"/>
    <w:rsid w:val="006A67D4"/>
    <w:rsid w:val="006B31E6"/>
    <w:rsid w:val="006B72F0"/>
    <w:rsid w:val="006C0CD3"/>
    <w:rsid w:val="006C3DD7"/>
    <w:rsid w:val="006C46BE"/>
    <w:rsid w:val="006C598B"/>
    <w:rsid w:val="006C5AA8"/>
    <w:rsid w:val="006C68BA"/>
    <w:rsid w:val="006D1271"/>
    <w:rsid w:val="006D5767"/>
    <w:rsid w:val="006D5A51"/>
    <w:rsid w:val="006D7355"/>
    <w:rsid w:val="006D7DF3"/>
    <w:rsid w:val="006E3F34"/>
    <w:rsid w:val="006E432B"/>
    <w:rsid w:val="006E5C11"/>
    <w:rsid w:val="006F05E2"/>
    <w:rsid w:val="006F1185"/>
    <w:rsid w:val="006F3165"/>
    <w:rsid w:val="006F38B5"/>
    <w:rsid w:val="006F6C48"/>
    <w:rsid w:val="006F75E7"/>
    <w:rsid w:val="006F7E57"/>
    <w:rsid w:val="007043AE"/>
    <w:rsid w:val="007054BD"/>
    <w:rsid w:val="00705954"/>
    <w:rsid w:val="00706C37"/>
    <w:rsid w:val="00707E52"/>
    <w:rsid w:val="00710C05"/>
    <w:rsid w:val="007134F2"/>
    <w:rsid w:val="007149ED"/>
    <w:rsid w:val="00714D19"/>
    <w:rsid w:val="0072113E"/>
    <w:rsid w:val="00721230"/>
    <w:rsid w:val="00721C2C"/>
    <w:rsid w:val="0072260C"/>
    <w:rsid w:val="0072436C"/>
    <w:rsid w:val="0072578D"/>
    <w:rsid w:val="00727EB1"/>
    <w:rsid w:val="0073560D"/>
    <w:rsid w:val="00737032"/>
    <w:rsid w:val="00740B1F"/>
    <w:rsid w:val="00740BE8"/>
    <w:rsid w:val="00744332"/>
    <w:rsid w:val="007451B0"/>
    <w:rsid w:val="00745AFB"/>
    <w:rsid w:val="00745EB7"/>
    <w:rsid w:val="00745FB2"/>
    <w:rsid w:val="0074647D"/>
    <w:rsid w:val="00746BBE"/>
    <w:rsid w:val="00747119"/>
    <w:rsid w:val="00751AA2"/>
    <w:rsid w:val="0075493D"/>
    <w:rsid w:val="00756301"/>
    <w:rsid w:val="0075644C"/>
    <w:rsid w:val="00756858"/>
    <w:rsid w:val="00756B23"/>
    <w:rsid w:val="007601A2"/>
    <w:rsid w:val="00767B80"/>
    <w:rsid w:val="0077592D"/>
    <w:rsid w:val="007770E5"/>
    <w:rsid w:val="00777EF5"/>
    <w:rsid w:val="00780B1A"/>
    <w:rsid w:val="00780EE5"/>
    <w:rsid w:val="0078267F"/>
    <w:rsid w:val="00782948"/>
    <w:rsid w:val="00783C9F"/>
    <w:rsid w:val="00783E73"/>
    <w:rsid w:val="007844FD"/>
    <w:rsid w:val="007848B8"/>
    <w:rsid w:val="0078499B"/>
    <w:rsid w:val="00786664"/>
    <w:rsid w:val="00786C0D"/>
    <w:rsid w:val="00790124"/>
    <w:rsid w:val="00790445"/>
    <w:rsid w:val="0079073B"/>
    <w:rsid w:val="00790772"/>
    <w:rsid w:val="007A0B6C"/>
    <w:rsid w:val="007A108D"/>
    <w:rsid w:val="007A10EF"/>
    <w:rsid w:val="007A2634"/>
    <w:rsid w:val="007A2BB5"/>
    <w:rsid w:val="007A50E2"/>
    <w:rsid w:val="007A54CC"/>
    <w:rsid w:val="007A79AF"/>
    <w:rsid w:val="007B0C4C"/>
    <w:rsid w:val="007B7B96"/>
    <w:rsid w:val="007C53B0"/>
    <w:rsid w:val="007C5C09"/>
    <w:rsid w:val="007D08C2"/>
    <w:rsid w:val="007D33D5"/>
    <w:rsid w:val="007D6DC1"/>
    <w:rsid w:val="007D7B98"/>
    <w:rsid w:val="007E6561"/>
    <w:rsid w:val="007E6BEE"/>
    <w:rsid w:val="007F2EC4"/>
    <w:rsid w:val="0080011D"/>
    <w:rsid w:val="00802B5D"/>
    <w:rsid w:val="008034D8"/>
    <w:rsid w:val="00804006"/>
    <w:rsid w:val="00806886"/>
    <w:rsid w:val="00807590"/>
    <w:rsid w:val="00810A27"/>
    <w:rsid w:val="008111A1"/>
    <w:rsid w:val="00812478"/>
    <w:rsid w:val="0081337B"/>
    <w:rsid w:val="00814BA6"/>
    <w:rsid w:val="00823096"/>
    <w:rsid w:val="00823DBE"/>
    <w:rsid w:val="00824BE3"/>
    <w:rsid w:val="008263DB"/>
    <w:rsid w:val="00827413"/>
    <w:rsid w:val="00831E9C"/>
    <w:rsid w:val="00833EC4"/>
    <w:rsid w:val="00841AF4"/>
    <w:rsid w:val="008427A6"/>
    <w:rsid w:val="00843886"/>
    <w:rsid w:val="00845996"/>
    <w:rsid w:val="00845F6E"/>
    <w:rsid w:val="0085537C"/>
    <w:rsid w:val="0085588F"/>
    <w:rsid w:val="008566AC"/>
    <w:rsid w:val="008623F9"/>
    <w:rsid w:val="008627BA"/>
    <w:rsid w:val="00863010"/>
    <w:rsid w:val="00863817"/>
    <w:rsid w:val="00863B25"/>
    <w:rsid w:val="008723B0"/>
    <w:rsid w:val="00877AEA"/>
    <w:rsid w:val="008807B1"/>
    <w:rsid w:val="00890758"/>
    <w:rsid w:val="0089179C"/>
    <w:rsid w:val="00891BFE"/>
    <w:rsid w:val="00891CCD"/>
    <w:rsid w:val="00892471"/>
    <w:rsid w:val="00895F1E"/>
    <w:rsid w:val="008A1D56"/>
    <w:rsid w:val="008A2E72"/>
    <w:rsid w:val="008A5B15"/>
    <w:rsid w:val="008A6878"/>
    <w:rsid w:val="008B0A01"/>
    <w:rsid w:val="008B289B"/>
    <w:rsid w:val="008B46EF"/>
    <w:rsid w:val="008B5044"/>
    <w:rsid w:val="008C383B"/>
    <w:rsid w:val="008C4FAF"/>
    <w:rsid w:val="008D1DB6"/>
    <w:rsid w:val="008D7862"/>
    <w:rsid w:val="008E500D"/>
    <w:rsid w:val="008E5165"/>
    <w:rsid w:val="008E66E8"/>
    <w:rsid w:val="008E7C97"/>
    <w:rsid w:val="008F7F6B"/>
    <w:rsid w:val="009003C8"/>
    <w:rsid w:val="00901599"/>
    <w:rsid w:val="009016FC"/>
    <w:rsid w:val="0090309A"/>
    <w:rsid w:val="009038F2"/>
    <w:rsid w:val="00906CE9"/>
    <w:rsid w:val="00906FBE"/>
    <w:rsid w:val="00912870"/>
    <w:rsid w:val="00916F6B"/>
    <w:rsid w:val="00917089"/>
    <w:rsid w:val="009172BE"/>
    <w:rsid w:val="00917854"/>
    <w:rsid w:val="00917A5A"/>
    <w:rsid w:val="00922C79"/>
    <w:rsid w:val="009262C6"/>
    <w:rsid w:val="0092731A"/>
    <w:rsid w:val="00927801"/>
    <w:rsid w:val="00927E3F"/>
    <w:rsid w:val="00941049"/>
    <w:rsid w:val="00941765"/>
    <w:rsid w:val="00942D37"/>
    <w:rsid w:val="00944C64"/>
    <w:rsid w:val="00944E97"/>
    <w:rsid w:val="0095036D"/>
    <w:rsid w:val="009527F4"/>
    <w:rsid w:val="009533F3"/>
    <w:rsid w:val="009575CA"/>
    <w:rsid w:val="00964258"/>
    <w:rsid w:val="009648BB"/>
    <w:rsid w:val="00971782"/>
    <w:rsid w:val="00971F76"/>
    <w:rsid w:val="00972FA9"/>
    <w:rsid w:val="00975D15"/>
    <w:rsid w:val="00976B8B"/>
    <w:rsid w:val="00980E16"/>
    <w:rsid w:val="00981672"/>
    <w:rsid w:val="00985A98"/>
    <w:rsid w:val="00987EF2"/>
    <w:rsid w:val="00992A23"/>
    <w:rsid w:val="00996588"/>
    <w:rsid w:val="009A0772"/>
    <w:rsid w:val="009A179D"/>
    <w:rsid w:val="009A2540"/>
    <w:rsid w:val="009A2E93"/>
    <w:rsid w:val="009A4DD0"/>
    <w:rsid w:val="009A7894"/>
    <w:rsid w:val="009A7BAA"/>
    <w:rsid w:val="009B074C"/>
    <w:rsid w:val="009B3D02"/>
    <w:rsid w:val="009B420D"/>
    <w:rsid w:val="009B467A"/>
    <w:rsid w:val="009B4AC9"/>
    <w:rsid w:val="009B5233"/>
    <w:rsid w:val="009B79C8"/>
    <w:rsid w:val="009C62AE"/>
    <w:rsid w:val="009D67CC"/>
    <w:rsid w:val="009D6D23"/>
    <w:rsid w:val="009D7873"/>
    <w:rsid w:val="009E1774"/>
    <w:rsid w:val="009E2E7C"/>
    <w:rsid w:val="009E3317"/>
    <w:rsid w:val="009E33B6"/>
    <w:rsid w:val="009E3804"/>
    <w:rsid w:val="009E6293"/>
    <w:rsid w:val="009F0904"/>
    <w:rsid w:val="00A00056"/>
    <w:rsid w:val="00A00D7A"/>
    <w:rsid w:val="00A0109F"/>
    <w:rsid w:val="00A03678"/>
    <w:rsid w:val="00A04162"/>
    <w:rsid w:val="00A04CF0"/>
    <w:rsid w:val="00A063C4"/>
    <w:rsid w:val="00A0650A"/>
    <w:rsid w:val="00A06D76"/>
    <w:rsid w:val="00A07B99"/>
    <w:rsid w:val="00A168F1"/>
    <w:rsid w:val="00A209F3"/>
    <w:rsid w:val="00A22303"/>
    <w:rsid w:val="00A25CC9"/>
    <w:rsid w:val="00A278F4"/>
    <w:rsid w:val="00A27F12"/>
    <w:rsid w:val="00A31075"/>
    <w:rsid w:val="00A32886"/>
    <w:rsid w:val="00A36F9F"/>
    <w:rsid w:val="00A449E2"/>
    <w:rsid w:val="00A4539C"/>
    <w:rsid w:val="00A50EF0"/>
    <w:rsid w:val="00A52EA0"/>
    <w:rsid w:val="00A573EF"/>
    <w:rsid w:val="00A64E78"/>
    <w:rsid w:val="00A71A79"/>
    <w:rsid w:val="00A72047"/>
    <w:rsid w:val="00A80852"/>
    <w:rsid w:val="00A84150"/>
    <w:rsid w:val="00A84453"/>
    <w:rsid w:val="00A85AE1"/>
    <w:rsid w:val="00A87D17"/>
    <w:rsid w:val="00A930A2"/>
    <w:rsid w:val="00A933EF"/>
    <w:rsid w:val="00A946CC"/>
    <w:rsid w:val="00A960A0"/>
    <w:rsid w:val="00A9762F"/>
    <w:rsid w:val="00A97886"/>
    <w:rsid w:val="00A97C10"/>
    <w:rsid w:val="00AA2AA4"/>
    <w:rsid w:val="00AA579A"/>
    <w:rsid w:val="00AA6547"/>
    <w:rsid w:val="00AA7CE5"/>
    <w:rsid w:val="00AB1D44"/>
    <w:rsid w:val="00AB4EBC"/>
    <w:rsid w:val="00AC024D"/>
    <w:rsid w:val="00AC23A3"/>
    <w:rsid w:val="00AC73EB"/>
    <w:rsid w:val="00AD10A8"/>
    <w:rsid w:val="00AD328A"/>
    <w:rsid w:val="00AD4453"/>
    <w:rsid w:val="00AD5C9F"/>
    <w:rsid w:val="00AE0987"/>
    <w:rsid w:val="00AE14BC"/>
    <w:rsid w:val="00AE3544"/>
    <w:rsid w:val="00AE4F6B"/>
    <w:rsid w:val="00AE6B43"/>
    <w:rsid w:val="00AE75CC"/>
    <w:rsid w:val="00AE7648"/>
    <w:rsid w:val="00AF5DC3"/>
    <w:rsid w:val="00B004F7"/>
    <w:rsid w:val="00B0080F"/>
    <w:rsid w:val="00B014AC"/>
    <w:rsid w:val="00B01E49"/>
    <w:rsid w:val="00B04E93"/>
    <w:rsid w:val="00B05102"/>
    <w:rsid w:val="00B051D3"/>
    <w:rsid w:val="00B07122"/>
    <w:rsid w:val="00B07344"/>
    <w:rsid w:val="00B07852"/>
    <w:rsid w:val="00B07B21"/>
    <w:rsid w:val="00B11032"/>
    <w:rsid w:val="00B1277C"/>
    <w:rsid w:val="00B144DD"/>
    <w:rsid w:val="00B149E0"/>
    <w:rsid w:val="00B17856"/>
    <w:rsid w:val="00B226E3"/>
    <w:rsid w:val="00B22DD4"/>
    <w:rsid w:val="00B256FE"/>
    <w:rsid w:val="00B27150"/>
    <w:rsid w:val="00B33224"/>
    <w:rsid w:val="00B34A4E"/>
    <w:rsid w:val="00B35E72"/>
    <w:rsid w:val="00B412B3"/>
    <w:rsid w:val="00B41938"/>
    <w:rsid w:val="00B429EF"/>
    <w:rsid w:val="00B434B1"/>
    <w:rsid w:val="00B44173"/>
    <w:rsid w:val="00B51DC4"/>
    <w:rsid w:val="00B54B9D"/>
    <w:rsid w:val="00B650FA"/>
    <w:rsid w:val="00B66128"/>
    <w:rsid w:val="00B67E77"/>
    <w:rsid w:val="00B71AEF"/>
    <w:rsid w:val="00B722E9"/>
    <w:rsid w:val="00B72522"/>
    <w:rsid w:val="00B73336"/>
    <w:rsid w:val="00B7428D"/>
    <w:rsid w:val="00B748D0"/>
    <w:rsid w:val="00B74E48"/>
    <w:rsid w:val="00B75261"/>
    <w:rsid w:val="00B75FBC"/>
    <w:rsid w:val="00B766AF"/>
    <w:rsid w:val="00B82FD2"/>
    <w:rsid w:val="00B835C5"/>
    <w:rsid w:val="00B843D7"/>
    <w:rsid w:val="00B93C11"/>
    <w:rsid w:val="00B9511A"/>
    <w:rsid w:val="00B95128"/>
    <w:rsid w:val="00B957E4"/>
    <w:rsid w:val="00B96D24"/>
    <w:rsid w:val="00BA502F"/>
    <w:rsid w:val="00BA6899"/>
    <w:rsid w:val="00BA7190"/>
    <w:rsid w:val="00BB0CDC"/>
    <w:rsid w:val="00BB31EB"/>
    <w:rsid w:val="00BB3E38"/>
    <w:rsid w:val="00BB5F5B"/>
    <w:rsid w:val="00BC1180"/>
    <w:rsid w:val="00BD2C96"/>
    <w:rsid w:val="00BD41C5"/>
    <w:rsid w:val="00BE075C"/>
    <w:rsid w:val="00BE098E"/>
    <w:rsid w:val="00BE1217"/>
    <w:rsid w:val="00BE6CFB"/>
    <w:rsid w:val="00BE71BA"/>
    <w:rsid w:val="00BF066C"/>
    <w:rsid w:val="00BF1CA5"/>
    <w:rsid w:val="00BF1E5D"/>
    <w:rsid w:val="00BF27EF"/>
    <w:rsid w:val="00BF443F"/>
    <w:rsid w:val="00BF6F1F"/>
    <w:rsid w:val="00C000E8"/>
    <w:rsid w:val="00C046C0"/>
    <w:rsid w:val="00C055EA"/>
    <w:rsid w:val="00C068AF"/>
    <w:rsid w:val="00C1069A"/>
    <w:rsid w:val="00C179FD"/>
    <w:rsid w:val="00C21E0B"/>
    <w:rsid w:val="00C23409"/>
    <w:rsid w:val="00C32D67"/>
    <w:rsid w:val="00C337A1"/>
    <w:rsid w:val="00C3456B"/>
    <w:rsid w:val="00C35836"/>
    <w:rsid w:val="00C40A79"/>
    <w:rsid w:val="00C40A80"/>
    <w:rsid w:val="00C40ED6"/>
    <w:rsid w:val="00C45836"/>
    <w:rsid w:val="00C51780"/>
    <w:rsid w:val="00C57361"/>
    <w:rsid w:val="00C621E8"/>
    <w:rsid w:val="00C66C5F"/>
    <w:rsid w:val="00C70437"/>
    <w:rsid w:val="00C7145E"/>
    <w:rsid w:val="00C71C10"/>
    <w:rsid w:val="00C74069"/>
    <w:rsid w:val="00C744DD"/>
    <w:rsid w:val="00C744EF"/>
    <w:rsid w:val="00C767BA"/>
    <w:rsid w:val="00C76AEF"/>
    <w:rsid w:val="00C76F5A"/>
    <w:rsid w:val="00C822AF"/>
    <w:rsid w:val="00C83B4F"/>
    <w:rsid w:val="00C84078"/>
    <w:rsid w:val="00C85106"/>
    <w:rsid w:val="00C8519F"/>
    <w:rsid w:val="00C872DB"/>
    <w:rsid w:val="00C87B83"/>
    <w:rsid w:val="00C87D9C"/>
    <w:rsid w:val="00C91F32"/>
    <w:rsid w:val="00C9227D"/>
    <w:rsid w:val="00C945EC"/>
    <w:rsid w:val="00CA0894"/>
    <w:rsid w:val="00CA1CED"/>
    <w:rsid w:val="00CA2EF6"/>
    <w:rsid w:val="00CA52BC"/>
    <w:rsid w:val="00CA5676"/>
    <w:rsid w:val="00CA773E"/>
    <w:rsid w:val="00CB33E9"/>
    <w:rsid w:val="00CB61E8"/>
    <w:rsid w:val="00CB63FC"/>
    <w:rsid w:val="00CC0857"/>
    <w:rsid w:val="00CC3A29"/>
    <w:rsid w:val="00CC41BD"/>
    <w:rsid w:val="00CC4F11"/>
    <w:rsid w:val="00CC6BB7"/>
    <w:rsid w:val="00CC77EB"/>
    <w:rsid w:val="00CC79A1"/>
    <w:rsid w:val="00CD1529"/>
    <w:rsid w:val="00CD3A22"/>
    <w:rsid w:val="00CD3BAB"/>
    <w:rsid w:val="00CD573F"/>
    <w:rsid w:val="00CE015B"/>
    <w:rsid w:val="00CE5A18"/>
    <w:rsid w:val="00CE6C39"/>
    <w:rsid w:val="00CF130C"/>
    <w:rsid w:val="00CF6390"/>
    <w:rsid w:val="00D009F5"/>
    <w:rsid w:val="00D01F1B"/>
    <w:rsid w:val="00D02165"/>
    <w:rsid w:val="00D04DAF"/>
    <w:rsid w:val="00D10D96"/>
    <w:rsid w:val="00D11CD6"/>
    <w:rsid w:val="00D127D6"/>
    <w:rsid w:val="00D141D5"/>
    <w:rsid w:val="00D2295F"/>
    <w:rsid w:val="00D27965"/>
    <w:rsid w:val="00D34185"/>
    <w:rsid w:val="00D40E4E"/>
    <w:rsid w:val="00D41127"/>
    <w:rsid w:val="00D420D6"/>
    <w:rsid w:val="00D426AE"/>
    <w:rsid w:val="00D450C7"/>
    <w:rsid w:val="00D52312"/>
    <w:rsid w:val="00D556A5"/>
    <w:rsid w:val="00D7568F"/>
    <w:rsid w:val="00D76243"/>
    <w:rsid w:val="00D8071F"/>
    <w:rsid w:val="00D8195D"/>
    <w:rsid w:val="00D82D51"/>
    <w:rsid w:val="00D85159"/>
    <w:rsid w:val="00D856A9"/>
    <w:rsid w:val="00D874F6"/>
    <w:rsid w:val="00D957F7"/>
    <w:rsid w:val="00D96F26"/>
    <w:rsid w:val="00DA077D"/>
    <w:rsid w:val="00DA1215"/>
    <w:rsid w:val="00DA1C63"/>
    <w:rsid w:val="00DA1E0B"/>
    <w:rsid w:val="00DA2132"/>
    <w:rsid w:val="00DA21FE"/>
    <w:rsid w:val="00DA70FD"/>
    <w:rsid w:val="00DA7901"/>
    <w:rsid w:val="00DB03D1"/>
    <w:rsid w:val="00DB154A"/>
    <w:rsid w:val="00DB2808"/>
    <w:rsid w:val="00DB2DF3"/>
    <w:rsid w:val="00DB2F4E"/>
    <w:rsid w:val="00DB5A9D"/>
    <w:rsid w:val="00DB607F"/>
    <w:rsid w:val="00DB7974"/>
    <w:rsid w:val="00DC08DB"/>
    <w:rsid w:val="00DC0C94"/>
    <w:rsid w:val="00DC43B8"/>
    <w:rsid w:val="00DC45B4"/>
    <w:rsid w:val="00DC6834"/>
    <w:rsid w:val="00DC7BDE"/>
    <w:rsid w:val="00DD04F7"/>
    <w:rsid w:val="00DD1D89"/>
    <w:rsid w:val="00DD3908"/>
    <w:rsid w:val="00DD413E"/>
    <w:rsid w:val="00DE0612"/>
    <w:rsid w:val="00DE0FCE"/>
    <w:rsid w:val="00DE2935"/>
    <w:rsid w:val="00DE4407"/>
    <w:rsid w:val="00DE4BAE"/>
    <w:rsid w:val="00DF151B"/>
    <w:rsid w:val="00DF70AF"/>
    <w:rsid w:val="00E00975"/>
    <w:rsid w:val="00E01179"/>
    <w:rsid w:val="00E06C3A"/>
    <w:rsid w:val="00E074B1"/>
    <w:rsid w:val="00E12344"/>
    <w:rsid w:val="00E14E73"/>
    <w:rsid w:val="00E157B3"/>
    <w:rsid w:val="00E15C40"/>
    <w:rsid w:val="00E162C7"/>
    <w:rsid w:val="00E208CB"/>
    <w:rsid w:val="00E20A35"/>
    <w:rsid w:val="00E2219F"/>
    <w:rsid w:val="00E22AE4"/>
    <w:rsid w:val="00E233C4"/>
    <w:rsid w:val="00E23B20"/>
    <w:rsid w:val="00E24159"/>
    <w:rsid w:val="00E26C00"/>
    <w:rsid w:val="00E334D2"/>
    <w:rsid w:val="00E3586E"/>
    <w:rsid w:val="00E42749"/>
    <w:rsid w:val="00E446A8"/>
    <w:rsid w:val="00E447B3"/>
    <w:rsid w:val="00E452A9"/>
    <w:rsid w:val="00E511B8"/>
    <w:rsid w:val="00E53886"/>
    <w:rsid w:val="00E557D1"/>
    <w:rsid w:val="00E570A7"/>
    <w:rsid w:val="00E60714"/>
    <w:rsid w:val="00E628D1"/>
    <w:rsid w:val="00E6527F"/>
    <w:rsid w:val="00E67F4A"/>
    <w:rsid w:val="00E70661"/>
    <w:rsid w:val="00E7067F"/>
    <w:rsid w:val="00E720A1"/>
    <w:rsid w:val="00E7338E"/>
    <w:rsid w:val="00E737DC"/>
    <w:rsid w:val="00E74122"/>
    <w:rsid w:val="00E74CB3"/>
    <w:rsid w:val="00E7706A"/>
    <w:rsid w:val="00E85DBA"/>
    <w:rsid w:val="00E8700F"/>
    <w:rsid w:val="00E948F7"/>
    <w:rsid w:val="00EA31DA"/>
    <w:rsid w:val="00EA6EDA"/>
    <w:rsid w:val="00EA7861"/>
    <w:rsid w:val="00EB170F"/>
    <w:rsid w:val="00EB1AA1"/>
    <w:rsid w:val="00EB409E"/>
    <w:rsid w:val="00EB5383"/>
    <w:rsid w:val="00EB7F53"/>
    <w:rsid w:val="00EC0A8F"/>
    <w:rsid w:val="00EC0E47"/>
    <w:rsid w:val="00EC2F87"/>
    <w:rsid w:val="00EC3EE4"/>
    <w:rsid w:val="00EC6BD9"/>
    <w:rsid w:val="00ED0412"/>
    <w:rsid w:val="00ED3B56"/>
    <w:rsid w:val="00ED3FB1"/>
    <w:rsid w:val="00ED5C67"/>
    <w:rsid w:val="00ED79A0"/>
    <w:rsid w:val="00ED7A82"/>
    <w:rsid w:val="00EE039C"/>
    <w:rsid w:val="00EE0E7D"/>
    <w:rsid w:val="00EE1C8E"/>
    <w:rsid w:val="00EE1C92"/>
    <w:rsid w:val="00EE23E3"/>
    <w:rsid w:val="00EE2D69"/>
    <w:rsid w:val="00EE5A13"/>
    <w:rsid w:val="00EF0C61"/>
    <w:rsid w:val="00EF34FE"/>
    <w:rsid w:val="00EF3A1E"/>
    <w:rsid w:val="00EF441C"/>
    <w:rsid w:val="00F00A25"/>
    <w:rsid w:val="00F00E02"/>
    <w:rsid w:val="00F03B93"/>
    <w:rsid w:val="00F03C19"/>
    <w:rsid w:val="00F044E8"/>
    <w:rsid w:val="00F04B8E"/>
    <w:rsid w:val="00F067FB"/>
    <w:rsid w:val="00F13248"/>
    <w:rsid w:val="00F13E37"/>
    <w:rsid w:val="00F14362"/>
    <w:rsid w:val="00F1793A"/>
    <w:rsid w:val="00F24AD3"/>
    <w:rsid w:val="00F2642C"/>
    <w:rsid w:val="00F273AB"/>
    <w:rsid w:val="00F374EA"/>
    <w:rsid w:val="00F43DCC"/>
    <w:rsid w:val="00F44331"/>
    <w:rsid w:val="00F44CA9"/>
    <w:rsid w:val="00F5131C"/>
    <w:rsid w:val="00F61E37"/>
    <w:rsid w:val="00F62D83"/>
    <w:rsid w:val="00F6534D"/>
    <w:rsid w:val="00F66199"/>
    <w:rsid w:val="00F70B01"/>
    <w:rsid w:val="00F72163"/>
    <w:rsid w:val="00F72B71"/>
    <w:rsid w:val="00F7461C"/>
    <w:rsid w:val="00F758CB"/>
    <w:rsid w:val="00F75A51"/>
    <w:rsid w:val="00F76110"/>
    <w:rsid w:val="00F764F5"/>
    <w:rsid w:val="00F76D18"/>
    <w:rsid w:val="00F873B8"/>
    <w:rsid w:val="00F91FAA"/>
    <w:rsid w:val="00F92882"/>
    <w:rsid w:val="00F929E8"/>
    <w:rsid w:val="00F94B03"/>
    <w:rsid w:val="00F96607"/>
    <w:rsid w:val="00F976EB"/>
    <w:rsid w:val="00FA606A"/>
    <w:rsid w:val="00FB0694"/>
    <w:rsid w:val="00FB0E06"/>
    <w:rsid w:val="00FB4319"/>
    <w:rsid w:val="00FB7104"/>
    <w:rsid w:val="00FC2F2C"/>
    <w:rsid w:val="00FC5C9E"/>
    <w:rsid w:val="00FC6054"/>
    <w:rsid w:val="00FD056E"/>
    <w:rsid w:val="00FD22E8"/>
    <w:rsid w:val="00FD2520"/>
    <w:rsid w:val="00FD3CE6"/>
    <w:rsid w:val="00FD4265"/>
    <w:rsid w:val="00FD70F6"/>
    <w:rsid w:val="00FD7678"/>
    <w:rsid w:val="00FD7C8E"/>
    <w:rsid w:val="00FE0217"/>
    <w:rsid w:val="00FE20DB"/>
    <w:rsid w:val="00FE4A02"/>
    <w:rsid w:val="00FE5DEB"/>
    <w:rsid w:val="00FF12DA"/>
    <w:rsid w:val="00FF1633"/>
    <w:rsid w:val="00FF41C2"/>
    <w:rsid w:val="00FF44A2"/>
    <w:rsid w:val="00FF457C"/>
    <w:rsid w:val="00FF5515"/>
    <w:rsid w:val="00FF68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C64"/>
    <w:pPr>
      <w:spacing w:line="276" w:lineRule="auto"/>
      <w:ind w:left="720" w:hanging="720"/>
      <w:jc w:val="both"/>
    </w:pPr>
  </w:style>
  <w:style w:type="paragraph" w:styleId="Heading1">
    <w:name w:val="heading 1"/>
    <w:basedOn w:val="Normal"/>
    <w:next w:val="Normal"/>
    <w:link w:val="Heading1Char"/>
    <w:uiPriority w:val="99"/>
    <w:qFormat/>
    <w:rsid w:val="00944C64"/>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944C64"/>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944C64"/>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944C64"/>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dana11burgundybold18linecopy1">
    <w:name w:val="verdana11burgundybold18linecopy1"/>
    <w:rsid w:val="00944C64"/>
    <w:rPr>
      <w:rFonts w:ascii="Verdana" w:hAnsi="Verdana"/>
      <w:b/>
      <w:color w:val="750400"/>
      <w:sz w:val="17"/>
    </w:rPr>
  </w:style>
  <w:style w:type="character" w:customStyle="1" w:styleId="s1">
    <w:name w:val="s1"/>
    <w:rsid w:val="00944C64"/>
    <w:rPr>
      <w:rFonts w:ascii="Arial" w:hAnsi="Arial"/>
      <w:color w:val="000000"/>
      <w:sz w:val="26"/>
      <w:shd w:val="clear" w:color="auto" w:fill="FFFFFF"/>
    </w:rPr>
  </w:style>
  <w:style w:type="paragraph" w:customStyle="1" w:styleId="Default">
    <w:name w:val="Default"/>
    <w:rsid w:val="00944C64"/>
    <w:pPr>
      <w:autoSpaceDE w:val="0"/>
      <w:autoSpaceDN w:val="0"/>
      <w:adjustRightInd w:val="0"/>
      <w:spacing w:line="276" w:lineRule="auto"/>
      <w:ind w:left="720" w:hanging="720"/>
      <w:jc w:val="both"/>
    </w:pPr>
    <w:rPr>
      <w:rFonts w:ascii="Times New Roman" w:eastAsia="Times New Roman" w:hAnsi="Times New Roman" w:cs="Times New Roman"/>
      <w:color w:val="000000"/>
      <w:sz w:val="24"/>
      <w:szCs w:val="24"/>
    </w:rPr>
  </w:style>
  <w:style w:type="character" w:customStyle="1" w:styleId="steohead1">
    <w:name w:val="steohead1"/>
    <w:rsid w:val="00944C64"/>
  </w:style>
  <w:style w:type="character" w:customStyle="1" w:styleId="collapsible">
    <w:name w:val="collapsible"/>
    <w:rsid w:val="00944C64"/>
  </w:style>
  <w:style w:type="character" w:customStyle="1" w:styleId="Heading1Char">
    <w:name w:val="Heading 1 Char"/>
    <w:link w:val="Heading1"/>
    <w:uiPriority w:val="99"/>
    <w:rsid w:val="00944C64"/>
    <w:rPr>
      <w:rFonts w:ascii="Cambria" w:eastAsia="Times New Roman" w:hAnsi="Cambria" w:cs="Times New Roman"/>
      <w:b/>
      <w:bCs/>
      <w:color w:val="365F91"/>
      <w:sz w:val="28"/>
      <w:szCs w:val="28"/>
    </w:rPr>
  </w:style>
  <w:style w:type="character" w:customStyle="1" w:styleId="Heading2Char">
    <w:name w:val="Heading 2 Char"/>
    <w:link w:val="Heading2"/>
    <w:uiPriority w:val="9"/>
    <w:rsid w:val="00944C64"/>
    <w:rPr>
      <w:rFonts w:ascii="Cambria" w:eastAsia="Times New Roman" w:hAnsi="Cambria" w:cs="Times New Roman"/>
      <w:b/>
      <w:bCs/>
      <w:color w:val="4F81BD"/>
      <w:sz w:val="26"/>
      <w:szCs w:val="26"/>
    </w:rPr>
  </w:style>
  <w:style w:type="character" w:customStyle="1" w:styleId="Heading3Char">
    <w:name w:val="Heading 3 Char"/>
    <w:link w:val="Heading3"/>
    <w:uiPriority w:val="9"/>
    <w:rsid w:val="00944C64"/>
    <w:rPr>
      <w:rFonts w:ascii="Cambria" w:eastAsia="Times New Roman" w:hAnsi="Cambria" w:cs="Times New Roman"/>
      <w:b/>
      <w:bCs/>
      <w:sz w:val="26"/>
      <w:szCs w:val="26"/>
    </w:rPr>
  </w:style>
  <w:style w:type="character" w:customStyle="1" w:styleId="Heading4Char">
    <w:name w:val="Heading 4 Char"/>
    <w:link w:val="Heading4"/>
    <w:uiPriority w:val="9"/>
    <w:rsid w:val="00944C64"/>
    <w:rPr>
      <w:rFonts w:ascii="Calibri" w:eastAsia="Times New Roman" w:hAnsi="Calibri" w:cs="Times New Roman"/>
      <w:b/>
      <w:bCs/>
      <w:sz w:val="28"/>
      <w:szCs w:val="28"/>
    </w:rPr>
  </w:style>
  <w:style w:type="paragraph" w:styleId="TOC1">
    <w:name w:val="toc 1"/>
    <w:basedOn w:val="Normal"/>
    <w:next w:val="Normal"/>
    <w:autoRedefine/>
    <w:uiPriority w:val="39"/>
    <w:unhideWhenUsed/>
    <w:qFormat/>
    <w:rsid w:val="00721230"/>
    <w:pPr>
      <w:tabs>
        <w:tab w:val="right" w:leader="dot" w:pos="9350"/>
      </w:tabs>
      <w:spacing w:line="240" w:lineRule="auto"/>
      <w:ind w:left="0"/>
      <w:jc w:val="left"/>
    </w:pPr>
    <w:rPr>
      <w:rFonts w:ascii="Cambria" w:hAnsi="Cambria"/>
      <w:b/>
      <w:bCs/>
      <w:caps/>
      <w:sz w:val="24"/>
      <w:szCs w:val="24"/>
    </w:rPr>
  </w:style>
  <w:style w:type="paragraph" w:styleId="TOC2">
    <w:name w:val="toc 2"/>
    <w:basedOn w:val="Normal"/>
    <w:next w:val="Normal"/>
    <w:autoRedefine/>
    <w:uiPriority w:val="39"/>
    <w:unhideWhenUsed/>
    <w:qFormat/>
    <w:rsid w:val="00944C64"/>
    <w:pPr>
      <w:spacing w:before="240"/>
      <w:ind w:left="0"/>
      <w:jc w:val="left"/>
    </w:pPr>
    <w:rPr>
      <w:b/>
      <w:bCs/>
    </w:rPr>
  </w:style>
  <w:style w:type="paragraph" w:styleId="FootnoteText">
    <w:name w:val="footnote text"/>
    <w:basedOn w:val="Normal"/>
    <w:link w:val="FootnoteTextChar"/>
    <w:uiPriority w:val="99"/>
    <w:semiHidden/>
    <w:unhideWhenUsed/>
    <w:rsid w:val="00944C64"/>
    <w:pPr>
      <w:spacing w:line="240" w:lineRule="auto"/>
    </w:pPr>
    <w:rPr>
      <w:rFonts w:eastAsia="Times New Roman" w:cs="Times New Roman"/>
    </w:rPr>
  </w:style>
  <w:style w:type="character" w:customStyle="1" w:styleId="FootnoteTextChar">
    <w:name w:val="Footnote Text Char"/>
    <w:link w:val="FootnoteText"/>
    <w:uiPriority w:val="99"/>
    <w:semiHidden/>
    <w:rsid w:val="00944C64"/>
    <w:rPr>
      <w:rFonts w:ascii="Calibri" w:eastAsia="Times New Roman" w:hAnsi="Calibri" w:cs="Times New Roman"/>
      <w:sz w:val="20"/>
      <w:szCs w:val="20"/>
    </w:rPr>
  </w:style>
  <w:style w:type="paragraph" w:styleId="CommentText">
    <w:name w:val="annotation text"/>
    <w:basedOn w:val="Normal"/>
    <w:link w:val="CommentTextChar"/>
    <w:uiPriority w:val="99"/>
    <w:semiHidden/>
    <w:rsid w:val="00944C64"/>
    <w:rPr>
      <w:rFonts w:eastAsia="Times New Roman" w:cs="Times New Roman"/>
    </w:rPr>
  </w:style>
  <w:style w:type="character" w:customStyle="1" w:styleId="CommentTextChar">
    <w:name w:val="Comment Text Char"/>
    <w:link w:val="CommentText"/>
    <w:uiPriority w:val="99"/>
    <w:semiHidden/>
    <w:rsid w:val="00944C64"/>
    <w:rPr>
      <w:rFonts w:ascii="Calibri" w:eastAsia="Times New Roman" w:hAnsi="Calibri" w:cs="Times New Roman"/>
      <w:sz w:val="20"/>
      <w:szCs w:val="20"/>
    </w:rPr>
  </w:style>
  <w:style w:type="paragraph" w:styleId="Header">
    <w:name w:val="header"/>
    <w:basedOn w:val="Normal"/>
    <w:link w:val="HeaderChar"/>
    <w:uiPriority w:val="99"/>
    <w:unhideWhenUsed/>
    <w:rsid w:val="00944C64"/>
    <w:pPr>
      <w:tabs>
        <w:tab w:val="center" w:pos="4680"/>
        <w:tab w:val="right" w:pos="9360"/>
      </w:tabs>
      <w:spacing w:line="240" w:lineRule="auto"/>
    </w:pPr>
    <w:rPr>
      <w:rFonts w:eastAsia="Times New Roman" w:cs="Times New Roman"/>
    </w:rPr>
  </w:style>
  <w:style w:type="character" w:customStyle="1" w:styleId="HeaderChar">
    <w:name w:val="Header Char"/>
    <w:link w:val="Header"/>
    <w:uiPriority w:val="99"/>
    <w:rsid w:val="00944C64"/>
    <w:rPr>
      <w:rFonts w:ascii="Calibri" w:eastAsia="Times New Roman" w:hAnsi="Calibri" w:cs="Times New Roman"/>
    </w:rPr>
  </w:style>
  <w:style w:type="paragraph" w:styleId="Footer">
    <w:name w:val="footer"/>
    <w:basedOn w:val="Normal"/>
    <w:link w:val="FooterChar"/>
    <w:uiPriority w:val="99"/>
    <w:unhideWhenUsed/>
    <w:rsid w:val="00944C64"/>
    <w:pPr>
      <w:tabs>
        <w:tab w:val="center" w:pos="4680"/>
        <w:tab w:val="right" w:pos="9360"/>
      </w:tabs>
      <w:spacing w:line="240" w:lineRule="auto"/>
    </w:pPr>
    <w:rPr>
      <w:rFonts w:eastAsia="Times New Roman" w:cs="Times New Roman"/>
    </w:rPr>
  </w:style>
  <w:style w:type="character" w:customStyle="1" w:styleId="FooterChar">
    <w:name w:val="Footer Char"/>
    <w:link w:val="Footer"/>
    <w:uiPriority w:val="99"/>
    <w:rsid w:val="00944C64"/>
    <w:rPr>
      <w:rFonts w:ascii="Calibri" w:eastAsia="Times New Roman" w:hAnsi="Calibri" w:cs="Times New Roman"/>
    </w:rPr>
  </w:style>
  <w:style w:type="paragraph" w:styleId="Caption">
    <w:name w:val="caption"/>
    <w:basedOn w:val="Normal"/>
    <w:next w:val="Normal"/>
    <w:unhideWhenUsed/>
    <w:qFormat/>
    <w:rsid w:val="00944C64"/>
    <w:rPr>
      <w:rFonts w:eastAsia="Times New Roman" w:cs="Times New Roman"/>
      <w:b/>
      <w:bCs/>
    </w:rPr>
  </w:style>
  <w:style w:type="paragraph" w:styleId="TableofFigures">
    <w:name w:val="table of figures"/>
    <w:basedOn w:val="Normal"/>
    <w:next w:val="Normal"/>
    <w:uiPriority w:val="99"/>
    <w:unhideWhenUsed/>
    <w:rsid w:val="00944C64"/>
    <w:rPr>
      <w:rFonts w:eastAsia="Times New Roman" w:cs="Times New Roman"/>
    </w:rPr>
  </w:style>
  <w:style w:type="character" w:styleId="FootnoteReference">
    <w:name w:val="footnote reference"/>
    <w:uiPriority w:val="99"/>
    <w:semiHidden/>
    <w:unhideWhenUsed/>
    <w:rsid w:val="00944C64"/>
    <w:rPr>
      <w:vertAlign w:val="superscript"/>
    </w:rPr>
  </w:style>
  <w:style w:type="character" w:styleId="CommentReference">
    <w:name w:val="annotation reference"/>
    <w:uiPriority w:val="99"/>
    <w:semiHidden/>
    <w:rsid w:val="00944C64"/>
    <w:rPr>
      <w:sz w:val="16"/>
    </w:rPr>
  </w:style>
  <w:style w:type="character" w:styleId="Hyperlink">
    <w:name w:val="Hyperlink"/>
    <w:uiPriority w:val="99"/>
    <w:rsid w:val="00944C64"/>
    <w:rPr>
      <w:color w:val="0000FF"/>
      <w:u w:val="single"/>
    </w:rPr>
  </w:style>
  <w:style w:type="character" w:styleId="FollowedHyperlink">
    <w:name w:val="FollowedHyperlink"/>
    <w:uiPriority w:val="99"/>
    <w:semiHidden/>
    <w:unhideWhenUsed/>
    <w:rsid w:val="00944C64"/>
    <w:rPr>
      <w:color w:val="800080"/>
      <w:u w:val="single"/>
    </w:rPr>
  </w:style>
  <w:style w:type="character" w:styleId="Strong">
    <w:name w:val="Strong"/>
    <w:uiPriority w:val="22"/>
    <w:qFormat/>
    <w:rsid w:val="00944C64"/>
    <w:rPr>
      <w:b/>
    </w:rPr>
  </w:style>
  <w:style w:type="character" w:styleId="Emphasis">
    <w:name w:val="Emphasis"/>
    <w:uiPriority w:val="20"/>
    <w:qFormat/>
    <w:rsid w:val="00944C64"/>
    <w:rPr>
      <w:b/>
    </w:rPr>
  </w:style>
  <w:style w:type="paragraph" w:styleId="PlainText">
    <w:name w:val="Plain Text"/>
    <w:basedOn w:val="Normal"/>
    <w:link w:val="PlainTextChar"/>
    <w:uiPriority w:val="99"/>
    <w:rsid w:val="00944C64"/>
    <w:pPr>
      <w:spacing w:line="240" w:lineRule="auto"/>
    </w:pPr>
    <w:rPr>
      <w:rFonts w:ascii="Consolas" w:eastAsia="Times New Roman" w:hAnsi="Consolas" w:cs="Times New Roman"/>
      <w:sz w:val="21"/>
      <w:szCs w:val="21"/>
    </w:rPr>
  </w:style>
  <w:style w:type="character" w:customStyle="1" w:styleId="PlainTextChar">
    <w:name w:val="Plain Text Char"/>
    <w:link w:val="PlainText"/>
    <w:uiPriority w:val="99"/>
    <w:rsid w:val="00944C64"/>
    <w:rPr>
      <w:rFonts w:ascii="Consolas" w:eastAsia="Times New Roman" w:hAnsi="Consolas" w:cs="Times New Roman"/>
      <w:sz w:val="21"/>
      <w:szCs w:val="21"/>
    </w:rPr>
  </w:style>
  <w:style w:type="paragraph" w:styleId="NormalWeb">
    <w:name w:val="Normal (Web)"/>
    <w:basedOn w:val="Normal"/>
    <w:uiPriority w:val="99"/>
    <w:rsid w:val="00944C64"/>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4C64"/>
    <w:pPr>
      <w:spacing w:line="240" w:lineRule="auto"/>
    </w:pPr>
    <w:rPr>
      <w:b/>
      <w:bCs/>
    </w:rPr>
  </w:style>
  <w:style w:type="character" w:customStyle="1" w:styleId="CommentSubjectChar">
    <w:name w:val="Comment Subject Char"/>
    <w:link w:val="CommentSubject"/>
    <w:uiPriority w:val="99"/>
    <w:semiHidden/>
    <w:rsid w:val="00944C64"/>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944C64"/>
    <w:pPr>
      <w:spacing w:line="240" w:lineRule="auto"/>
    </w:pPr>
    <w:rPr>
      <w:rFonts w:ascii="Tahoma" w:eastAsia="Times New Roman" w:hAnsi="Tahoma" w:cs="Times New Roman"/>
      <w:sz w:val="16"/>
      <w:szCs w:val="16"/>
    </w:rPr>
  </w:style>
  <w:style w:type="character" w:customStyle="1" w:styleId="BalloonTextChar">
    <w:name w:val="Balloon Text Char"/>
    <w:link w:val="BalloonText"/>
    <w:uiPriority w:val="99"/>
    <w:semiHidden/>
    <w:rsid w:val="00944C64"/>
    <w:rPr>
      <w:rFonts w:ascii="Tahoma" w:eastAsia="Times New Roman" w:hAnsi="Tahoma" w:cs="Times New Roman"/>
      <w:sz w:val="16"/>
      <w:szCs w:val="16"/>
    </w:rPr>
  </w:style>
  <w:style w:type="table" w:styleId="TableGrid">
    <w:name w:val="Table Grid"/>
    <w:basedOn w:val="TableNormal"/>
    <w:rsid w:val="00944C64"/>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44C64"/>
    <w:pPr>
      <w:contextualSpacing/>
    </w:pPr>
    <w:rPr>
      <w:rFonts w:eastAsia="Times New Roman" w:cs="Times New Roman"/>
    </w:rPr>
  </w:style>
  <w:style w:type="character" w:styleId="IntenseEmphasis">
    <w:name w:val="Intense Emphasis"/>
    <w:uiPriority w:val="21"/>
    <w:qFormat/>
    <w:rsid w:val="00944C64"/>
    <w:rPr>
      <w:b/>
      <w:i/>
      <w:color w:val="4F81BD"/>
    </w:rPr>
  </w:style>
  <w:style w:type="paragraph" w:styleId="TOCHeading">
    <w:name w:val="TOC Heading"/>
    <w:basedOn w:val="Heading1"/>
    <w:next w:val="Normal"/>
    <w:uiPriority w:val="39"/>
    <w:unhideWhenUsed/>
    <w:qFormat/>
    <w:rsid w:val="00944C64"/>
    <w:pPr>
      <w:outlineLvl w:val="9"/>
    </w:pPr>
    <w:rPr>
      <w:color w:val="376092"/>
    </w:rPr>
  </w:style>
  <w:style w:type="table" w:styleId="MediumShading1-Accent3">
    <w:name w:val="Medium Shading 1 Accent 3"/>
    <w:basedOn w:val="LightList1"/>
    <w:uiPriority w:val="63"/>
    <w:rsid w:val="004927D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E6EED5"/>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cBorders>
        <w:shd w:val="clear" w:color="auto" w:fill="E6EED5"/>
      </w:tcPr>
    </w:tblStylePr>
    <w:tblStylePr w:type="band2Horz">
      <w:tblPr/>
      <w:tcPr>
        <w:tcBorders>
          <w:insideH w:val="nil"/>
          <w:insideV w:val="nil"/>
        </w:tcBorders>
      </w:tcPr>
    </w:tblStylePr>
  </w:style>
  <w:style w:type="table" w:customStyle="1" w:styleId="LightList1">
    <w:name w:val="Light List1"/>
    <w:basedOn w:val="TableNormal"/>
    <w:uiPriority w:val="61"/>
    <w:rsid w:val="004927D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uiPriority w:val="11"/>
    <w:qFormat/>
    <w:rsid w:val="00A25CC9"/>
    <w:pPr>
      <w:numPr>
        <w:ilvl w:val="1"/>
      </w:numPr>
      <w:ind w:left="720" w:hanging="720"/>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A25CC9"/>
    <w:rPr>
      <w:rFonts w:ascii="Cambria" w:eastAsia="Times New Roman" w:hAnsi="Cambria" w:cs="Times New Roman"/>
      <w:i/>
      <w:iCs/>
      <w:color w:val="4F81BD"/>
      <w:spacing w:val="15"/>
      <w:sz w:val="24"/>
      <w:szCs w:val="24"/>
    </w:rPr>
  </w:style>
  <w:style w:type="paragraph" w:styleId="NoSpacing">
    <w:name w:val="No Spacing"/>
    <w:basedOn w:val="Normal"/>
    <w:link w:val="NoSpacingChar"/>
    <w:uiPriority w:val="1"/>
    <w:qFormat/>
    <w:rsid w:val="002355E5"/>
    <w:pPr>
      <w:spacing w:line="240" w:lineRule="auto"/>
      <w:ind w:left="0" w:firstLine="0"/>
      <w:jc w:val="left"/>
    </w:pPr>
    <w:rPr>
      <w:rFonts w:eastAsia="Times New Roman" w:cs="Times New Roman"/>
      <w:sz w:val="24"/>
      <w:szCs w:val="32"/>
    </w:rPr>
  </w:style>
  <w:style w:type="paragraph" w:customStyle="1" w:styleId="Num-Heading1">
    <w:name w:val="Num-Heading 1"/>
    <w:basedOn w:val="Normal"/>
    <w:next w:val="Normal"/>
    <w:autoRedefine/>
    <w:rsid w:val="00493A9A"/>
    <w:pPr>
      <w:keepNext/>
      <w:pageBreakBefore/>
      <w:numPr>
        <w:numId w:val="2"/>
      </w:numPr>
      <w:spacing w:before="240" w:after="120" w:line="240" w:lineRule="auto"/>
      <w:jc w:val="left"/>
      <w:outlineLvl w:val="0"/>
    </w:pPr>
    <w:rPr>
      <w:rFonts w:ascii="Times New Roman" w:eastAsia="Times New Roman" w:hAnsi="Times New Roman" w:cs="Arial"/>
      <w:b/>
      <w:sz w:val="32"/>
      <w:szCs w:val="22"/>
    </w:rPr>
  </w:style>
  <w:style w:type="paragraph" w:customStyle="1" w:styleId="Num-Heading3">
    <w:name w:val="Num-Heading 3"/>
    <w:basedOn w:val="Normal"/>
    <w:next w:val="Normal"/>
    <w:autoRedefine/>
    <w:rsid w:val="00493A9A"/>
    <w:pPr>
      <w:keepNext/>
      <w:numPr>
        <w:ilvl w:val="2"/>
        <w:numId w:val="2"/>
      </w:numPr>
      <w:spacing w:before="240" w:after="120" w:line="240" w:lineRule="auto"/>
      <w:jc w:val="left"/>
      <w:outlineLvl w:val="2"/>
    </w:pPr>
    <w:rPr>
      <w:rFonts w:ascii="Times New Roman" w:eastAsia="Times New Roman" w:hAnsi="Times New Roman" w:cs="Times New Roman"/>
      <w:b/>
      <w:sz w:val="24"/>
      <w:szCs w:val="22"/>
    </w:rPr>
  </w:style>
  <w:style w:type="paragraph" w:customStyle="1" w:styleId="Num-Heading4">
    <w:name w:val="Num-Heading 4"/>
    <w:basedOn w:val="Normal"/>
    <w:next w:val="Normal"/>
    <w:rsid w:val="00493A9A"/>
    <w:pPr>
      <w:keepNext/>
      <w:numPr>
        <w:ilvl w:val="3"/>
        <w:numId w:val="2"/>
      </w:numPr>
      <w:spacing w:before="240" w:after="120" w:line="240" w:lineRule="auto"/>
      <w:jc w:val="left"/>
      <w:outlineLvl w:val="3"/>
    </w:pPr>
    <w:rPr>
      <w:rFonts w:ascii="Arial" w:eastAsia="Times New Roman" w:hAnsi="Arial" w:cs="Arial"/>
      <w:b/>
      <w:i/>
      <w:sz w:val="24"/>
      <w:szCs w:val="22"/>
    </w:rPr>
  </w:style>
  <w:style w:type="paragraph" w:customStyle="1" w:styleId="Num-Heading5">
    <w:name w:val="Num-Heading 5"/>
    <w:basedOn w:val="Normal"/>
    <w:next w:val="Normal"/>
    <w:rsid w:val="00493A9A"/>
    <w:pPr>
      <w:keepNext/>
      <w:numPr>
        <w:ilvl w:val="4"/>
        <w:numId w:val="2"/>
      </w:numPr>
      <w:spacing w:before="240" w:after="120" w:line="240" w:lineRule="auto"/>
      <w:jc w:val="left"/>
      <w:outlineLvl w:val="4"/>
    </w:pPr>
    <w:rPr>
      <w:rFonts w:ascii="Arial" w:eastAsia="Times New Roman" w:hAnsi="Arial" w:cs="Arial"/>
      <w:b/>
      <w:i/>
      <w:sz w:val="24"/>
      <w:szCs w:val="22"/>
      <w:u w:val="single"/>
    </w:rPr>
  </w:style>
  <w:style w:type="paragraph" w:customStyle="1" w:styleId="Num-Heading6">
    <w:name w:val="Num-Heading 6"/>
    <w:basedOn w:val="Normal"/>
    <w:next w:val="Normal"/>
    <w:rsid w:val="00493A9A"/>
    <w:pPr>
      <w:keepNext/>
      <w:numPr>
        <w:ilvl w:val="5"/>
        <w:numId w:val="2"/>
      </w:numPr>
      <w:spacing w:before="240" w:after="120" w:line="240" w:lineRule="auto"/>
      <w:jc w:val="left"/>
      <w:outlineLvl w:val="5"/>
    </w:pPr>
    <w:rPr>
      <w:rFonts w:ascii="Arial" w:eastAsia="Times New Roman" w:hAnsi="Arial" w:cs="Arial"/>
      <w:sz w:val="24"/>
      <w:szCs w:val="22"/>
    </w:rPr>
  </w:style>
  <w:style w:type="paragraph" w:customStyle="1" w:styleId="Num-Heading7">
    <w:name w:val="Num-Heading 7"/>
    <w:basedOn w:val="Normal"/>
    <w:next w:val="Normal"/>
    <w:rsid w:val="00493A9A"/>
    <w:pPr>
      <w:keepNext/>
      <w:numPr>
        <w:ilvl w:val="6"/>
        <w:numId w:val="2"/>
      </w:numPr>
      <w:spacing w:before="240" w:after="120" w:line="240" w:lineRule="auto"/>
      <w:jc w:val="left"/>
      <w:outlineLvl w:val="6"/>
    </w:pPr>
    <w:rPr>
      <w:rFonts w:ascii="Arial" w:eastAsia="Times New Roman" w:hAnsi="Arial" w:cs="Arial"/>
      <w:i/>
      <w:sz w:val="24"/>
      <w:szCs w:val="22"/>
    </w:rPr>
  </w:style>
  <w:style w:type="paragraph" w:customStyle="1" w:styleId="Num-Heading8">
    <w:name w:val="Num-Heading 8"/>
    <w:basedOn w:val="Normal"/>
    <w:next w:val="Normal"/>
    <w:rsid w:val="00493A9A"/>
    <w:pPr>
      <w:keepNext/>
      <w:numPr>
        <w:ilvl w:val="7"/>
        <w:numId w:val="2"/>
      </w:numPr>
      <w:spacing w:before="240" w:after="120" w:line="240" w:lineRule="auto"/>
      <w:jc w:val="left"/>
      <w:outlineLvl w:val="7"/>
    </w:pPr>
    <w:rPr>
      <w:rFonts w:ascii="Arial" w:eastAsia="Times New Roman" w:hAnsi="Arial" w:cs="Arial"/>
      <w:i/>
      <w:sz w:val="24"/>
      <w:szCs w:val="22"/>
      <w:u w:val="single"/>
    </w:rPr>
  </w:style>
  <w:style w:type="paragraph" w:customStyle="1" w:styleId="Num-Heading9">
    <w:name w:val="Num-Heading 9"/>
    <w:basedOn w:val="Normal"/>
    <w:next w:val="Normal"/>
    <w:rsid w:val="00493A9A"/>
    <w:pPr>
      <w:keepNext/>
      <w:numPr>
        <w:ilvl w:val="8"/>
        <w:numId w:val="2"/>
      </w:numPr>
      <w:spacing w:before="240" w:after="120" w:line="240" w:lineRule="auto"/>
      <w:jc w:val="left"/>
      <w:outlineLvl w:val="8"/>
    </w:pPr>
    <w:rPr>
      <w:rFonts w:ascii="Arial" w:eastAsia="Times New Roman" w:hAnsi="Arial" w:cs="Arial"/>
      <w:b/>
      <w:sz w:val="22"/>
      <w:szCs w:val="22"/>
    </w:rPr>
  </w:style>
  <w:style w:type="numbering" w:customStyle="1" w:styleId="Num-Headings">
    <w:name w:val="Num-Headings"/>
    <w:basedOn w:val="NoList"/>
    <w:semiHidden/>
    <w:rsid w:val="00493A9A"/>
    <w:pPr>
      <w:numPr>
        <w:numId w:val="3"/>
      </w:numPr>
    </w:pPr>
  </w:style>
  <w:style w:type="paragraph" w:styleId="HTMLPreformatted">
    <w:name w:val="HTML Preformatted"/>
    <w:basedOn w:val="Normal"/>
    <w:link w:val="HTMLPreformattedChar"/>
    <w:uiPriority w:val="99"/>
    <w:unhideWhenUsed/>
    <w:rsid w:val="0049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eastAsia="Times New Roman" w:hAnsi="Courier New" w:cs="Times New Roman"/>
    </w:rPr>
  </w:style>
  <w:style w:type="character" w:customStyle="1" w:styleId="HTMLPreformattedChar">
    <w:name w:val="HTML Preformatted Char"/>
    <w:link w:val="HTMLPreformatted"/>
    <w:uiPriority w:val="99"/>
    <w:rsid w:val="00493A9A"/>
    <w:rPr>
      <w:rFonts w:ascii="Courier New" w:eastAsia="Times New Roman" w:hAnsi="Courier New" w:cs="Courier New"/>
    </w:rPr>
  </w:style>
  <w:style w:type="paragraph" w:styleId="TOC3">
    <w:name w:val="toc 3"/>
    <w:basedOn w:val="Normal"/>
    <w:next w:val="Normal"/>
    <w:autoRedefine/>
    <w:uiPriority w:val="39"/>
    <w:unhideWhenUsed/>
    <w:qFormat/>
    <w:rsid w:val="00DA1E0B"/>
    <w:pPr>
      <w:ind w:left="200"/>
      <w:jc w:val="left"/>
    </w:pPr>
  </w:style>
  <w:style w:type="paragraph" w:styleId="TOC4">
    <w:name w:val="toc 4"/>
    <w:basedOn w:val="Normal"/>
    <w:next w:val="Normal"/>
    <w:autoRedefine/>
    <w:uiPriority w:val="39"/>
    <w:unhideWhenUsed/>
    <w:rsid w:val="00687D24"/>
    <w:pPr>
      <w:ind w:left="400"/>
      <w:jc w:val="left"/>
    </w:pPr>
  </w:style>
  <w:style w:type="paragraph" w:styleId="TOC5">
    <w:name w:val="toc 5"/>
    <w:basedOn w:val="Normal"/>
    <w:next w:val="Normal"/>
    <w:autoRedefine/>
    <w:uiPriority w:val="39"/>
    <w:unhideWhenUsed/>
    <w:rsid w:val="00687D24"/>
    <w:pPr>
      <w:ind w:left="600"/>
      <w:jc w:val="left"/>
    </w:pPr>
  </w:style>
  <w:style w:type="paragraph" w:styleId="TOC6">
    <w:name w:val="toc 6"/>
    <w:basedOn w:val="Normal"/>
    <w:next w:val="Normal"/>
    <w:autoRedefine/>
    <w:uiPriority w:val="39"/>
    <w:unhideWhenUsed/>
    <w:rsid w:val="00687D24"/>
    <w:pPr>
      <w:ind w:left="800"/>
      <w:jc w:val="left"/>
    </w:pPr>
  </w:style>
  <w:style w:type="paragraph" w:styleId="TOC7">
    <w:name w:val="toc 7"/>
    <w:basedOn w:val="Normal"/>
    <w:next w:val="Normal"/>
    <w:autoRedefine/>
    <w:uiPriority w:val="39"/>
    <w:unhideWhenUsed/>
    <w:rsid w:val="00687D24"/>
    <w:pPr>
      <w:ind w:left="1000"/>
      <w:jc w:val="left"/>
    </w:pPr>
  </w:style>
  <w:style w:type="paragraph" w:styleId="TOC8">
    <w:name w:val="toc 8"/>
    <w:basedOn w:val="Normal"/>
    <w:next w:val="Normal"/>
    <w:autoRedefine/>
    <w:uiPriority w:val="39"/>
    <w:unhideWhenUsed/>
    <w:rsid w:val="00687D24"/>
    <w:pPr>
      <w:ind w:left="1200"/>
      <w:jc w:val="left"/>
    </w:pPr>
  </w:style>
  <w:style w:type="paragraph" w:styleId="TOC9">
    <w:name w:val="toc 9"/>
    <w:basedOn w:val="Normal"/>
    <w:next w:val="Normal"/>
    <w:autoRedefine/>
    <w:uiPriority w:val="39"/>
    <w:unhideWhenUsed/>
    <w:rsid w:val="00687D24"/>
    <w:pPr>
      <w:ind w:left="1400"/>
      <w:jc w:val="left"/>
    </w:pPr>
  </w:style>
  <w:style w:type="character" w:customStyle="1" w:styleId="NoSpacingChar">
    <w:name w:val="No Spacing Char"/>
    <w:link w:val="NoSpacing"/>
    <w:uiPriority w:val="1"/>
    <w:rsid w:val="00E334D2"/>
    <w:rPr>
      <w:rFonts w:eastAsia="Times New Roman" w:cs="Times New Roman"/>
      <w:sz w:val="24"/>
      <w:szCs w:val="32"/>
    </w:rPr>
  </w:style>
  <w:style w:type="paragraph" w:styleId="BodyText">
    <w:name w:val="Body Text"/>
    <w:basedOn w:val="Normal"/>
    <w:link w:val="BodyTextChar"/>
    <w:rsid w:val="00E334D2"/>
    <w:pPr>
      <w:suppressAutoHyphens/>
      <w:spacing w:after="120" w:line="240" w:lineRule="auto"/>
      <w:ind w:left="0" w:firstLine="0"/>
      <w:jc w:val="left"/>
    </w:pPr>
    <w:rPr>
      <w:rFonts w:ascii="Times New Roman" w:eastAsia="Times New Roman" w:hAnsi="Times New Roman" w:cs="Times New Roman"/>
      <w:sz w:val="24"/>
    </w:rPr>
  </w:style>
  <w:style w:type="character" w:customStyle="1" w:styleId="BodyTextChar">
    <w:name w:val="Body Text Char"/>
    <w:link w:val="BodyText"/>
    <w:rsid w:val="00E334D2"/>
    <w:rPr>
      <w:rFonts w:ascii="Times New Roman" w:eastAsia="Times New Roman" w:hAnsi="Times New Roman" w:cs="Times New Roman"/>
      <w:sz w:val="24"/>
    </w:rPr>
  </w:style>
  <w:style w:type="paragraph" w:styleId="Salutation">
    <w:name w:val="Salutation"/>
    <w:basedOn w:val="Normal"/>
    <w:next w:val="Normal"/>
    <w:link w:val="SalutationChar"/>
    <w:rsid w:val="00D01F1B"/>
    <w:pPr>
      <w:spacing w:line="240" w:lineRule="auto"/>
      <w:ind w:left="0" w:firstLine="0"/>
      <w:jc w:val="left"/>
    </w:pPr>
    <w:rPr>
      <w:rFonts w:ascii="Times New Roman" w:eastAsia="Times New Roman" w:hAnsi="Times New Roman" w:cs="Times New Roman"/>
      <w:sz w:val="24"/>
      <w:szCs w:val="24"/>
    </w:rPr>
  </w:style>
  <w:style w:type="character" w:customStyle="1" w:styleId="SalutationChar">
    <w:name w:val="Salutation Char"/>
    <w:link w:val="Salutation"/>
    <w:rsid w:val="00D01F1B"/>
    <w:rPr>
      <w:rFonts w:ascii="Times New Roman" w:eastAsia="Times New Roman" w:hAnsi="Times New Roman" w:cs="Times New Roman"/>
      <w:sz w:val="24"/>
      <w:szCs w:val="24"/>
    </w:rPr>
  </w:style>
  <w:style w:type="paragraph" w:customStyle="1" w:styleId="LACSBulletList">
    <w:name w:val="LACS Bullet List"/>
    <w:basedOn w:val="Normal"/>
    <w:rsid w:val="00505001"/>
    <w:pPr>
      <w:numPr>
        <w:numId w:val="18"/>
      </w:numPr>
      <w:spacing w:after="120" w:line="240" w:lineRule="auto"/>
      <w:jc w:val="left"/>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EC3EE4"/>
    <w:rPr>
      <w:rFonts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basedOn w:val="DefaultParagraphFont"/>
    <w:rsid w:val="00312223"/>
  </w:style>
  <w:style w:type="paragraph" w:styleId="EndnoteText">
    <w:name w:val="endnote text"/>
    <w:basedOn w:val="Normal"/>
    <w:link w:val="EndnoteTextChar"/>
    <w:uiPriority w:val="99"/>
    <w:semiHidden/>
    <w:unhideWhenUsed/>
    <w:rsid w:val="00756B23"/>
  </w:style>
  <w:style w:type="character" w:customStyle="1" w:styleId="EndnoteTextChar">
    <w:name w:val="Endnote Text Char"/>
    <w:basedOn w:val="DefaultParagraphFont"/>
    <w:link w:val="EndnoteText"/>
    <w:uiPriority w:val="99"/>
    <w:semiHidden/>
    <w:rsid w:val="00756B23"/>
  </w:style>
  <w:style w:type="character" w:styleId="EndnoteReference">
    <w:name w:val="endnote reference"/>
    <w:basedOn w:val="DefaultParagraphFont"/>
    <w:uiPriority w:val="99"/>
    <w:semiHidden/>
    <w:unhideWhenUsed/>
    <w:rsid w:val="00756B23"/>
    <w:rPr>
      <w:vertAlign w:val="superscript"/>
    </w:rPr>
  </w:style>
</w:styles>
</file>

<file path=word/webSettings.xml><?xml version="1.0" encoding="utf-8"?>
<w:webSettings xmlns:r="http://schemas.openxmlformats.org/officeDocument/2006/relationships" xmlns:w="http://schemas.openxmlformats.org/wordprocessingml/2006/main">
  <w:divs>
    <w:div w:id="115301202">
      <w:bodyDiv w:val="1"/>
      <w:marLeft w:val="0"/>
      <w:marRight w:val="0"/>
      <w:marTop w:val="0"/>
      <w:marBottom w:val="0"/>
      <w:divBdr>
        <w:top w:val="none" w:sz="0" w:space="0" w:color="auto"/>
        <w:left w:val="none" w:sz="0" w:space="0" w:color="auto"/>
        <w:bottom w:val="none" w:sz="0" w:space="0" w:color="auto"/>
        <w:right w:val="none" w:sz="0" w:space="0" w:color="auto"/>
      </w:divBdr>
    </w:div>
    <w:div w:id="524904777">
      <w:bodyDiv w:val="1"/>
      <w:marLeft w:val="0"/>
      <w:marRight w:val="0"/>
      <w:marTop w:val="0"/>
      <w:marBottom w:val="0"/>
      <w:divBdr>
        <w:top w:val="none" w:sz="0" w:space="0" w:color="auto"/>
        <w:left w:val="none" w:sz="0" w:space="0" w:color="auto"/>
        <w:bottom w:val="none" w:sz="0" w:space="0" w:color="auto"/>
        <w:right w:val="none" w:sz="0" w:space="0" w:color="auto"/>
      </w:divBdr>
    </w:div>
    <w:div w:id="572467998">
      <w:bodyDiv w:val="1"/>
      <w:marLeft w:val="0"/>
      <w:marRight w:val="0"/>
      <w:marTop w:val="0"/>
      <w:marBottom w:val="0"/>
      <w:divBdr>
        <w:top w:val="none" w:sz="0" w:space="0" w:color="auto"/>
        <w:left w:val="none" w:sz="0" w:space="0" w:color="auto"/>
        <w:bottom w:val="none" w:sz="0" w:space="0" w:color="auto"/>
        <w:right w:val="none" w:sz="0" w:space="0" w:color="auto"/>
      </w:divBdr>
    </w:div>
    <w:div w:id="698555101">
      <w:bodyDiv w:val="1"/>
      <w:marLeft w:val="0"/>
      <w:marRight w:val="0"/>
      <w:marTop w:val="0"/>
      <w:marBottom w:val="0"/>
      <w:divBdr>
        <w:top w:val="none" w:sz="0" w:space="0" w:color="auto"/>
        <w:left w:val="none" w:sz="0" w:space="0" w:color="auto"/>
        <w:bottom w:val="none" w:sz="0" w:space="0" w:color="auto"/>
        <w:right w:val="none" w:sz="0" w:space="0" w:color="auto"/>
      </w:divBdr>
    </w:div>
    <w:div w:id="847795818">
      <w:bodyDiv w:val="1"/>
      <w:marLeft w:val="0"/>
      <w:marRight w:val="0"/>
      <w:marTop w:val="0"/>
      <w:marBottom w:val="0"/>
      <w:divBdr>
        <w:top w:val="none" w:sz="0" w:space="0" w:color="auto"/>
        <w:left w:val="none" w:sz="0" w:space="0" w:color="auto"/>
        <w:bottom w:val="none" w:sz="0" w:space="0" w:color="auto"/>
        <w:right w:val="none" w:sz="0" w:space="0" w:color="auto"/>
      </w:divBdr>
      <w:divsChild>
        <w:div w:id="93019606">
          <w:marLeft w:val="720"/>
          <w:marRight w:val="0"/>
          <w:marTop w:val="0"/>
          <w:marBottom w:val="120"/>
          <w:divBdr>
            <w:top w:val="none" w:sz="0" w:space="0" w:color="auto"/>
            <w:left w:val="none" w:sz="0" w:space="0" w:color="auto"/>
            <w:bottom w:val="none" w:sz="0" w:space="0" w:color="auto"/>
            <w:right w:val="none" w:sz="0" w:space="0" w:color="auto"/>
          </w:divBdr>
        </w:div>
        <w:div w:id="1064375544">
          <w:marLeft w:val="720"/>
          <w:marRight w:val="0"/>
          <w:marTop w:val="0"/>
          <w:marBottom w:val="120"/>
          <w:divBdr>
            <w:top w:val="none" w:sz="0" w:space="0" w:color="auto"/>
            <w:left w:val="none" w:sz="0" w:space="0" w:color="auto"/>
            <w:bottom w:val="none" w:sz="0" w:space="0" w:color="auto"/>
            <w:right w:val="none" w:sz="0" w:space="0" w:color="auto"/>
          </w:divBdr>
        </w:div>
        <w:div w:id="1920560874">
          <w:marLeft w:val="720"/>
          <w:marRight w:val="0"/>
          <w:marTop w:val="0"/>
          <w:marBottom w:val="120"/>
          <w:divBdr>
            <w:top w:val="none" w:sz="0" w:space="0" w:color="auto"/>
            <w:left w:val="none" w:sz="0" w:space="0" w:color="auto"/>
            <w:bottom w:val="none" w:sz="0" w:space="0" w:color="auto"/>
            <w:right w:val="none" w:sz="0" w:space="0" w:color="auto"/>
          </w:divBdr>
        </w:div>
        <w:div w:id="1986230319">
          <w:marLeft w:val="720"/>
          <w:marRight w:val="0"/>
          <w:marTop w:val="0"/>
          <w:marBottom w:val="120"/>
          <w:divBdr>
            <w:top w:val="none" w:sz="0" w:space="0" w:color="auto"/>
            <w:left w:val="none" w:sz="0" w:space="0" w:color="auto"/>
            <w:bottom w:val="none" w:sz="0" w:space="0" w:color="auto"/>
            <w:right w:val="none" w:sz="0" w:space="0" w:color="auto"/>
          </w:divBdr>
        </w:div>
      </w:divsChild>
    </w:div>
    <w:div w:id="14739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O:\IM-20\EA\ETP%202011\FINAL_DRAFT_DOE_ETPUpdate_28Feb2011v5.docx"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hyperlink" Target="http://www.energy.gov" TargetMode="External"/><Relationship Id="rId21" Type="http://schemas.openxmlformats.org/officeDocument/2006/relationships/image" Target="media/image3.wmf"/><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O:\IM-20\EA\ETP%202011\FINAL_DRAFT_DOE_ETPUpdate_28Feb2011v5.docx"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O:\IM-20\EA\ETP%202011\FINAL_DRAFT_DOE_ETPUpdate_28Feb2011v5.docx" TargetMode="External"/><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hyperlink" Target="https://powerpedia.energy.gov/wiki/Inside.DOE" TargetMode="External"/><Relationship Id="rId40" Type="http://schemas.openxmlformats.org/officeDocument/2006/relationships/image" Target="media/image17.png"/><Relationship Id="rId45" Type="http://schemas.openxmlformats.org/officeDocument/2006/relationships/image" Target="media/image22.wmf"/><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hyperlink" Target="file:///O:\IM-20\EA\ETP%202011\FINAL_DRAFT_DOE_ETPUpdate_28Feb2011v5.docx" TargetMode="External"/><Relationship Id="rId23" Type="http://schemas.openxmlformats.org/officeDocument/2006/relationships/image" Target="media/image5.png"/><Relationship Id="rId28" Type="http://schemas.openxmlformats.org/officeDocument/2006/relationships/image" Target="media/image10.wmf"/><Relationship Id="rId36" Type="http://schemas.openxmlformats.org/officeDocument/2006/relationships/hyperlink" Target="https://powerpedia.energy.gov/wiki/Community_Specific_Wikis" TargetMode="External"/><Relationship Id="rId49" Type="http://schemas.openxmlformats.org/officeDocument/2006/relationships/image" Target="media/image26.wmf"/><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file:///O:\IM-20\EA\ETP%202011\FINAL_DRAFT_DOE_ETPUpdate_28Feb2011v5.docx" TargetMode="Externa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1.wmf"/><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file:///O:\IM-20\EA\ETP%202011\FINAL_DRAFT_DOE_ETPUpdate_28Feb2011v5.docx" TargetMode="External"/><Relationship Id="rId14" Type="http://schemas.openxmlformats.org/officeDocument/2006/relationships/hyperlink" Target="file:///O:\IM-20\EA\ETP%202011\FINAL_DRAFT_DOE_ETPUpdate_28Feb2011v5.docx" TargetMode="Externa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image" Target="media/image12.emf"/><Relationship Id="rId35" Type="http://schemas.openxmlformats.org/officeDocument/2006/relationships/hyperlink" Target="https://powerpedia.energy.gov/wiki/Powerpedia" TargetMode="External"/><Relationship Id="rId43" Type="http://schemas.openxmlformats.org/officeDocument/2006/relationships/image" Target="media/image20.wmf"/><Relationship Id="rId48" Type="http://schemas.openxmlformats.org/officeDocument/2006/relationships/image" Target="media/image25.emf"/><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wmf"/><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O:\IM-20\EA\ETP%202011\FINAL_DRAFT_DOE_ETPUpdate_28Feb2011v5.docx" TargetMode="External"/><Relationship Id="rId17" Type="http://schemas.openxmlformats.org/officeDocument/2006/relationships/hyperlink" Target="file:///O:\IM-20\EA\ETP%202011\FINAL_DRAFT_DOE_ETPUpdate_28Feb2011v5.docx" TargetMode="External"/><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hyperlink" Target="https://powerpedia.energy.gov/wiki/Inside.DOE" TargetMode="External"/><Relationship Id="rId46" Type="http://schemas.openxmlformats.org/officeDocument/2006/relationships/image" Target="media/image23.emf"/><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BFA5-C8FA-4D4E-AB2A-29D006AE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9468</Words>
  <Characters>53970</Characters>
  <Application>Microsoft Office Word</Application>
  <DocSecurity>0</DocSecurity>
  <Lines>449</Lines>
  <Paragraphs>126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Table of Contents</vt:lpstr>
      <vt:lpstr/>
      <vt:lpstr>Table of Figures</vt:lpstr>
      <vt:lpstr>Executive Summary</vt:lpstr>
      <vt:lpstr/>
      <vt:lpstr>Introduction</vt:lpstr>
      <vt:lpstr>    DOE Organization</vt:lpstr>
      <vt:lpstr>    </vt:lpstr>
      <vt:lpstr>    </vt:lpstr>
      <vt:lpstr>    </vt:lpstr>
      <vt:lpstr>    </vt:lpstr>
      <vt:lpstr>    </vt:lpstr>
      <vt:lpstr>    Federated Nature of DOE and its EA</vt:lpstr>
      <vt:lpstr>    </vt:lpstr>
      <vt:lpstr>    </vt:lpstr>
      <vt:lpstr>    </vt:lpstr>
      <vt:lpstr>    </vt:lpstr>
      <vt:lpstr>    </vt:lpstr>
      <vt:lpstr>    </vt:lpstr>
      <vt:lpstr>    </vt:lpstr>
      <vt:lpstr>    Key DOE EA Focus Areas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Business Intelligence Tool &amp; Enterprise Repository</vt:lpstr>
      <vt:lpstr>    DOE Baseline Architecture Overview</vt:lpstr>
      <vt:lpstr>    DOE Strategy and Performance Layer</vt:lpstr>
      <vt:lpstr>    DOE Business Layer</vt:lpstr>
      <vt:lpstr>    DOE Services, Data, and Technology Layers</vt:lpstr>
      <vt:lpstr>    </vt:lpstr>
      <vt:lpstr>    </vt:lpstr>
      <vt:lpstr>    </vt:lpstr>
      <vt:lpstr>    </vt:lpstr>
      <vt:lpstr>    </vt:lpstr>
      <vt:lpstr>    </vt:lpstr>
      <vt:lpstr>    </vt:lpstr>
      <vt:lpstr>    </vt:lpstr>
      <vt:lpstr>    </vt:lpstr>
      <vt:lpstr>    DOE EA Baseline Segments</vt:lpstr>
      <vt:lpstr/>
      <vt:lpstr>    Strategic Change Drivers for the Target EA</vt:lpstr>
      <vt:lpstr>DOE Target Enterprise Architecture Vision</vt:lpstr>
      <vt:lpstr>    Business-Oriented Key Initiatives</vt:lpstr>
      <vt:lpstr>        Implementing Sustainability </vt:lpstr>
      <vt:lpstr>        </vt:lpstr>
      <vt:lpstr>        </vt:lpstr>
      <vt:lpstr>        </vt:lpstr>
      <vt:lpstr>        </vt:lpstr>
      <vt:lpstr>        </vt:lpstr>
      <vt:lpstr>        Advancing Scientific, Energy, and Nuclear Research</vt:lpstr>
      <vt:lpstr>        Measuring the Impact of Research</vt:lpstr>
      <vt:lpstr>        </vt:lpstr>
      <vt:lpstr>        </vt:lpstr>
      <vt:lpstr>        </vt:lpstr>
      <vt:lpstr>        </vt:lpstr>
      <vt:lpstr>        </vt:lpstr>
      <vt:lpstr>        </vt:lpstr>
      <vt:lpstr>        </vt:lpstr>
      <vt:lpstr>        </vt:lpstr>
      <vt:lpstr>        Making the Grid Smarter</vt:lpstr>
      <vt:lpstr>        Enhancing Financial Systems </vt:lpstr>
      <vt:lpstr>        </vt:lpstr>
      <vt:lpstr>        </vt:lpstr>
      <vt:lpstr>        </vt:lpstr>
      <vt:lpstr>        </vt:lpstr>
      <vt:lpstr>        </vt:lpstr>
      <vt:lpstr>        </vt:lpstr>
      <vt:lpstr>        </vt:lpstr>
      <vt:lpstr>        </vt:lpstr>
      <vt:lpstr>        </vt:lpstr>
      <vt:lpstr>        Reforming Records Management</vt:lpstr>
      <vt:lpstr>    IT-Oriented Key Initiatives</vt:lpstr>
      <vt:lpstr>        Adopting Cloud First</vt:lpstr>
      <vt:lpstr>        /</vt:lpstr>
      <vt:lpstr>        Modernizing Infrastructure </vt:lpstr>
      <vt:lpstr>Transition Plan</vt:lpstr>
      <vt:lpstr>Appendix A – EA Repository Features and Capabilities</vt:lpstr>
      <vt:lpstr/>
      <vt:lpstr>Appendix B – DOE Baseline Architecture</vt:lpstr>
    </vt:vector>
  </TitlesOfParts>
  <Company>Hewlett-Packard</Company>
  <LinksUpToDate>false</LinksUpToDate>
  <CharactersWithSpaces>63312</CharactersWithSpaces>
  <SharedDoc>false</SharedDoc>
  <HLinks>
    <vt:vector size="420" baseType="variant">
      <vt:variant>
        <vt:i4>2228260</vt:i4>
      </vt:variant>
      <vt:variant>
        <vt:i4>417</vt:i4>
      </vt:variant>
      <vt:variant>
        <vt:i4>0</vt:i4>
      </vt:variant>
      <vt:variant>
        <vt:i4>5</vt:i4>
      </vt:variant>
      <vt:variant>
        <vt:lpwstr>http://www.energy.gov/</vt:lpwstr>
      </vt:variant>
      <vt:variant>
        <vt:lpwstr/>
      </vt:variant>
      <vt:variant>
        <vt:i4>5767254</vt:i4>
      </vt:variant>
      <vt:variant>
        <vt:i4>414</vt:i4>
      </vt:variant>
      <vt:variant>
        <vt:i4>0</vt:i4>
      </vt:variant>
      <vt:variant>
        <vt:i4>5</vt:i4>
      </vt:variant>
      <vt:variant>
        <vt:lpwstr>https://powerpedia.energy.gov/wiki/Inside.DOE</vt:lpwstr>
      </vt:variant>
      <vt:variant>
        <vt:lpwstr/>
      </vt:variant>
      <vt:variant>
        <vt:i4>5767254</vt:i4>
      </vt:variant>
      <vt:variant>
        <vt:i4>411</vt:i4>
      </vt:variant>
      <vt:variant>
        <vt:i4>0</vt:i4>
      </vt:variant>
      <vt:variant>
        <vt:i4>5</vt:i4>
      </vt:variant>
      <vt:variant>
        <vt:lpwstr>https://powerpedia.energy.gov/wiki/Inside.DOE</vt:lpwstr>
      </vt:variant>
      <vt:variant>
        <vt:lpwstr/>
      </vt:variant>
      <vt:variant>
        <vt:i4>4522013</vt:i4>
      </vt:variant>
      <vt:variant>
        <vt:i4>408</vt:i4>
      </vt:variant>
      <vt:variant>
        <vt:i4>0</vt:i4>
      </vt:variant>
      <vt:variant>
        <vt:i4>5</vt:i4>
      </vt:variant>
      <vt:variant>
        <vt:lpwstr>https://powerpedia.energy.gov/wiki/Community_Specific_Wikis</vt:lpwstr>
      </vt:variant>
      <vt:variant>
        <vt:lpwstr/>
      </vt:variant>
      <vt:variant>
        <vt:i4>1966158</vt:i4>
      </vt:variant>
      <vt:variant>
        <vt:i4>405</vt:i4>
      </vt:variant>
      <vt:variant>
        <vt:i4>0</vt:i4>
      </vt:variant>
      <vt:variant>
        <vt:i4>5</vt:i4>
      </vt:variant>
      <vt:variant>
        <vt:lpwstr>https://powerpedia.energy.gov/wiki/Powerpedia</vt:lpwstr>
      </vt:variant>
      <vt:variant>
        <vt:lpwstr/>
      </vt:variant>
      <vt:variant>
        <vt:i4>7143446</vt:i4>
      </vt:variant>
      <vt:variant>
        <vt:i4>389</vt:i4>
      </vt:variant>
      <vt:variant>
        <vt:i4>0</vt:i4>
      </vt:variant>
      <vt:variant>
        <vt:i4>5</vt:i4>
      </vt:variant>
      <vt:variant>
        <vt:lpwstr>FINAL_DRAFT_DOE_ETPUpdate_22Feb2011.doc</vt:lpwstr>
      </vt:variant>
      <vt:variant>
        <vt:lpwstr>_Toc286123675</vt:lpwstr>
      </vt:variant>
      <vt:variant>
        <vt:i4>7143446</vt:i4>
      </vt:variant>
      <vt:variant>
        <vt:i4>383</vt:i4>
      </vt:variant>
      <vt:variant>
        <vt:i4>0</vt:i4>
      </vt:variant>
      <vt:variant>
        <vt:i4>5</vt:i4>
      </vt:variant>
      <vt:variant>
        <vt:lpwstr>FINAL_DRAFT_DOE_ETPUpdate_22Feb2011.doc</vt:lpwstr>
      </vt:variant>
      <vt:variant>
        <vt:lpwstr>_Toc286123674</vt:lpwstr>
      </vt:variant>
      <vt:variant>
        <vt:i4>7143446</vt:i4>
      </vt:variant>
      <vt:variant>
        <vt:i4>377</vt:i4>
      </vt:variant>
      <vt:variant>
        <vt:i4>0</vt:i4>
      </vt:variant>
      <vt:variant>
        <vt:i4>5</vt:i4>
      </vt:variant>
      <vt:variant>
        <vt:lpwstr>FINAL_DRAFT_DOE_ETPUpdate_22Feb2011.doc</vt:lpwstr>
      </vt:variant>
      <vt:variant>
        <vt:lpwstr>_Toc286123673</vt:lpwstr>
      </vt:variant>
      <vt:variant>
        <vt:i4>7143446</vt:i4>
      </vt:variant>
      <vt:variant>
        <vt:i4>371</vt:i4>
      </vt:variant>
      <vt:variant>
        <vt:i4>0</vt:i4>
      </vt:variant>
      <vt:variant>
        <vt:i4>5</vt:i4>
      </vt:variant>
      <vt:variant>
        <vt:lpwstr>FINAL_DRAFT_DOE_ETPUpdate_22Feb2011.doc</vt:lpwstr>
      </vt:variant>
      <vt:variant>
        <vt:lpwstr>_Toc286123672</vt:lpwstr>
      </vt:variant>
      <vt:variant>
        <vt:i4>7143446</vt:i4>
      </vt:variant>
      <vt:variant>
        <vt:i4>365</vt:i4>
      </vt:variant>
      <vt:variant>
        <vt:i4>0</vt:i4>
      </vt:variant>
      <vt:variant>
        <vt:i4>5</vt:i4>
      </vt:variant>
      <vt:variant>
        <vt:lpwstr>FINAL_DRAFT_DOE_ETPUpdate_22Feb2011.doc</vt:lpwstr>
      </vt:variant>
      <vt:variant>
        <vt:lpwstr>_Toc286123671</vt:lpwstr>
      </vt:variant>
      <vt:variant>
        <vt:i4>7143446</vt:i4>
      </vt:variant>
      <vt:variant>
        <vt:i4>359</vt:i4>
      </vt:variant>
      <vt:variant>
        <vt:i4>0</vt:i4>
      </vt:variant>
      <vt:variant>
        <vt:i4>5</vt:i4>
      </vt:variant>
      <vt:variant>
        <vt:lpwstr>FINAL_DRAFT_DOE_ETPUpdate_22Feb2011.doc</vt:lpwstr>
      </vt:variant>
      <vt:variant>
        <vt:lpwstr>_Toc286123670</vt:lpwstr>
      </vt:variant>
      <vt:variant>
        <vt:i4>7077910</vt:i4>
      </vt:variant>
      <vt:variant>
        <vt:i4>353</vt:i4>
      </vt:variant>
      <vt:variant>
        <vt:i4>0</vt:i4>
      </vt:variant>
      <vt:variant>
        <vt:i4>5</vt:i4>
      </vt:variant>
      <vt:variant>
        <vt:lpwstr>FINAL_DRAFT_DOE_ETPUpdate_22Feb2011.doc</vt:lpwstr>
      </vt:variant>
      <vt:variant>
        <vt:lpwstr>_Toc286123669</vt:lpwstr>
      </vt:variant>
      <vt:variant>
        <vt:i4>7077910</vt:i4>
      </vt:variant>
      <vt:variant>
        <vt:i4>347</vt:i4>
      </vt:variant>
      <vt:variant>
        <vt:i4>0</vt:i4>
      </vt:variant>
      <vt:variant>
        <vt:i4>5</vt:i4>
      </vt:variant>
      <vt:variant>
        <vt:lpwstr>FINAL_DRAFT_DOE_ETPUpdate_22Feb2011.doc</vt:lpwstr>
      </vt:variant>
      <vt:variant>
        <vt:lpwstr>_Toc286123668</vt:lpwstr>
      </vt:variant>
      <vt:variant>
        <vt:i4>7077910</vt:i4>
      </vt:variant>
      <vt:variant>
        <vt:i4>341</vt:i4>
      </vt:variant>
      <vt:variant>
        <vt:i4>0</vt:i4>
      </vt:variant>
      <vt:variant>
        <vt:i4>5</vt:i4>
      </vt:variant>
      <vt:variant>
        <vt:lpwstr>FINAL_DRAFT_DOE_ETPUpdate_22Feb2011.doc</vt:lpwstr>
      </vt:variant>
      <vt:variant>
        <vt:lpwstr>_Toc286123667</vt:lpwstr>
      </vt:variant>
      <vt:variant>
        <vt:i4>7077910</vt:i4>
      </vt:variant>
      <vt:variant>
        <vt:i4>335</vt:i4>
      </vt:variant>
      <vt:variant>
        <vt:i4>0</vt:i4>
      </vt:variant>
      <vt:variant>
        <vt:i4>5</vt:i4>
      </vt:variant>
      <vt:variant>
        <vt:lpwstr>FINAL_DRAFT_DOE_ETPUpdate_22Feb2011.doc</vt:lpwstr>
      </vt:variant>
      <vt:variant>
        <vt:lpwstr>_Toc286123666</vt:lpwstr>
      </vt:variant>
      <vt:variant>
        <vt:i4>7077910</vt:i4>
      </vt:variant>
      <vt:variant>
        <vt:i4>329</vt:i4>
      </vt:variant>
      <vt:variant>
        <vt:i4>0</vt:i4>
      </vt:variant>
      <vt:variant>
        <vt:i4>5</vt:i4>
      </vt:variant>
      <vt:variant>
        <vt:lpwstr>FINAL_DRAFT_DOE_ETPUpdate_22Feb2011.doc</vt:lpwstr>
      </vt:variant>
      <vt:variant>
        <vt:lpwstr>_Toc286123665</vt:lpwstr>
      </vt:variant>
      <vt:variant>
        <vt:i4>7077910</vt:i4>
      </vt:variant>
      <vt:variant>
        <vt:i4>323</vt:i4>
      </vt:variant>
      <vt:variant>
        <vt:i4>0</vt:i4>
      </vt:variant>
      <vt:variant>
        <vt:i4>5</vt:i4>
      </vt:variant>
      <vt:variant>
        <vt:lpwstr>FINAL_DRAFT_DOE_ETPUpdate_22Feb2011.doc</vt:lpwstr>
      </vt:variant>
      <vt:variant>
        <vt:lpwstr>_Toc286123664</vt:lpwstr>
      </vt:variant>
      <vt:variant>
        <vt:i4>7077910</vt:i4>
      </vt:variant>
      <vt:variant>
        <vt:i4>317</vt:i4>
      </vt:variant>
      <vt:variant>
        <vt:i4>0</vt:i4>
      </vt:variant>
      <vt:variant>
        <vt:i4>5</vt:i4>
      </vt:variant>
      <vt:variant>
        <vt:lpwstr>FINAL_DRAFT_DOE_ETPUpdate_22Feb2011.doc</vt:lpwstr>
      </vt:variant>
      <vt:variant>
        <vt:lpwstr>_Toc286123663</vt:lpwstr>
      </vt:variant>
      <vt:variant>
        <vt:i4>7077910</vt:i4>
      </vt:variant>
      <vt:variant>
        <vt:i4>311</vt:i4>
      </vt:variant>
      <vt:variant>
        <vt:i4>0</vt:i4>
      </vt:variant>
      <vt:variant>
        <vt:i4>5</vt:i4>
      </vt:variant>
      <vt:variant>
        <vt:lpwstr>FINAL_DRAFT_DOE_ETPUpdate_22Feb2011.doc</vt:lpwstr>
      </vt:variant>
      <vt:variant>
        <vt:lpwstr>_Toc286123662</vt:lpwstr>
      </vt:variant>
      <vt:variant>
        <vt:i4>7077910</vt:i4>
      </vt:variant>
      <vt:variant>
        <vt:i4>305</vt:i4>
      </vt:variant>
      <vt:variant>
        <vt:i4>0</vt:i4>
      </vt:variant>
      <vt:variant>
        <vt:i4>5</vt:i4>
      </vt:variant>
      <vt:variant>
        <vt:lpwstr>FINAL_DRAFT_DOE_ETPUpdate_22Feb2011.doc</vt:lpwstr>
      </vt:variant>
      <vt:variant>
        <vt:lpwstr>_Toc286123661</vt:lpwstr>
      </vt:variant>
      <vt:variant>
        <vt:i4>7077910</vt:i4>
      </vt:variant>
      <vt:variant>
        <vt:i4>299</vt:i4>
      </vt:variant>
      <vt:variant>
        <vt:i4>0</vt:i4>
      </vt:variant>
      <vt:variant>
        <vt:i4>5</vt:i4>
      </vt:variant>
      <vt:variant>
        <vt:lpwstr>FINAL_DRAFT_DOE_ETPUpdate_22Feb2011.doc</vt:lpwstr>
      </vt:variant>
      <vt:variant>
        <vt:lpwstr>_Toc286123660</vt:lpwstr>
      </vt:variant>
      <vt:variant>
        <vt:i4>7274518</vt:i4>
      </vt:variant>
      <vt:variant>
        <vt:i4>293</vt:i4>
      </vt:variant>
      <vt:variant>
        <vt:i4>0</vt:i4>
      </vt:variant>
      <vt:variant>
        <vt:i4>5</vt:i4>
      </vt:variant>
      <vt:variant>
        <vt:lpwstr>FINAL_DRAFT_DOE_ETPUpdate_22Feb2011.doc</vt:lpwstr>
      </vt:variant>
      <vt:variant>
        <vt:lpwstr>_Toc286123659</vt:lpwstr>
      </vt:variant>
      <vt:variant>
        <vt:i4>7274518</vt:i4>
      </vt:variant>
      <vt:variant>
        <vt:i4>287</vt:i4>
      </vt:variant>
      <vt:variant>
        <vt:i4>0</vt:i4>
      </vt:variant>
      <vt:variant>
        <vt:i4>5</vt:i4>
      </vt:variant>
      <vt:variant>
        <vt:lpwstr>FINAL_DRAFT_DOE_ETPUpdate_22Feb2011.doc</vt:lpwstr>
      </vt:variant>
      <vt:variant>
        <vt:lpwstr>_Toc286123658</vt:lpwstr>
      </vt:variant>
      <vt:variant>
        <vt:i4>7274518</vt:i4>
      </vt:variant>
      <vt:variant>
        <vt:i4>281</vt:i4>
      </vt:variant>
      <vt:variant>
        <vt:i4>0</vt:i4>
      </vt:variant>
      <vt:variant>
        <vt:i4>5</vt:i4>
      </vt:variant>
      <vt:variant>
        <vt:lpwstr>FINAL_DRAFT_DOE_ETPUpdate_22Feb2011.doc</vt:lpwstr>
      </vt:variant>
      <vt:variant>
        <vt:lpwstr>_Toc286123657</vt:lpwstr>
      </vt:variant>
      <vt:variant>
        <vt:i4>1572912</vt:i4>
      </vt:variant>
      <vt:variant>
        <vt:i4>272</vt:i4>
      </vt:variant>
      <vt:variant>
        <vt:i4>0</vt:i4>
      </vt:variant>
      <vt:variant>
        <vt:i4>5</vt:i4>
      </vt:variant>
      <vt:variant>
        <vt:lpwstr/>
      </vt:variant>
      <vt:variant>
        <vt:lpwstr>_Toc286123656</vt:lpwstr>
      </vt:variant>
      <vt:variant>
        <vt:i4>1572912</vt:i4>
      </vt:variant>
      <vt:variant>
        <vt:i4>266</vt:i4>
      </vt:variant>
      <vt:variant>
        <vt:i4>0</vt:i4>
      </vt:variant>
      <vt:variant>
        <vt:i4>5</vt:i4>
      </vt:variant>
      <vt:variant>
        <vt:lpwstr/>
      </vt:variant>
      <vt:variant>
        <vt:lpwstr>_Toc286123655</vt:lpwstr>
      </vt:variant>
      <vt:variant>
        <vt:i4>1572912</vt:i4>
      </vt:variant>
      <vt:variant>
        <vt:i4>260</vt:i4>
      </vt:variant>
      <vt:variant>
        <vt:i4>0</vt:i4>
      </vt:variant>
      <vt:variant>
        <vt:i4>5</vt:i4>
      </vt:variant>
      <vt:variant>
        <vt:lpwstr/>
      </vt:variant>
      <vt:variant>
        <vt:lpwstr>_Toc286123654</vt:lpwstr>
      </vt:variant>
      <vt:variant>
        <vt:i4>1572912</vt:i4>
      </vt:variant>
      <vt:variant>
        <vt:i4>254</vt:i4>
      </vt:variant>
      <vt:variant>
        <vt:i4>0</vt:i4>
      </vt:variant>
      <vt:variant>
        <vt:i4>5</vt:i4>
      </vt:variant>
      <vt:variant>
        <vt:lpwstr/>
      </vt:variant>
      <vt:variant>
        <vt:lpwstr>_Toc286123653</vt:lpwstr>
      </vt:variant>
      <vt:variant>
        <vt:i4>1572912</vt:i4>
      </vt:variant>
      <vt:variant>
        <vt:i4>248</vt:i4>
      </vt:variant>
      <vt:variant>
        <vt:i4>0</vt:i4>
      </vt:variant>
      <vt:variant>
        <vt:i4>5</vt:i4>
      </vt:variant>
      <vt:variant>
        <vt:lpwstr/>
      </vt:variant>
      <vt:variant>
        <vt:lpwstr>_Toc286123652</vt:lpwstr>
      </vt:variant>
      <vt:variant>
        <vt:i4>1572912</vt:i4>
      </vt:variant>
      <vt:variant>
        <vt:i4>242</vt:i4>
      </vt:variant>
      <vt:variant>
        <vt:i4>0</vt:i4>
      </vt:variant>
      <vt:variant>
        <vt:i4>5</vt:i4>
      </vt:variant>
      <vt:variant>
        <vt:lpwstr/>
      </vt:variant>
      <vt:variant>
        <vt:lpwstr>_Toc286123651</vt:lpwstr>
      </vt:variant>
      <vt:variant>
        <vt:i4>1572912</vt:i4>
      </vt:variant>
      <vt:variant>
        <vt:i4>236</vt:i4>
      </vt:variant>
      <vt:variant>
        <vt:i4>0</vt:i4>
      </vt:variant>
      <vt:variant>
        <vt:i4>5</vt:i4>
      </vt:variant>
      <vt:variant>
        <vt:lpwstr/>
      </vt:variant>
      <vt:variant>
        <vt:lpwstr>_Toc286123650</vt:lpwstr>
      </vt:variant>
      <vt:variant>
        <vt:i4>1638448</vt:i4>
      </vt:variant>
      <vt:variant>
        <vt:i4>230</vt:i4>
      </vt:variant>
      <vt:variant>
        <vt:i4>0</vt:i4>
      </vt:variant>
      <vt:variant>
        <vt:i4>5</vt:i4>
      </vt:variant>
      <vt:variant>
        <vt:lpwstr/>
      </vt:variant>
      <vt:variant>
        <vt:lpwstr>_Toc286123649</vt:lpwstr>
      </vt:variant>
      <vt:variant>
        <vt:i4>1638448</vt:i4>
      </vt:variant>
      <vt:variant>
        <vt:i4>224</vt:i4>
      </vt:variant>
      <vt:variant>
        <vt:i4>0</vt:i4>
      </vt:variant>
      <vt:variant>
        <vt:i4>5</vt:i4>
      </vt:variant>
      <vt:variant>
        <vt:lpwstr/>
      </vt:variant>
      <vt:variant>
        <vt:lpwstr>_Toc286123648</vt:lpwstr>
      </vt:variant>
      <vt:variant>
        <vt:i4>1638448</vt:i4>
      </vt:variant>
      <vt:variant>
        <vt:i4>218</vt:i4>
      </vt:variant>
      <vt:variant>
        <vt:i4>0</vt:i4>
      </vt:variant>
      <vt:variant>
        <vt:i4>5</vt:i4>
      </vt:variant>
      <vt:variant>
        <vt:lpwstr/>
      </vt:variant>
      <vt:variant>
        <vt:lpwstr>_Toc286123647</vt:lpwstr>
      </vt:variant>
      <vt:variant>
        <vt:i4>1638448</vt:i4>
      </vt:variant>
      <vt:variant>
        <vt:i4>212</vt:i4>
      </vt:variant>
      <vt:variant>
        <vt:i4>0</vt:i4>
      </vt:variant>
      <vt:variant>
        <vt:i4>5</vt:i4>
      </vt:variant>
      <vt:variant>
        <vt:lpwstr/>
      </vt:variant>
      <vt:variant>
        <vt:lpwstr>_Toc286123646</vt:lpwstr>
      </vt:variant>
      <vt:variant>
        <vt:i4>1638448</vt:i4>
      </vt:variant>
      <vt:variant>
        <vt:i4>206</vt:i4>
      </vt:variant>
      <vt:variant>
        <vt:i4>0</vt:i4>
      </vt:variant>
      <vt:variant>
        <vt:i4>5</vt:i4>
      </vt:variant>
      <vt:variant>
        <vt:lpwstr/>
      </vt:variant>
      <vt:variant>
        <vt:lpwstr>_Toc286123645</vt:lpwstr>
      </vt:variant>
      <vt:variant>
        <vt:i4>1638448</vt:i4>
      </vt:variant>
      <vt:variant>
        <vt:i4>200</vt:i4>
      </vt:variant>
      <vt:variant>
        <vt:i4>0</vt:i4>
      </vt:variant>
      <vt:variant>
        <vt:i4>5</vt:i4>
      </vt:variant>
      <vt:variant>
        <vt:lpwstr/>
      </vt:variant>
      <vt:variant>
        <vt:lpwstr>_Toc286123644</vt:lpwstr>
      </vt:variant>
      <vt:variant>
        <vt:i4>1638448</vt:i4>
      </vt:variant>
      <vt:variant>
        <vt:i4>194</vt:i4>
      </vt:variant>
      <vt:variant>
        <vt:i4>0</vt:i4>
      </vt:variant>
      <vt:variant>
        <vt:i4>5</vt:i4>
      </vt:variant>
      <vt:variant>
        <vt:lpwstr/>
      </vt:variant>
      <vt:variant>
        <vt:lpwstr>_Toc286123643</vt:lpwstr>
      </vt:variant>
      <vt:variant>
        <vt:i4>1966128</vt:i4>
      </vt:variant>
      <vt:variant>
        <vt:i4>188</vt:i4>
      </vt:variant>
      <vt:variant>
        <vt:i4>0</vt:i4>
      </vt:variant>
      <vt:variant>
        <vt:i4>5</vt:i4>
      </vt:variant>
      <vt:variant>
        <vt:lpwstr/>
      </vt:variant>
      <vt:variant>
        <vt:lpwstr>_Toc286123632</vt:lpwstr>
      </vt:variant>
      <vt:variant>
        <vt:i4>1966128</vt:i4>
      </vt:variant>
      <vt:variant>
        <vt:i4>182</vt:i4>
      </vt:variant>
      <vt:variant>
        <vt:i4>0</vt:i4>
      </vt:variant>
      <vt:variant>
        <vt:i4>5</vt:i4>
      </vt:variant>
      <vt:variant>
        <vt:lpwstr/>
      </vt:variant>
      <vt:variant>
        <vt:lpwstr>_Toc286123631</vt:lpwstr>
      </vt:variant>
      <vt:variant>
        <vt:i4>2031664</vt:i4>
      </vt:variant>
      <vt:variant>
        <vt:i4>176</vt:i4>
      </vt:variant>
      <vt:variant>
        <vt:i4>0</vt:i4>
      </vt:variant>
      <vt:variant>
        <vt:i4>5</vt:i4>
      </vt:variant>
      <vt:variant>
        <vt:lpwstr/>
      </vt:variant>
      <vt:variant>
        <vt:lpwstr>_Toc286123622</vt:lpwstr>
      </vt:variant>
      <vt:variant>
        <vt:i4>2031664</vt:i4>
      </vt:variant>
      <vt:variant>
        <vt:i4>170</vt:i4>
      </vt:variant>
      <vt:variant>
        <vt:i4>0</vt:i4>
      </vt:variant>
      <vt:variant>
        <vt:i4>5</vt:i4>
      </vt:variant>
      <vt:variant>
        <vt:lpwstr/>
      </vt:variant>
      <vt:variant>
        <vt:lpwstr>_Toc286123620</vt:lpwstr>
      </vt:variant>
      <vt:variant>
        <vt:i4>1835056</vt:i4>
      </vt:variant>
      <vt:variant>
        <vt:i4>164</vt:i4>
      </vt:variant>
      <vt:variant>
        <vt:i4>0</vt:i4>
      </vt:variant>
      <vt:variant>
        <vt:i4>5</vt:i4>
      </vt:variant>
      <vt:variant>
        <vt:lpwstr/>
      </vt:variant>
      <vt:variant>
        <vt:lpwstr>_Toc286123613</vt:lpwstr>
      </vt:variant>
      <vt:variant>
        <vt:i4>1835056</vt:i4>
      </vt:variant>
      <vt:variant>
        <vt:i4>158</vt:i4>
      </vt:variant>
      <vt:variant>
        <vt:i4>0</vt:i4>
      </vt:variant>
      <vt:variant>
        <vt:i4>5</vt:i4>
      </vt:variant>
      <vt:variant>
        <vt:lpwstr/>
      </vt:variant>
      <vt:variant>
        <vt:lpwstr>_Toc286123612</vt:lpwstr>
      </vt:variant>
      <vt:variant>
        <vt:i4>1835056</vt:i4>
      </vt:variant>
      <vt:variant>
        <vt:i4>152</vt:i4>
      </vt:variant>
      <vt:variant>
        <vt:i4>0</vt:i4>
      </vt:variant>
      <vt:variant>
        <vt:i4>5</vt:i4>
      </vt:variant>
      <vt:variant>
        <vt:lpwstr/>
      </vt:variant>
      <vt:variant>
        <vt:lpwstr>_Toc286123611</vt:lpwstr>
      </vt:variant>
      <vt:variant>
        <vt:i4>1835056</vt:i4>
      </vt:variant>
      <vt:variant>
        <vt:i4>146</vt:i4>
      </vt:variant>
      <vt:variant>
        <vt:i4>0</vt:i4>
      </vt:variant>
      <vt:variant>
        <vt:i4>5</vt:i4>
      </vt:variant>
      <vt:variant>
        <vt:lpwstr/>
      </vt:variant>
      <vt:variant>
        <vt:lpwstr>_Toc286123610</vt:lpwstr>
      </vt:variant>
      <vt:variant>
        <vt:i4>1900592</vt:i4>
      </vt:variant>
      <vt:variant>
        <vt:i4>140</vt:i4>
      </vt:variant>
      <vt:variant>
        <vt:i4>0</vt:i4>
      </vt:variant>
      <vt:variant>
        <vt:i4>5</vt:i4>
      </vt:variant>
      <vt:variant>
        <vt:lpwstr/>
      </vt:variant>
      <vt:variant>
        <vt:lpwstr>_Toc286123609</vt:lpwstr>
      </vt:variant>
      <vt:variant>
        <vt:i4>1900592</vt:i4>
      </vt:variant>
      <vt:variant>
        <vt:i4>134</vt:i4>
      </vt:variant>
      <vt:variant>
        <vt:i4>0</vt:i4>
      </vt:variant>
      <vt:variant>
        <vt:i4>5</vt:i4>
      </vt:variant>
      <vt:variant>
        <vt:lpwstr/>
      </vt:variant>
      <vt:variant>
        <vt:lpwstr>_Toc286123608</vt:lpwstr>
      </vt:variant>
      <vt:variant>
        <vt:i4>1900592</vt:i4>
      </vt:variant>
      <vt:variant>
        <vt:i4>128</vt:i4>
      </vt:variant>
      <vt:variant>
        <vt:i4>0</vt:i4>
      </vt:variant>
      <vt:variant>
        <vt:i4>5</vt:i4>
      </vt:variant>
      <vt:variant>
        <vt:lpwstr/>
      </vt:variant>
      <vt:variant>
        <vt:lpwstr>_Toc286123607</vt:lpwstr>
      </vt:variant>
      <vt:variant>
        <vt:i4>1900592</vt:i4>
      </vt:variant>
      <vt:variant>
        <vt:i4>122</vt:i4>
      </vt:variant>
      <vt:variant>
        <vt:i4>0</vt:i4>
      </vt:variant>
      <vt:variant>
        <vt:i4>5</vt:i4>
      </vt:variant>
      <vt:variant>
        <vt:lpwstr/>
      </vt:variant>
      <vt:variant>
        <vt:lpwstr>_Toc286123606</vt:lpwstr>
      </vt:variant>
      <vt:variant>
        <vt:i4>1900592</vt:i4>
      </vt:variant>
      <vt:variant>
        <vt:i4>116</vt:i4>
      </vt:variant>
      <vt:variant>
        <vt:i4>0</vt:i4>
      </vt:variant>
      <vt:variant>
        <vt:i4>5</vt:i4>
      </vt:variant>
      <vt:variant>
        <vt:lpwstr/>
      </vt:variant>
      <vt:variant>
        <vt:lpwstr>_Toc286123605</vt:lpwstr>
      </vt:variant>
      <vt:variant>
        <vt:i4>1900592</vt:i4>
      </vt:variant>
      <vt:variant>
        <vt:i4>110</vt:i4>
      </vt:variant>
      <vt:variant>
        <vt:i4>0</vt:i4>
      </vt:variant>
      <vt:variant>
        <vt:i4>5</vt:i4>
      </vt:variant>
      <vt:variant>
        <vt:lpwstr/>
      </vt:variant>
      <vt:variant>
        <vt:lpwstr>_Toc286123604</vt:lpwstr>
      </vt:variant>
      <vt:variant>
        <vt:i4>1900592</vt:i4>
      </vt:variant>
      <vt:variant>
        <vt:i4>104</vt:i4>
      </vt:variant>
      <vt:variant>
        <vt:i4>0</vt:i4>
      </vt:variant>
      <vt:variant>
        <vt:i4>5</vt:i4>
      </vt:variant>
      <vt:variant>
        <vt:lpwstr/>
      </vt:variant>
      <vt:variant>
        <vt:lpwstr>_Toc286123603</vt:lpwstr>
      </vt:variant>
      <vt:variant>
        <vt:i4>1900592</vt:i4>
      </vt:variant>
      <vt:variant>
        <vt:i4>98</vt:i4>
      </vt:variant>
      <vt:variant>
        <vt:i4>0</vt:i4>
      </vt:variant>
      <vt:variant>
        <vt:i4>5</vt:i4>
      </vt:variant>
      <vt:variant>
        <vt:lpwstr/>
      </vt:variant>
      <vt:variant>
        <vt:lpwstr>_Toc286123602</vt:lpwstr>
      </vt:variant>
      <vt:variant>
        <vt:i4>1310771</vt:i4>
      </vt:variant>
      <vt:variant>
        <vt:i4>92</vt:i4>
      </vt:variant>
      <vt:variant>
        <vt:i4>0</vt:i4>
      </vt:variant>
      <vt:variant>
        <vt:i4>5</vt:i4>
      </vt:variant>
      <vt:variant>
        <vt:lpwstr/>
      </vt:variant>
      <vt:variant>
        <vt:lpwstr>_Toc286123593</vt:lpwstr>
      </vt:variant>
      <vt:variant>
        <vt:i4>1310771</vt:i4>
      </vt:variant>
      <vt:variant>
        <vt:i4>86</vt:i4>
      </vt:variant>
      <vt:variant>
        <vt:i4>0</vt:i4>
      </vt:variant>
      <vt:variant>
        <vt:i4>5</vt:i4>
      </vt:variant>
      <vt:variant>
        <vt:lpwstr/>
      </vt:variant>
      <vt:variant>
        <vt:lpwstr>_Toc286123592</vt:lpwstr>
      </vt:variant>
      <vt:variant>
        <vt:i4>1310771</vt:i4>
      </vt:variant>
      <vt:variant>
        <vt:i4>80</vt:i4>
      </vt:variant>
      <vt:variant>
        <vt:i4>0</vt:i4>
      </vt:variant>
      <vt:variant>
        <vt:i4>5</vt:i4>
      </vt:variant>
      <vt:variant>
        <vt:lpwstr/>
      </vt:variant>
      <vt:variant>
        <vt:lpwstr>_Toc286123591</vt:lpwstr>
      </vt:variant>
      <vt:variant>
        <vt:i4>1310771</vt:i4>
      </vt:variant>
      <vt:variant>
        <vt:i4>74</vt:i4>
      </vt:variant>
      <vt:variant>
        <vt:i4>0</vt:i4>
      </vt:variant>
      <vt:variant>
        <vt:i4>5</vt:i4>
      </vt:variant>
      <vt:variant>
        <vt:lpwstr/>
      </vt:variant>
      <vt:variant>
        <vt:lpwstr>_Toc286123590</vt:lpwstr>
      </vt:variant>
      <vt:variant>
        <vt:i4>1376307</vt:i4>
      </vt:variant>
      <vt:variant>
        <vt:i4>68</vt:i4>
      </vt:variant>
      <vt:variant>
        <vt:i4>0</vt:i4>
      </vt:variant>
      <vt:variant>
        <vt:i4>5</vt:i4>
      </vt:variant>
      <vt:variant>
        <vt:lpwstr/>
      </vt:variant>
      <vt:variant>
        <vt:lpwstr>_Toc286123589</vt:lpwstr>
      </vt:variant>
      <vt:variant>
        <vt:i4>1376307</vt:i4>
      </vt:variant>
      <vt:variant>
        <vt:i4>62</vt:i4>
      </vt:variant>
      <vt:variant>
        <vt:i4>0</vt:i4>
      </vt:variant>
      <vt:variant>
        <vt:i4>5</vt:i4>
      </vt:variant>
      <vt:variant>
        <vt:lpwstr/>
      </vt:variant>
      <vt:variant>
        <vt:lpwstr>_Toc286123588</vt:lpwstr>
      </vt:variant>
      <vt:variant>
        <vt:i4>1376307</vt:i4>
      </vt:variant>
      <vt:variant>
        <vt:i4>56</vt:i4>
      </vt:variant>
      <vt:variant>
        <vt:i4>0</vt:i4>
      </vt:variant>
      <vt:variant>
        <vt:i4>5</vt:i4>
      </vt:variant>
      <vt:variant>
        <vt:lpwstr/>
      </vt:variant>
      <vt:variant>
        <vt:lpwstr>_Toc286123587</vt:lpwstr>
      </vt:variant>
      <vt:variant>
        <vt:i4>1376307</vt:i4>
      </vt:variant>
      <vt:variant>
        <vt:i4>50</vt:i4>
      </vt:variant>
      <vt:variant>
        <vt:i4>0</vt:i4>
      </vt:variant>
      <vt:variant>
        <vt:i4>5</vt:i4>
      </vt:variant>
      <vt:variant>
        <vt:lpwstr/>
      </vt:variant>
      <vt:variant>
        <vt:lpwstr>_Toc286123586</vt:lpwstr>
      </vt:variant>
      <vt:variant>
        <vt:i4>1376307</vt:i4>
      </vt:variant>
      <vt:variant>
        <vt:i4>44</vt:i4>
      </vt:variant>
      <vt:variant>
        <vt:i4>0</vt:i4>
      </vt:variant>
      <vt:variant>
        <vt:i4>5</vt:i4>
      </vt:variant>
      <vt:variant>
        <vt:lpwstr/>
      </vt:variant>
      <vt:variant>
        <vt:lpwstr>_Toc286123585</vt:lpwstr>
      </vt:variant>
      <vt:variant>
        <vt:i4>1376307</vt:i4>
      </vt:variant>
      <vt:variant>
        <vt:i4>38</vt:i4>
      </vt:variant>
      <vt:variant>
        <vt:i4>0</vt:i4>
      </vt:variant>
      <vt:variant>
        <vt:i4>5</vt:i4>
      </vt:variant>
      <vt:variant>
        <vt:lpwstr/>
      </vt:variant>
      <vt:variant>
        <vt:lpwstr>_Toc286123584</vt:lpwstr>
      </vt:variant>
      <vt:variant>
        <vt:i4>1376307</vt:i4>
      </vt:variant>
      <vt:variant>
        <vt:i4>32</vt:i4>
      </vt:variant>
      <vt:variant>
        <vt:i4>0</vt:i4>
      </vt:variant>
      <vt:variant>
        <vt:i4>5</vt:i4>
      </vt:variant>
      <vt:variant>
        <vt:lpwstr/>
      </vt:variant>
      <vt:variant>
        <vt:lpwstr>_Toc286123583</vt:lpwstr>
      </vt:variant>
      <vt:variant>
        <vt:i4>1376307</vt:i4>
      </vt:variant>
      <vt:variant>
        <vt:i4>26</vt:i4>
      </vt:variant>
      <vt:variant>
        <vt:i4>0</vt:i4>
      </vt:variant>
      <vt:variant>
        <vt:i4>5</vt:i4>
      </vt:variant>
      <vt:variant>
        <vt:lpwstr/>
      </vt:variant>
      <vt:variant>
        <vt:lpwstr>_Toc286123582</vt:lpwstr>
      </vt:variant>
      <vt:variant>
        <vt:i4>1376307</vt:i4>
      </vt:variant>
      <vt:variant>
        <vt:i4>20</vt:i4>
      </vt:variant>
      <vt:variant>
        <vt:i4>0</vt:i4>
      </vt:variant>
      <vt:variant>
        <vt:i4>5</vt:i4>
      </vt:variant>
      <vt:variant>
        <vt:lpwstr/>
      </vt:variant>
      <vt:variant>
        <vt:lpwstr>_Toc286123581</vt:lpwstr>
      </vt:variant>
      <vt:variant>
        <vt:i4>1376307</vt:i4>
      </vt:variant>
      <vt:variant>
        <vt:i4>14</vt:i4>
      </vt:variant>
      <vt:variant>
        <vt:i4>0</vt:i4>
      </vt:variant>
      <vt:variant>
        <vt:i4>5</vt:i4>
      </vt:variant>
      <vt:variant>
        <vt:lpwstr/>
      </vt:variant>
      <vt:variant>
        <vt:lpwstr>_Toc286123580</vt:lpwstr>
      </vt:variant>
      <vt:variant>
        <vt:i4>1703987</vt:i4>
      </vt:variant>
      <vt:variant>
        <vt:i4>8</vt:i4>
      </vt:variant>
      <vt:variant>
        <vt:i4>0</vt:i4>
      </vt:variant>
      <vt:variant>
        <vt:i4>5</vt:i4>
      </vt:variant>
      <vt:variant>
        <vt:lpwstr/>
      </vt:variant>
      <vt:variant>
        <vt:lpwstr>_Toc286123579</vt:lpwstr>
      </vt:variant>
      <vt:variant>
        <vt:i4>1703987</vt:i4>
      </vt:variant>
      <vt:variant>
        <vt:i4>2</vt:i4>
      </vt:variant>
      <vt:variant>
        <vt:i4>0</vt:i4>
      </vt:variant>
      <vt:variant>
        <vt:i4>5</vt:i4>
      </vt:variant>
      <vt:variant>
        <vt:lpwstr/>
      </vt:variant>
      <vt:variant>
        <vt:lpwstr>_Toc286123578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BGras</dc:creator>
  <cp:lastModifiedBy>LaShayla Logan</cp:lastModifiedBy>
  <cp:revision>2</cp:revision>
  <cp:lastPrinted>2011-03-01T22:51:00Z</cp:lastPrinted>
  <dcterms:created xsi:type="dcterms:W3CDTF">2011-10-13T19:02:00Z</dcterms:created>
  <dcterms:modified xsi:type="dcterms:W3CDTF">2011-10-13T19:02:00Z</dcterms:modified>
</cp:coreProperties>
</file>