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FFC36" w14:textId="27DAF1A4" w:rsidR="00A14104" w:rsidRPr="005E73D2" w:rsidRDefault="009621C2" w:rsidP="00BF285B">
      <w:pPr>
        <w:contextualSpacing/>
        <w:jc w:val="center"/>
        <w:rPr>
          <w:b/>
          <w:sz w:val="32"/>
          <w:szCs w:val="32"/>
          <w:u w:val="single"/>
        </w:rPr>
      </w:pPr>
      <w:r w:rsidRPr="005E73D2">
        <w:rPr>
          <w:b/>
          <w:i/>
          <w:sz w:val="32"/>
          <w:szCs w:val="32"/>
        </w:rPr>
        <w:t xml:space="preserve">Information </w:t>
      </w:r>
      <w:r w:rsidR="00C447BA" w:rsidRPr="005E73D2">
        <w:rPr>
          <w:b/>
          <w:i/>
          <w:sz w:val="32"/>
          <w:szCs w:val="32"/>
        </w:rPr>
        <w:t>about</w:t>
      </w:r>
      <w:r w:rsidR="007C10E6" w:rsidRPr="005E73D2">
        <w:rPr>
          <w:b/>
          <w:i/>
          <w:sz w:val="32"/>
          <w:szCs w:val="32"/>
        </w:rPr>
        <w:t xml:space="preserve"> the Technology Action Group (TAG) Model and How to Participate</w:t>
      </w:r>
    </w:p>
    <w:p w14:paraId="64BA48DD" w14:textId="77777777" w:rsidR="00A14104" w:rsidRDefault="00A14104" w:rsidP="00A14104">
      <w:pPr>
        <w:contextualSpacing/>
        <w:rPr>
          <w:b/>
          <w:i/>
          <w:sz w:val="24"/>
          <w:szCs w:val="24"/>
        </w:rPr>
      </w:pPr>
    </w:p>
    <w:p w14:paraId="4324C76F" w14:textId="00EB7A2A" w:rsidR="00A14104" w:rsidRPr="00A14104" w:rsidRDefault="009621C2" w:rsidP="00A14104">
      <w:pPr>
        <w:contextualSpacing/>
        <w:rPr>
          <w:sz w:val="24"/>
          <w:szCs w:val="24"/>
        </w:rPr>
      </w:pPr>
      <w:r w:rsidRPr="00A34B6F">
        <w:rPr>
          <w:b/>
          <w:i/>
          <w:sz w:val="24"/>
          <w:szCs w:val="24"/>
        </w:rPr>
        <w:t>What is a TAG</w:t>
      </w:r>
      <w:r w:rsidR="00C80AB0" w:rsidRPr="00A34B6F">
        <w:rPr>
          <w:b/>
          <w:i/>
          <w:sz w:val="24"/>
          <w:szCs w:val="24"/>
        </w:rPr>
        <w:t>?</w:t>
      </w:r>
    </w:p>
    <w:p w14:paraId="2D330579" w14:textId="77777777" w:rsidR="00A14104" w:rsidRDefault="00A14104" w:rsidP="00A14104">
      <w:pPr>
        <w:contextualSpacing/>
        <w:rPr>
          <w:b/>
          <w:i/>
          <w:sz w:val="24"/>
          <w:szCs w:val="24"/>
        </w:rPr>
      </w:pPr>
    </w:p>
    <w:p w14:paraId="755C7433" w14:textId="6E1AF2E7" w:rsidR="00A14104" w:rsidRPr="006111E5" w:rsidRDefault="006111E5" w:rsidP="00A14104">
      <w:pPr>
        <w:contextualSpacing/>
        <w:rPr>
          <w:b/>
          <w:i/>
          <w:sz w:val="24"/>
          <w:szCs w:val="24"/>
        </w:rPr>
      </w:pPr>
      <w:r>
        <w:rPr>
          <w:sz w:val="24"/>
          <w:szCs w:val="24"/>
        </w:rPr>
        <w:t>A</w:t>
      </w:r>
      <w:r w:rsidRPr="006111E5">
        <w:rPr>
          <w:sz w:val="24"/>
          <w:szCs w:val="24"/>
        </w:rPr>
        <w:t xml:space="preserve"> </w:t>
      </w:r>
      <w:r w:rsidR="009621C2" w:rsidRPr="006111E5">
        <w:rPr>
          <w:sz w:val="24"/>
          <w:szCs w:val="24"/>
        </w:rPr>
        <w:t xml:space="preserve">TAG </w:t>
      </w:r>
      <w:r>
        <w:rPr>
          <w:sz w:val="24"/>
          <w:szCs w:val="24"/>
        </w:rPr>
        <w:t>represents a voluntary opportunity to participate in</w:t>
      </w:r>
      <w:r w:rsidRPr="006111E5">
        <w:rPr>
          <w:sz w:val="24"/>
          <w:szCs w:val="24"/>
        </w:rPr>
        <w:t xml:space="preserve"> </w:t>
      </w:r>
      <w:r w:rsidR="009621C2" w:rsidRPr="006111E5">
        <w:rPr>
          <w:sz w:val="24"/>
          <w:szCs w:val="24"/>
        </w:rPr>
        <w:t xml:space="preserve">a learning and best practices model between </w:t>
      </w:r>
      <w:r w:rsidR="0069086D">
        <w:rPr>
          <w:sz w:val="24"/>
          <w:szCs w:val="24"/>
        </w:rPr>
        <w:t>the State Energy Program (</w:t>
      </w:r>
      <w:r w:rsidR="009621C2" w:rsidRPr="006111E5">
        <w:rPr>
          <w:sz w:val="24"/>
          <w:szCs w:val="24"/>
        </w:rPr>
        <w:t>SEP</w:t>
      </w:r>
      <w:r w:rsidR="0069086D">
        <w:rPr>
          <w:sz w:val="24"/>
          <w:szCs w:val="24"/>
        </w:rPr>
        <w:t>)</w:t>
      </w:r>
      <w:r w:rsidR="009621C2" w:rsidRPr="006111E5">
        <w:rPr>
          <w:sz w:val="24"/>
          <w:szCs w:val="24"/>
        </w:rPr>
        <w:t xml:space="preserve"> and the 56 State Energy Offices (SEOs) of the states, territories and the District of Columbia</w:t>
      </w:r>
      <w:r w:rsidR="005A2FCE">
        <w:rPr>
          <w:sz w:val="24"/>
          <w:szCs w:val="24"/>
        </w:rPr>
        <w:t xml:space="preserve"> (hereinafter “states”)</w:t>
      </w:r>
      <w:r w:rsidR="005A2FCE">
        <w:rPr>
          <w:rStyle w:val="FootnoteReference"/>
          <w:sz w:val="24"/>
          <w:szCs w:val="24"/>
        </w:rPr>
        <w:footnoteReference w:id="1"/>
      </w:r>
      <w:r w:rsidR="009621C2" w:rsidRPr="006111E5">
        <w:rPr>
          <w:sz w:val="24"/>
          <w:szCs w:val="24"/>
        </w:rPr>
        <w:t>. TAG</w:t>
      </w:r>
      <w:r w:rsidR="00067767">
        <w:rPr>
          <w:sz w:val="24"/>
          <w:szCs w:val="24"/>
        </w:rPr>
        <w:t>s</w:t>
      </w:r>
      <w:r w:rsidR="009621C2" w:rsidRPr="006111E5">
        <w:rPr>
          <w:sz w:val="24"/>
          <w:szCs w:val="24"/>
        </w:rPr>
        <w:t xml:space="preserve"> </w:t>
      </w:r>
      <w:r w:rsidR="00067767">
        <w:rPr>
          <w:sz w:val="24"/>
          <w:szCs w:val="24"/>
        </w:rPr>
        <w:t>are</w:t>
      </w:r>
      <w:r w:rsidR="00067767" w:rsidRPr="006111E5">
        <w:rPr>
          <w:sz w:val="24"/>
          <w:szCs w:val="24"/>
        </w:rPr>
        <w:t xml:space="preserve"> </w:t>
      </w:r>
      <w:r w:rsidR="009621C2" w:rsidRPr="006111E5">
        <w:rPr>
          <w:sz w:val="24"/>
          <w:szCs w:val="24"/>
        </w:rPr>
        <w:t xml:space="preserve">voluntary and established as a pilot initiative for PY21 through PY22. </w:t>
      </w:r>
      <w:r w:rsidR="00716075">
        <w:rPr>
          <w:sz w:val="24"/>
          <w:szCs w:val="24"/>
        </w:rPr>
        <w:t xml:space="preserve">Through </w:t>
      </w:r>
      <w:r w:rsidR="00067767">
        <w:rPr>
          <w:sz w:val="24"/>
          <w:szCs w:val="24"/>
        </w:rPr>
        <w:t xml:space="preserve">participation in </w:t>
      </w:r>
      <w:r w:rsidR="00716075">
        <w:rPr>
          <w:sz w:val="24"/>
          <w:szCs w:val="24"/>
        </w:rPr>
        <w:t xml:space="preserve">a TAG, </w:t>
      </w:r>
      <w:r w:rsidR="005A2FCE">
        <w:rPr>
          <w:sz w:val="24"/>
          <w:szCs w:val="24"/>
        </w:rPr>
        <w:t>states</w:t>
      </w:r>
      <w:r w:rsidR="00716075">
        <w:rPr>
          <w:sz w:val="24"/>
          <w:szCs w:val="24"/>
        </w:rPr>
        <w:t xml:space="preserve"> will</w:t>
      </w:r>
      <w:r w:rsidR="009C19B0">
        <w:rPr>
          <w:sz w:val="24"/>
          <w:szCs w:val="24"/>
        </w:rPr>
        <w:t xml:space="preserve"> have the opportunity to</w:t>
      </w:r>
      <w:r w:rsidR="00A14104" w:rsidRPr="006111E5">
        <w:rPr>
          <w:sz w:val="24"/>
          <w:szCs w:val="24"/>
        </w:rPr>
        <w:t>:</w:t>
      </w:r>
    </w:p>
    <w:p w14:paraId="76E2BD0A" w14:textId="435E34B2" w:rsidR="00A14104" w:rsidRDefault="00A14104" w:rsidP="00A14104">
      <w:pPr>
        <w:pStyle w:val="ListParagraph"/>
        <w:numPr>
          <w:ilvl w:val="1"/>
          <w:numId w:val="9"/>
        </w:numPr>
        <w:spacing w:after="160" w:line="254" w:lineRule="auto"/>
        <w:contextualSpacing/>
        <w:rPr>
          <w:sz w:val="24"/>
          <w:szCs w:val="24"/>
        </w:rPr>
      </w:pPr>
      <w:r>
        <w:rPr>
          <w:sz w:val="24"/>
          <w:szCs w:val="24"/>
        </w:rPr>
        <w:t>Coordinate efforts on the</w:t>
      </w:r>
      <w:r w:rsidR="00411888">
        <w:rPr>
          <w:sz w:val="24"/>
          <w:szCs w:val="24"/>
        </w:rPr>
        <w:t xml:space="preserve"> TAG </w:t>
      </w:r>
      <w:r>
        <w:rPr>
          <w:sz w:val="24"/>
          <w:szCs w:val="24"/>
        </w:rPr>
        <w:t>topic</w:t>
      </w:r>
      <w:r w:rsidR="009C19B0">
        <w:rPr>
          <w:sz w:val="24"/>
          <w:szCs w:val="24"/>
        </w:rPr>
        <w:t xml:space="preserve"> of their choice</w:t>
      </w:r>
      <w:r>
        <w:rPr>
          <w:sz w:val="24"/>
          <w:szCs w:val="24"/>
        </w:rPr>
        <w:t>;</w:t>
      </w:r>
      <w:r w:rsidR="009C19B0">
        <w:rPr>
          <w:sz w:val="24"/>
          <w:szCs w:val="24"/>
        </w:rPr>
        <w:t xml:space="preserve"> and</w:t>
      </w:r>
    </w:p>
    <w:p w14:paraId="737B13DA" w14:textId="6BAD7140" w:rsidR="00A14104" w:rsidRDefault="00A14104" w:rsidP="00A14104">
      <w:pPr>
        <w:pStyle w:val="ListParagraph"/>
        <w:numPr>
          <w:ilvl w:val="1"/>
          <w:numId w:val="9"/>
        </w:numPr>
        <w:spacing w:after="160" w:line="254" w:lineRule="auto"/>
        <w:contextualSpacing/>
        <w:rPr>
          <w:sz w:val="24"/>
          <w:szCs w:val="24"/>
        </w:rPr>
      </w:pPr>
      <w:r>
        <w:rPr>
          <w:sz w:val="24"/>
          <w:szCs w:val="24"/>
        </w:rPr>
        <w:t xml:space="preserve">Receive technical assistance from SEP (through a </w:t>
      </w:r>
      <w:r w:rsidR="0069086D">
        <w:rPr>
          <w:sz w:val="24"/>
          <w:szCs w:val="24"/>
        </w:rPr>
        <w:t>n</w:t>
      </w:r>
      <w:r>
        <w:rPr>
          <w:sz w:val="24"/>
          <w:szCs w:val="24"/>
        </w:rPr>
        <w:t xml:space="preserve">ational </w:t>
      </w:r>
      <w:r w:rsidR="0069086D">
        <w:rPr>
          <w:sz w:val="24"/>
          <w:szCs w:val="24"/>
        </w:rPr>
        <w:t>l</w:t>
      </w:r>
      <w:r>
        <w:rPr>
          <w:sz w:val="24"/>
          <w:szCs w:val="24"/>
        </w:rPr>
        <w:t>ab</w:t>
      </w:r>
      <w:r w:rsidR="0069086D">
        <w:rPr>
          <w:sz w:val="24"/>
          <w:szCs w:val="24"/>
        </w:rPr>
        <w:t>oratory</w:t>
      </w:r>
      <w:r>
        <w:rPr>
          <w:sz w:val="24"/>
          <w:szCs w:val="24"/>
        </w:rPr>
        <w:t xml:space="preserve"> or other provider) on the topic, thus increasing the impact of </w:t>
      </w:r>
      <w:r w:rsidR="006E6D51">
        <w:rPr>
          <w:sz w:val="24"/>
          <w:szCs w:val="24"/>
        </w:rPr>
        <w:t>states</w:t>
      </w:r>
      <w:r>
        <w:rPr>
          <w:sz w:val="24"/>
          <w:szCs w:val="24"/>
        </w:rPr>
        <w:t xml:space="preserve">’ formula work. </w:t>
      </w:r>
    </w:p>
    <w:p w14:paraId="04CFDB2C" w14:textId="6D8374B7" w:rsidR="009621C2" w:rsidRDefault="009621C2" w:rsidP="00B00C0F">
      <w:pPr>
        <w:contextualSpacing/>
        <w:rPr>
          <w:sz w:val="24"/>
          <w:szCs w:val="24"/>
        </w:rPr>
      </w:pPr>
      <w:r>
        <w:rPr>
          <w:sz w:val="24"/>
          <w:szCs w:val="24"/>
        </w:rPr>
        <w:t xml:space="preserve">Through discussions with </w:t>
      </w:r>
      <w:r w:rsidR="006E6D51">
        <w:rPr>
          <w:sz w:val="24"/>
          <w:szCs w:val="24"/>
        </w:rPr>
        <w:t>states</w:t>
      </w:r>
      <w:r>
        <w:rPr>
          <w:sz w:val="24"/>
          <w:szCs w:val="24"/>
        </w:rPr>
        <w:t xml:space="preserve">, SEP has identified three topics </w:t>
      </w:r>
      <w:r w:rsidR="00B00C0F" w:rsidRPr="00B00C0F">
        <w:rPr>
          <w:sz w:val="24"/>
          <w:szCs w:val="24"/>
        </w:rPr>
        <w:t>to wh</w:t>
      </w:r>
      <w:r>
        <w:rPr>
          <w:sz w:val="24"/>
          <w:szCs w:val="24"/>
        </w:rPr>
        <w:t>ich states may</w:t>
      </w:r>
      <w:r w:rsidR="00B00C0F" w:rsidRPr="00B00C0F">
        <w:rPr>
          <w:sz w:val="24"/>
          <w:szCs w:val="24"/>
        </w:rPr>
        <w:t xml:space="preserve"> dedicate a portion of their SEP formula funds (which would include covering related </w:t>
      </w:r>
      <w:r w:rsidR="006E6D51">
        <w:rPr>
          <w:sz w:val="24"/>
          <w:szCs w:val="24"/>
        </w:rPr>
        <w:t>state</w:t>
      </w:r>
      <w:r w:rsidR="00B00C0F" w:rsidRPr="00B00C0F">
        <w:rPr>
          <w:sz w:val="24"/>
          <w:szCs w:val="24"/>
        </w:rPr>
        <w:t xml:space="preserve"> staff salaries, </w:t>
      </w:r>
      <w:r>
        <w:rPr>
          <w:sz w:val="24"/>
          <w:szCs w:val="24"/>
        </w:rPr>
        <w:t>benefits, indirect</w:t>
      </w:r>
      <w:r w:rsidR="002444C9">
        <w:rPr>
          <w:sz w:val="24"/>
          <w:szCs w:val="24"/>
        </w:rPr>
        <w:t xml:space="preserve"> costs</w:t>
      </w:r>
      <w:r>
        <w:rPr>
          <w:sz w:val="24"/>
          <w:szCs w:val="24"/>
        </w:rPr>
        <w:t>, and travel) in order to participate in a TAG</w:t>
      </w:r>
      <w:r w:rsidR="00CF05AB">
        <w:rPr>
          <w:sz w:val="24"/>
          <w:szCs w:val="24"/>
        </w:rPr>
        <w:t>. The three topics are:</w:t>
      </w:r>
    </w:p>
    <w:p w14:paraId="3517E8D9" w14:textId="77777777" w:rsidR="009621C2" w:rsidRDefault="009621C2" w:rsidP="00B00C0F">
      <w:pPr>
        <w:contextualSpacing/>
        <w:rPr>
          <w:sz w:val="24"/>
          <w:szCs w:val="24"/>
        </w:rPr>
      </w:pPr>
    </w:p>
    <w:p w14:paraId="563A6EA8" w14:textId="77777777" w:rsidR="009C19B0" w:rsidRPr="000D5318" w:rsidRDefault="009C19B0" w:rsidP="009C19B0">
      <w:pPr>
        <w:numPr>
          <w:ilvl w:val="0"/>
          <w:numId w:val="10"/>
        </w:numPr>
        <w:contextualSpacing/>
        <w:rPr>
          <w:sz w:val="24"/>
          <w:szCs w:val="24"/>
          <w:u w:val="single"/>
        </w:rPr>
      </w:pPr>
      <w:r w:rsidRPr="000D5318">
        <w:rPr>
          <w:sz w:val="24"/>
          <w:szCs w:val="24"/>
          <w:u w:val="single"/>
        </w:rPr>
        <w:t>Managing peak demand with energy storage</w:t>
      </w:r>
    </w:p>
    <w:p w14:paraId="1AB3F741" w14:textId="67219481" w:rsidR="009C19B0" w:rsidRDefault="006E6D51" w:rsidP="00C447BA">
      <w:pPr>
        <w:ind w:left="720"/>
        <w:contextualSpacing/>
        <w:rPr>
          <w:sz w:val="24"/>
          <w:szCs w:val="24"/>
        </w:rPr>
      </w:pPr>
      <w:r>
        <w:rPr>
          <w:sz w:val="24"/>
          <w:szCs w:val="24"/>
        </w:rPr>
        <w:t>States</w:t>
      </w:r>
      <w:r w:rsidR="009C19B0" w:rsidRPr="001A761A">
        <w:rPr>
          <w:sz w:val="24"/>
          <w:szCs w:val="24"/>
        </w:rPr>
        <w:t xml:space="preserve"> collaborate on studies or projects to determine the level of energy storage necessary to reduce the amount of additional energy reserve input needed during peak demand.</w:t>
      </w:r>
    </w:p>
    <w:p w14:paraId="0AFF421C" w14:textId="77777777" w:rsidR="005570B6" w:rsidRPr="001A761A" w:rsidRDefault="005570B6" w:rsidP="005570B6">
      <w:pPr>
        <w:numPr>
          <w:ilvl w:val="1"/>
          <w:numId w:val="10"/>
        </w:numPr>
        <w:ind w:left="720"/>
        <w:contextualSpacing/>
        <w:rPr>
          <w:sz w:val="24"/>
          <w:szCs w:val="24"/>
        </w:rPr>
      </w:pPr>
    </w:p>
    <w:p w14:paraId="05213263" w14:textId="77777777" w:rsidR="009C19B0" w:rsidRPr="000D5318" w:rsidRDefault="009C19B0" w:rsidP="009C19B0">
      <w:pPr>
        <w:numPr>
          <w:ilvl w:val="0"/>
          <w:numId w:val="10"/>
        </w:numPr>
        <w:contextualSpacing/>
        <w:rPr>
          <w:sz w:val="24"/>
          <w:szCs w:val="24"/>
          <w:u w:val="single"/>
        </w:rPr>
      </w:pPr>
      <w:r w:rsidRPr="000D5318">
        <w:rPr>
          <w:sz w:val="24"/>
          <w:szCs w:val="24"/>
          <w:u w:val="single"/>
        </w:rPr>
        <w:t>Onsite energy systems at critical facilities</w:t>
      </w:r>
    </w:p>
    <w:p w14:paraId="6596B529" w14:textId="7D97F29A" w:rsidR="009C19B0" w:rsidRDefault="009C19B0" w:rsidP="00C447BA">
      <w:pPr>
        <w:ind w:left="720"/>
        <w:contextualSpacing/>
        <w:rPr>
          <w:sz w:val="24"/>
          <w:szCs w:val="24"/>
        </w:rPr>
      </w:pPr>
      <w:r w:rsidRPr="001A761A">
        <w:rPr>
          <w:sz w:val="24"/>
          <w:szCs w:val="24"/>
        </w:rPr>
        <w:t>States work together to develop plans for onsite energy systems that can power critical facilities during grid outages and normal operation using lab-designed tools.</w:t>
      </w:r>
    </w:p>
    <w:p w14:paraId="4942F442" w14:textId="77777777" w:rsidR="005570B6" w:rsidRPr="001A761A" w:rsidRDefault="005570B6" w:rsidP="005570B6">
      <w:pPr>
        <w:numPr>
          <w:ilvl w:val="1"/>
          <w:numId w:val="10"/>
        </w:numPr>
        <w:ind w:left="720"/>
        <w:contextualSpacing/>
        <w:rPr>
          <w:sz w:val="24"/>
          <w:szCs w:val="24"/>
        </w:rPr>
      </w:pPr>
    </w:p>
    <w:p w14:paraId="61B0E4BF" w14:textId="0FFDEB48" w:rsidR="009C19B0" w:rsidRPr="000D5318" w:rsidRDefault="009C19B0" w:rsidP="009C19B0">
      <w:pPr>
        <w:numPr>
          <w:ilvl w:val="0"/>
          <w:numId w:val="10"/>
        </w:numPr>
        <w:contextualSpacing/>
        <w:rPr>
          <w:sz w:val="24"/>
          <w:szCs w:val="24"/>
          <w:u w:val="single"/>
        </w:rPr>
      </w:pPr>
      <w:r w:rsidRPr="000D5318">
        <w:rPr>
          <w:sz w:val="24"/>
          <w:szCs w:val="24"/>
          <w:u w:val="single"/>
        </w:rPr>
        <w:t>Main Street revitalization</w:t>
      </w:r>
    </w:p>
    <w:p w14:paraId="5A446115" w14:textId="0E4AF4CE" w:rsidR="009C19B0" w:rsidRPr="001A761A" w:rsidRDefault="006E6D51" w:rsidP="005570B6">
      <w:pPr>
        <w:ind w:left="720"/>
        <w:contextualSpacing/>
        <w:rPr>
          <w:sz w:val="24"/>
          <w:szCs w:val="24"/>
        </w:rPr>
      </w:pPr>
      <w:r>
        <w:rPr>
          <w:sz w:val="24"/>
          <w:szCs w:val="24"/>
        </w:rPr>
        <w:t>States</w:t>
      </w:r>
      <w:r w:rsidR="009C19B0" w:rsidRPr="001A761A">
        <w:rPr>
          <w:sz w:val="24"/>
          <w:szCs w:val="24"/>
        </w:rPr>
        <w:t xml:space="preserve"> work together to identify successful strategies for targeting Main Street communities and small businesses to stimulate local energy efficiency projects performed by local professionals that reduce energy bills.</w:t>
      </w:r>
    </w:p>
    <w:p w14:paraId="22B19C88" w14:textId="77777777" w:rsidR="009621C2" w:rsidRDefault="009621C2" w:rsidP="00B00C0F">
      <w:pPr>
        <w:contextualSpacing/>
        <w:rPr>
          <w:sz w:val="24"/>
          <w:szCs w:val="24"/>
        </w:rPr>
      </w:pPr>
    </w:p>
    <w:p w14:paraId="114BE961" w14:textId="12F793A7" w:rsidR="00C80AB0" w:rsidRPr="00A34B6F" w:rsidRDefault="00C80AB0" w:rsidP="00B00C0F">
      <w:pPr>
        <w:contextualSpacing/>
        <w:rPr>
          <w:b/>
          <w:i/>
          <w:sz w:val="24"/>
          <w:szCs w:val="24"/>
        </w:rPr>
      </w:pPr>
      <w:r w:rsidRPr="00A34B6F">
        <w:rPr>
          <w:b/>
          <w:i/>
          <w:sz w:val="24"/>
          <w:szCs w:val="24"/>
        </w:rPr>
        <w:t>What are Benefits to Participating in a TAG?</w:t>
      </w:r>
    </w:p>
    <w:p w14:paraId="0AC4B151" w14:textId="77777777" w:rsidR="00160108" w:rsidRDefault="00160108" w:rsidP="00B00C0F">
      <w:pPr>
        <w:contextualSpacing/>
        <w:rPr>
          <w:sz w:val="24"/>
          <w:szCs w:val="24"/>
        </w:rPr>
      </w:pPr>
    </w:p>
    <w:p w14:paraId="66A902B2" w14:textId="6C9E3170" w:rsidR="00FB7638" w:rsidRPr="00FB7638" w:rsidRDefault="00FB7638" w:rsidP="00FB7638">
      <w:pPr>
        <w:contextualSpacing/>
        <w:rPr>
          <w:sz w:val="24"/>
          <w:szCs w:val="24"/>
        </w:rPr>
      </w:pPr>
      <w:r w:rsidRPr="00FB7638">
        <w:rPr>
          <w:sz w:val="24"/>
          <w:szCs w:val="24"/>
        </w:rPr>
        <w:t xml:space="preserve">By participating, </w:t>
      </w:r>
      <w:r w:rsidR="006E6D51">
        <w:rPr>
          <w:sz w:val="24"/>
          <w:szCs w:val="24"/>
        </w:rPr>
        <w:t>states</w:t>
      </w:r>
      <w:r w:rsidRPr="00FB7638">
        <w:rPr>
          <w:sz w:val="24"/>
          <w:szCs w:val="24"/>
        </w:rPr>
        <w:t xml:space="preserve"> will </w:t>
      </w:r>
      <w:r w:rsidRPr="009C19B0">
        <w:rPr>
          <w:sz w:val="24"/>
          <w:szCs w:val="24"/>
        </w:rPr>
        <w:t>receive</w:t>
      </w:r>
      <w:r w:rsidRPr="00FB7638">
        <w:rPr>
          <w:sz w:val="24"/>
          <w:szCs w:val="24"/>
        </w:rPr>
        <w:t>:</w:t>
      </w:r>
    </w:p>
    <w:p w14:paraId="7CD94406" w14:textId="5F9E9DE9" w:rsidR="00FB7638" w:rsidRPr="00FB7638" w:rsidRDefault="00FB7638" w:rsidP="00FB7638">
      <w:pPr>
        <w:pStyle w:val="ListParagraph"/>
        <w:numPr>
          <w:ilvl w:val="0"/>
          <w:numId w:val="4"/>
        </w:numPr>
        <w:contextualSpacing/>
        <w:rPr>
          <w:sz w:val="24"/>
          <w:szCs w:val="24"/>
        </w:rPr>
      </w:pPr>
      <w:r w:rsidRPr="00FB7638">
        <w:rPr>
          <w:sz w:val="24"/>
          <w:szCs w:val="24"/>
        </w:rPr>
        <w:t xml:space="preserve">Technical and programmatic assistance from SEP, </w:t>
      </w:r>
      <w:r w:rsidR="0069086D">
        <w:rPr>
          <w:sz w:val="24"/>
          <w:szCs w:val="24"/>
        </w:rPr>
        <w:t>n</w:t>
      </w:r>
      <w:r w:rsidRPr="00FB7638">
        <w:rPr>
          <w:sz w:val="24"/>
          <w:szCs w:val="24"/>
        </w:rPr>
        <w:t xml:space="preserve">ational </w:t>
      </w:r>
      <w:r w:rsidR="0069086D">
        <w:rPr>
          <w:sz w:val="24"/>
          <w:szCs w:val="24"/>
        </w:rPr>
        <w:t>l</w:t>
      </w:r>
      <w:r w:rsidR="0069086D" w:rsidRPr="00FB7638">
        <w:rPr>
          <w:sz w:val="24"/>
          <w:szCs w:val="24"/>
        </w:rPr>
        <w:t>ab</w:t>
      </w:r>
      <w:r w:rsidR="0069086D">
        <w:rPr>
          <w:sz w:val="24"/>
          <w:szCs w:val="24"/>
        </w:rPr>
        <w:t>oratories</w:t>
      </w:r>
      <w:r w:rsidRPr="00FB7638">
        <w:rPr>
          <w:sz w:val="24"/>
          <w:szCs w:val="24"/>
        </w:rPr>
        <w:t xml:space="preserve">, EERE </w:t>
      </w:r>
      <w:r w:rsidR="0069086D">
        <w:rPr>
          <w:sz w:val="24"/>
          <w:szCs w:val="24"/>
        </w:rPr>
        <w:t>T</w:t>
      </w:r>
      <w:r w:rsidRPr="00FB7638">
        <w:rPr>
          <w:sz w:val="24"/>
          <w:szCs w:val="24"/>
        </w:rPr>
        <w:t xml:space="preserve">echnology </w:t>
      </w:r>
      <w:r w:rsidR="0069086D">
        <w:rPr>
          <w:sz w:val="24"/>
          <w:szCs w:val="24"/>
        </w:rPr>
        <w:t>O</w:t>
      </w:r>
      <w:r w:rsidRPr="00FB7638">
        <w:rPr>
          <w:sz w:val="24"/>
          <w:szCs w:val="24"/>
        </w:rPr>
        <w:t xml:space="preserve">ffices and other providers, as </w:t>
      </w:r>
      <w:proofErr w:type="gramStart"/>
      <w:r w:rsidRPr="00FB7638">
        <w:rPr>
          <w:sz w:val="24"/>
          <w:szCs w:val="24"/>
        </w:rPr>
        <w:t>appropriate;</w:t>
      </w:r>
      <w:proofErr w:type="gramEnd"/>
    </w:p>
    <w:p w14:paraId="36139776" w14:textId="1CD881EB" w:rsidR="00FB7638" w:rsidRPr="00FB7638" w:rsidRDefault="009C19B0" w:rsidP="00FB7638">
      <w:pPr>
        <w:pStyle w:val="ListParagraph"/>
        <w:numPr>
          <w:ilvl w:val="0"/>
          <w:numId w:val="4"/>
        </w:numPr>
        <w:contextualSpacing/>
        <w:rPr>
          <w:sz w:val="24"/>
          <w:szCs w:val="24"/>
        </w:rPr>
      </w:pPr>
      <w:r>
        <w:rPr>
          <w:sz w:val="24"/>
          <w:szCs w:val="24"/>
        </w:rPr>
        <w:lastRenderedPageBreak/>
        <w:t>Opportunities for i</w:t>
      </w:r>
      <w:r w:rsidR="00FB7638" w:rsidRPr="00FB7638">
        <w:rPr>
          <w:sz w:val="24"/>
          <w:szCs w:val="24"/>
        </w:rPr>
        <w:t xml:space="preserve">nformation sharing and collaboration among four to nine other states with similar </w:t>
      </w:r>
      <w:proofErr w:type="gramStart"/>
      <w:r w:rsidR="00FB7638" w:rsidRPr="00FB7638">
        <w:rPr>
          <w:sz w:val="24"/>
          <w:szCs w:val="24"/>
        </w:rPr>
        <w:t>goals;</w:t>
      </w:r>
      <w:proofErr w:type="gramEnd"/>
    </w:p>
    <w:p w14:paraId="28A65852" w14:textId="0D934CFA" w:rsidR="00FB7638" w:rsidRPr="00FB7638" w:rsidRDefault="00FB7638" w:rsidP="00FB7638">
      <w:pPr>
        <w:pStyle w:val="ListParagraph"/>
        <w:numPr>
          <w:ilvl w:val="0"/>
          <w:numId w:val="4"/>
        </w:numPr>
        <w:contextualSpacing/>
        <w:rPr>
          <w:sz w:val="24"/>
          <w:szCs w:val="24"/>
        </w:rPr>
      </w:pPr>
      <w:r w:rsidRPr="00FB7638">
        <w:rPr>
          <w:sz w:val="24"/>
          <w:szCs w:val="24"/>
        </w:rPr>
        <w:t xml:space="preserve">Collective partnership, information, and collaboration among states and with US </w:t>
      </w:r>
      <w:proofErr w:type="gramStart"/>
      <w:r w:rsidRPr="00FB7638">
        <w:rPr>
          <w:sz w:val="24"/>
          <w:szCs w:val="24"/>
        </w:rPr>
        <w:t>DOE;</w:t>
      </w:r>
      <w:proofErr w:type="gramEnd"/>
    </w:p>
    <w:p w14:paraId="1096FC16" w14:textId="2288D8C8" w:rsidR="00FB7638" w:rsidRPr="00FB7638" w:rsidRDefault="00FB7638" w:rsidP="00FB7638">
      <w:pPr>
        <w:pStyle w:val="ListParagraph"/>
        <w:numPr>
          <w:ilvl w:val="0"/>
          <w:numId w:val="4"/>
        </w:numPr>
        <w:contextualSpacing/>
        <w:rPr>
          <w:sz w:val="24"/>
          <w:szCs w:val="24"/>
        </w:rPr>
      </w:pPr>
      <w:r w:rsidRPr="00FB7638">
        <w:rPr>
          <w:sz w:val="24"/>
          <w:szCs w:val="24"/>
        </w:rPr>
        <w:t xml:space="preserve">An opportunity to build upon the SEP Market Title Project to better describe the achievements in key areas by individual states and </w:t>
      </w:r>
      <w:proofErr w:type="gramStart"/>
      <w:r w:rsidRPr="00FB7638">
        <w:rPr>
          <w:sz w:val="24"/>
          <w:szCs w:val="24"/>
        </w:rPr>
        <w:t>territories;</w:t>
      </w:r>
      <w:proofErr w:type="gramEnd"/>
    </w:p>
    <w:p w14:paraId="0B51979C" w14:textId="4F974222" w:rsidR="00FB7638" w:rsidRPr="00FB7638" w:rsidRDefault="00FB7638" w:rsidP="00FB7638">
      <w:pPr>
        <w:pStyle w:val="ListParagraph"/>
        <w:numPr>
          <w:ilvl w:val="0"/>
          <w:numId w:val="4"/>
        </w:numPr>
        <w:contextualSpacing/>
        <w:rPr>
          <w:sz w:val="24"/>
          <w:szCs w:val="24"/>
        </w:rPr>
      </w:pPr>
      <w:r w:rsidRPr="00FB7638">
        <w:rPr>
          <w:sz w:val="24"/>
          <w:szCs w:val="24"/>
        </w:rPr>
        <w:t>A collective set of success stories developed based on the TAG results; and</w:t>
      </w:r>
    </w:p>
    <w:p w14:paraId="08CAD2BC" w14:textId="0C2046C2" w:rsidR="00FB7638" w:rsidRDefault="00FB7638" w:rsidP="00FB7638">
      <w:pPr>
        <w:pStyle w:val="ListParagraph"/>
        <w:numPr>
          <w:ilvl w:val="0"/>
          <w:numId w:val="4"/>
        </w:numPr>
        <w:contextualSpacing/>
        <w:rPr>
          <w:sz w:val="24"/>
          <w:szCs w:val="24"/>
        </w:rPr>
      </w:pPr>
      <w:r w:rsidRPr="00FB7638">
        <w:rPr>
          <w:sz w:val="24"/>
          <w:szCs w:val="24"/>
        </w:rPr>
        <w:t>An opportunity to assist U</w:t>
      </w:r>
      <w:r w:rsidR="0069086D">
        <w:rPr>
          <w:sz w:val="24"/>
          <w:szCs w:val="24"/>
        </w:rPr>
        <w:t>.</w:t>
      </w:r>
      <w:r w:rsidRPr="00FB7638">
        <w:rPr>
          <w:sz w:val="24"/>
          <w:szCs w:val="24"/>
        </w:rPr>
        <w:t>S</w:t>
      </w:r>
      <w:r w:rsidR="0069086D">
        <w:rPr>
          <w:sz w:val="24"/>
          <w:szCs w:val="24"/>
        </w:rPr>
        <w:t>.</w:t>
      </w:r>
      <w:r w:rsidRPr="00FB7638">
        <w:rPr>
          <w:sz w:val="24"/>
          <w:szCs w:val="24"/>
        </w:rPr>
        <w:t xml:space="preserve"> DOE and </w:t>
      </w:r>
      <w:r w:rsidR="006E6D51">
        <w:rPr>
          <w:sz w:val="24"/>
          <w:szCs w:val="24"/>
        </w:rPr>
        <w:t>states</w:t>
      </w:r>
      <w:r w:rsidRPr="00FB7638">
        <w:rPr>
          <w:sz w:val="24"/>
          <w:szCs w:val="24"/>
        </w:rPr>
        <w:t xml:space="preserve"> in communicating the value of SEP and the </w:t>
      </w:r>
      <w:r w:rsidR="006E6D51">
        <w:rPr>
          <w:sz w:val="24"/>
          <w:szCs w:val="24"/>
        </w:rPr>
        <w:t>states</w:t>
      </w:r>
      <w:r w:rsidRPr="00FB7638">
        <w:rPr>
          <w:sz w:val="24"/>
          <w:szCs w:val="24"/>
        </w:rPr>
        <w:t xml:space="preserve"> in advancing priority areas.</w:t>
      </w:r>
    </w:p>
    <w:p w14:paraId="7C7FD09A" w14:textId="77777777" w:rsidR="00160108" w:rsidRPr="00160108" w:rsidRDefault="00160108" w:rsidP="00B00C0F">
      <w:pPr>
        <w:contextualSpacing/>
        <w:rPr>
          <w:sz w:val="24"/>
          <w:szCs w:val="24"/>
        </w:rPr>
      </w:pPr>
    </w:p>
    <w:p w14:paraId="241789C1" w14:textId="164BF874" w:rsidR="00224D3E" w:rsidRPr="00A34B6F" w:rsidRDefault="009621C2" w:rsidP="00B00C0F">
      <w:pPr>
        <w:contextualSpacing/>
        <w:rPr>
          <w:b/>
          <w:sz w:val="24"/>
          <w:szCs w:val="24"/>
        </w:rPr>
      </w:pPr>
      <w:r w:rsidRPr="00A34B6F">
        <w:rPr>
          <w:b/>
          <w:i/>
          <w:sz w:val="24"/>
          <w:szCs w:val="24"/>
        </w:rPr>
        <w:t>How Does a State Participate?</w:t>
      </w:r>
    </w:p>
    <w:p w14:paraId="7B874404" w14:textId="77777777" w:rsidR="00160108" w:rsidRDefault="00160108" w:rsidP="00B00C0F">
      <w:pPr>
        <w:contextualSpacing/>
        <w:rPr>
          <w:sz w:val="24"/>
          <w:szCs w:val="24"/>
        </w:rPr>
      </w:pPr>
    </w:p>
    <w:p w14:paraId="360C742D" w14:textId="77777777" w:rsidR="00224D3E" w:rsidRDefault="00224D3E" w:rsidP="00B00C0F">
      <w:pPr>
        <w:contextualSpacing/>
        <w:rPr>
          <w:sz w:val="24"/>
          <w:szCs w:val="24"/>
        </w:rPr>
      </w:pPr>
      <w:r>
        <w:rPr>
          <w:sz w:val="24"/>
          <w:szCs w:val="24"/>
        </w:rPr>
        <w:t>In order to participate, a state must do the following:</w:t>
      </w:r>
    </w:p>
    <w:p w14:paraId="16D1ABA1" w14:textId="120E88CF" w:rsidR="00224D3E" w:rsidRDefault="00224D3E" w:rsidP="00105D83">
      <w:pPr>
        <w:pStyle w:val="ListParagraph"/>
        <w:numPr>
          <w:ilvl w:val="0"/>
          <w:numId w:val="2"/>
        </w:numPr>
        <w:spacing w:after="240"/>
        <w:contextualSpacing/>
        <w:rPr>
          <w:sz w:val="24"/>
          <w:szCs w:val="24"/>
        </w:rPr>
      </w:pPr>
      <w:r>
        <w:rPr>
          <w:sz w:val="24"/>
          <w:szCs w:val="24"/>
        </w:rPr>
        <w:t xml:space="preserve">Pick </w:t>
      </w:r>
      <w:r>
        <w:rPr>
          <w:b/>
          <w:sz w:val="24"/>
          <w:szCs w:val="24"/>
        </w:rPr>
        <w:t>ONE</w:t>
      </w:r>
      <w:r>
        <w:rPr>
          <w:sz w:val="24"/>
          <w:szCs w:val="24"/>
        </w:rPr>
        <w:t xml:space="preserve"> of the three TAG topics. States may only participate in one TAG though they may choose to be observers</w:t>
      </w:r>
      <w:r w:rsidR="009C19B0">
        <w:rPr>
          <w:rStyle w:val="FootnoteReference"/>
          <w:sz w:val="24"/>
          <w:szCs w:val="24"/>
        </w:rPr>
        <w:footnoteReference w:id="2"/>
      </w:r>
      <w:r>
        <w:rPr>
          <w:sz w:val="24"/>
          <w:szCs w:val="24"/>
        </w:rPr>
        <w:t xml:space="preserve"> in </w:t>
      </w:r>
      <w:r w:rsidR="00360231">
        <w:rPr>
          <w:sz w:val="24"/>
          <w:szCs w:val="24"/>
        </w:rPr>
        <w:t xml:space="preserve">a </w:t>
      </w:r>
      <w:r>
        <w:rPr>
          <w:sz w:val="24"/>
          <w:szCs w:val="24"/>
        </w:rPr>
        <w:t>TAG</w:t>
      </w:r>
      <w:r w:rsidR="00360231">
        <w:rPr>
          <w:sz w:val="24"/>
          <w:szCs w:val="24"/>
        </w:rPr>
        <w:t xml:space="preserve"> of their choice</w:t>
      </w:r>
      <w:r>
        <w:rPr>
          <w:sz w:val="24"/>
          <w:szCs w:val="24"/>
        </w:rPr>
        <w:t>.</w:t>
      </w:r>
    </w:p>
    <w:p w14:paraId="04B20BB2" w14:textId="72C15A1A" w:rsidR="00224D3E" w:rsidRPr="00224D3E" w:rsidRDefault="00224D3E" w:rsidP="00224D3E">
      <w:pPr>
        <w:pStyle w:val="ListParagraph"/>
        <w:numPr>
          <w:ilvl w:val="0"/>
          <w:numId w:val="2"/>
        </w:numPr>
        <w:contextualSpacing/>
        <w:rPr>
          <w:sz w:val="24"/>
          <w:szCs w:val="24"/>
        </w:rPr>
      </w:pPr>
      <w:r>
        <w:rPr>
          <w:sz w:val="24"/>
          <w:szCs w:val="24"/>
        </w:rPr>
        <w:t>Dedicate a portion of a state’s formula funds</w:t>
      </w:r>
      <w:r>
        <w:rPr>
          <w:rStyle w:val="FootnoteReference"/>
          <w:sz w:val="24"/>
          <w:szCs w:val="24"/>
        </w:rPr>
        <w:footnoteReference w:id="3"/>
      </w:r>
      <w:r>
        <w:rPr>
          <w:sz w:val="24"/>
          <w:szCs w:val="24"/>
        </w:rPr>
        <w:t xml:space="preserve"> to the TAG topic</w:t>
      </w:r>
      <w:r w:rsidR="00E71FBA">
        <w:rPr>
          <w:sz w:val="24"/>
          <w:szCs w:val="24"/>
        </w:rPr>
        <w:t xml:space="preserve"> in </w:t>
      </w:r>
      <w:r w:rsidR="00B672E6">
        <w:rPr>
          <w:sz w:val="24"/>
          <w:szCs w:val="24"/>
        </w:rPr>
        <w:t>P</w:t>
      </w:r>
      <w:r w:rsidR="00E71FBA">
        <w:rPr>
          <w:sz w:val="24"/>
          <w:szCs w:val="24"/>
        </w:rPr>
        <w:t>Y21</w:t>
      </w:r>
      <w:r>
        <w:rPr>
          <w:sz w:val="24"/>
          <w:szCs w:val="24"/>
        </w:rPr>
        <w:t>. The</w:t>
      </w:r>
      <w:r w:rsidRPr="00224D3E">
        <w:rPr>
          <w:sz w:val="24"/>
          <w:szCs w:val="24"/>
        </w:rPr>
        <w:t xml:space="preserve"> </w:t>
      </w:r>
      <w:r w:rsidRPr="0011606E">
        <w:rPr>
          <w:sz w:val="24"/>
          <w:szCs w:val="24"/>
        </w:rPr>
        <w:t>minimum funding requirement</w:t>
      </w:r>
      <w:r w:rsidRPr="00224D3E">
        <w:rPr>
          <w:sz w:val="24"/>
          <w:szCs w:val="24"/>
        </w:rPr>
        <w:t xml:space="preserve"> is:</w:t>
      </w:r>
    </w:p>
    <w:p w14:paraId="3D7754BA" w14:textId="77777777" w:rsidR="00224D3E" w:rsidRDefault="00224D3E" w:rsidP="00224D3E">
      <w:pPr>
        <w:pStyle w:val="ListParagraph"/>
        <w:numPr>
          <w:ilvl w:val="1"/>
          <w:numId w:val="2"/>
        </w:numPr>
        <w:contextualSpacing/>
        <w:rPr>
          <w:sz w:val="24"/>
          <w:szCs w:val="24"/>
        </w:rPr>
      </w:pPr>
      <w:r>
        <w:rPr>
          <w:sz w:val="24"/>
          <w:szCs w:val="24"/>
        </w:rPr>
        <w:t>1% of the state’s formula funding allocation; or</w:t>
      </w:r>
    </w:p>
    <w:p w14:paraId="25FA2BBA" w14:textId="77777777" w:rsidR="00224D3E" w:rsidRDefault="00224D3E" w:rsidP="00224D3E">
      <w:pPr>
        <w:pStyle w:val="ListParagraph"/>
        <w:numPr>
          <w:ilvl w:val="1"/>
          <w:numId w:val="2"/>
        </w:numPr>
        <w:contextualSpacing/>
        <w:rPr>
          <w:sz w:val="24"/>
          <w:szCs w:val="24"/>
        </w:rPr>
      </w:pPr>
      <w:r>
        <w:rPr>
          <w:sz w:val="24"/>
          <w:szCs w:val="24"/>
        </w:rPr>
        <w:t>$10,000, whichever is greater.</w:t>
      </w:r>
    </w:p>
    <w:p w14:paraId="096C5557" w14:textId="3AFA9CCE" w:rsidR="00224D3E" w:rsidRDefault="001662D7" w:rsidP="00224D3E">
      <w:pPr>
        <w:pStyle w:val="ListParagraph"/>
        <w:numPr>
          <w:ilvl w:val="0"/>
          <w:numId w:val="2"/>
        </w:numPr>
        <w:contextualSpacing/>
        <w:rPr>
          <w:sz w:val="24"/>
          <w:szCs w:val="24"/>
        </w:rPr>
      </w:pPr>
      <w:r>
        <w:rPr>
          <w:sz w:val="24"/>
          <w:szCs w:val="24"/>
        </w:rPr>
        <w:t xml:space="preserve">Make a commitment </w:t>
      </w:r>
      <w:r w:rsidR="00224D3E">
        <w:rPr>
          <w:sz w:val="24"/>
          <w:szCs w:val="24"/>
        </w:rPr>
        <w:t>to</w:t>
      </w:r>
      <w:r w:rsidR="00E71FBA">
        <w:rPr>
          <w:sz w:val="24"/>
          <w:szCs w:val="24"/>
        </w:rPr>
        <w:t xml:space="preserve"> the following for the two-year duration of the TAG:</w:t>
      </w:r>
    </w:p>
    <w:p w14:paraId="2C9D5016" w14:textId="4C5B48C4" w:rsidR="00FB5468" w:rsidRDefault="00224D3E" w:rsidP="00FB5468">
      <w:pPr>
        <w:pStyle w:val="ListParagraph"/>
        <w:numPr>
          <w:ilvl w:val="1"/>
          <w:numId w:val="2"/>
        </w:numPr>
        <w:contextualSpacing/>
        <w:rPr>
          <w:sz w:val="24"/>
          <w:szCs w:val="24"/>
        </w:rPr>
      </w:pPr>
      <w:r>
        <w:rPr>
          <w:sz w:val="24"/>
          <w:szCs w:val="24"/>
        </w:rPr>
        <w:t>P</w:t>
      </w:r>
      <w:r w:rsidRPr="00224D3E">
        <w:rPr>
          <w:sz w:val="24"/>
          <w:szCs w:val="24"/>
        </w:rPr>
        <w:t xml:space="preserve">articipate in development and execution of the </w:t>
      </w:r>
      <w:proofErr w:type="gramStart"/>
      <w:r w:rsidRPr="00224D3E">
        <w:rPr>
          <w:sz w:val="24"/>
          <w:szCs w:val="24"/>
        </w:rPr>
        <w:t>TAG</w:t>
      </w:r>
      <w:r w:rsidR="00E44FD3">
        <w:rPr>
          <w:sz w:val="24"/>
          <w:szCs w:val="24"/>
        </w:rPr>
        <w:t>;</w:t>
      </w:r>
      <w:proofErr w:type="gramEnd"/>
    </w:p>
    <w:p w14:paraId="137FF84F" w14:textId="65035C52" w:rsidR="00FB5468" w:rsidRPr="00FB5468" w:rsidRDefault="00FB5468" w:rsidP="00FB5468">
      <w:pPr>
        <w:pStyle w:val="ListParagraph"/>
        <w:numPr>
          <w:ilvl w:val="1"/>
          <w:numId w:val="2"/>
        </w:numPr>
        <w:contextualSpacing/>
        <w:rPr>
          <w:sz w:val="24"/>
          <w:szCs w:val="24"/>
        </w:rPr>
      </w:pPr>
      <w:r w:rsidRPr="00FB5468">
        <w:rPr>
          <w:sz w:val="24"/>
          <w:szCs w:val="24"/>
        </w:rPr>
        <w:t xml:space="preserve">Actively participate in TAG </w:t>
      </w:r>
      <w:proofErr w:type="gramStart"/>
      <w:r w:rsidRPr="00FB5468">
        <w:rPr>
          <w:sz w:val="24"/>
          <w:szCs w:val="24"/>
        </w:rPr>
        <w:t>discussions</w:t>
      </w:r>
      <w:r w:rsidR="00E44FD3">
        <w:rPr>
          <w:sz w:val="24"/>
          <w:szCs w:val="24"/>
        </w:rPr>
        <w:t>;</w:t>
      </w:r>
      <w:proofErr w:type="gramEnd"/>
    </w:p>
    <w:p w14:paraId="133B86CD" w14:textId="2357FC0B" w:rsidR="00AA7B22" w:rsidRDefault="00224D3E" w:rsidP="00AA7B22">
      <w:pPr>
        <w:pStyle w:val="ListParagraph"/>
        <w:numPr>
          <w:ilvl w:val="1"/>
          <w:numId w:val="2"/>
        </w:numPr>
        <w:contextualSpacing/>
        <w:rPr>
          <w:sz w:val="24"/>
          <w:szCs w:val="24"/>
        </w:rPr>
      </w:pPr>
      <w:r>
        <w:rPr>
          <w:sz w:val="24"/>
          <w:szCs w:val="24"/>
        </w:rPr>
        <w:t>T</w:t>
      </w:r>
      <w:r w:rsidRPr="00224D3E">
        <w:rPr>
          <w:sz w:val="24"/>
          <w:szCs w:val="24"/>
        </w:rPr>
        <w:t>rack</w:t>
      </w:r>
      <w:r w:rsidR="00FB5468">
        <w:rPr>
          <w:sz w:val="24"/>
          <w:szCs w:val="24"/>
        </w:rPr>
        <w:t xml:space="preserve"> and report</w:t>
      </w:r>
      <w:r w:rsidRPr="00224D3E">
        <w:rPr>
          <w:sz w:val="24"/>
          <w:szCs w:val="24"/>
        </w:rPr>
        <w:t xml:space="preserve"> staff time spent on the TAG to accurately quantify SEP formula investment in a TAG </w:t>
      </w:r>
      <w:proofErr w:type="gramStart"/>
      <w:r w:rsidRPr="00224D3E">
        <w:rPr>
          <w:sz w:val="24"/>
          <w:szCs w:val="24"/>
        </w:rPr>
        <w:t>topic</w:t>
      </w:r>
      <w:r w:rsidR="00AA7B22">
        <w:rPr>
          <w:sz w:val="24"/>
          <w:szCs w:val="24"/>
        </w:rPr>
        <w:t>;</w:t>
      </w:r>
      <w:proofErr w:type="gramEnd"/>
      <w:r w:rsidR="00AA7B22">
        <w:rPr>
          <w:sz w:val="24"/>
          <w:szCs w:val="24"/>
        </w:rPr>
        <w:t xml:space="preserve"> </w:t>
      </w:r>
    </w:p>
    <w:p w14:paraId="6DAF2556" w14:textId="7E1A3670" w:rsidR="00224D3E" w:rsidRDefault="00AA7B22" w:rsidP="00AA7B22">
      <w:pPr>
        <w:pStyle w:val="ListParagraph"/>
        <w:numPr>
          <w:ilvl w:val="1"/>
          <w:numId w:val="2"/>
        </w:numPr>
        <w:contextualSpacing/>
        <w:rPr>
          <w:sz w:val="24"/>
          <w:szCs w:val="24"/>
        </w:rPr>
      </w:pPr>
      <w:r>
        <w:rPr>
          <w:sz w:val="24"/>
          <w:szCs w:val="24"/>
        </w:rPr>
        <w:t>T</w:t>
      </w:r>
      <w:r w:rsidR="00224D3E" w:rsidRPr="00AA7B22">
        <w:rPr>
          <w:sz w:val="24"/>
          <w:szCs w:val="24"/>
        </w:rPr>
        <w:t>rack</w:t>
      </w:r>
      <w:r w:rsidR="00FB5468">
        <w:rPr>
          <w:sz w:val="24"/>
          <w:szCs w:val="24"/>
        </w:rPr>
        <w:t xml:space="preserve"> and report</w:t>
      </w:r>
      <w:r w:rsidR="00224D3E" w:rsidRPr="00AA7B22">
        <w:rPr>
          <w:sz w:val="24"/>
          <w:szCs w:val="24"/>
        </w:rPr>
        <w:t xml:space="preserve"> progress towards TAG goals</w:t>
      </w:r>
      <w:r w:rsidR="00FB5468">
        <w:rPr>
          <w:sz w:val="24"/>
          <w:szCs w:val="24"/>
        </w:rPr>
        <w:t xml:space="preserve"> – </w:t>
      </w:r>
      <w:proofErr w:type="gramStart"/>
      <w:r w:rsidR="00FB5468">
        <w:rPr>
          <w:sz w:val="24"/>
          <w:szCs w:val="24"/>
        </w:rPr>
        <w:t>e.g.</w:t>
      </w:r>
      <w:proofErr w:type="gramEnd"/>
      <w:r w:rsidR="00FB5468">
        <w:rPr>
          <w:sz w:val="24"/>
          <w:szCs w:val="24"/>
        </w:rPr>
        <w:t xml:space="preserve"> milestones, metrics</w:t>
      </w:r>
      <w:r w:rsidR="00E44FD3">
        <w:rPr>
          <w:sz w:val="24"/>
          <w:szCs w:val="24"/>
        </w:rPr>
        <w:t>; and</w:t>
      </w:r>
    </w:p>
    <w:p w14:paraId="510D6F70" w14:textId="5648FE30" w:rsidR="00FB5468" w:rsidRDefault="00FB5468" w:rsidP="00AA7B22">
      <w:pPr>
        <w:pStyle w:val="ListParagraph"/>
        <w:numPr>
          <w:ilvl w:val="1"/>
          <w:numId w:val="2"/>
        </w:numPr>
        <w:contextualSpacing/>
        <w:rPr>
          <w:sz w:val="24"/>
          <w:szCs w:val="24"/>
        </w:rPr>
      </w:pPr>
      <w:r>
        <w:rPr>
          <w:sz w:val="24"/>
          <w:szCs w:val="24"/>
        </w:rPr>
        <w:t>Share lessons learned.</w:t>
      </w:r>
    </w:p>
    <w:p w14:paraId="0512B582" w14:textId="3D454DDB" w:rsidR="00416F12" w:rsidRPr="00AA7B22" w:rsidRDefault="00416F12" w:rsidP="00416F12">
      <w:pPr>
        <w:pStyle w:val="ListParagraph"/>
        <w:numPr>
          <w:ilvl w:val="0"/>
          <w:numId w:val="2"/>
        </w:numPr>
        <w:contextualSpacing/>
        <w:rPr>
          <w:sz w:val="24"/>
          <w:szCs w:val="24"/>
        </w:rPr>
      </w:pPr>
      <w:r>
        <w:rPr>
          <w:sz w:val="24"/>
          <w:szCs w:val="24"/>
        </w:rPr>
        <w:t xml:space="preserve">Complete the </w:t>
      </w:r>
      <w:r w:rsidR="006E6D51">
        <w:rPr>
          <w:sz w:val="24"/>
          <w:szCs w:val="24"/>
        </w:rPr>
        <w:t>state</w:t>
      </w:r>
      <w:r>
        <w:rPr>
          <w:sz w:val="24"/>
          <w:szCs w:val="24"/>
        </w:rPr>
        <w:t xml:space="preserve"> commitment letter </w:t>
      </w:r>
      <w:r w:rsidR="00B672E6">
        <w:rPr>
          <w:sz w:val="24"/>
          <w:szCs w:val="24"/>
        </w:rPr>
        <w:t xml:space="preserve">agreeing to </w:t>
      </w:r>
      <w:r>
        <w:rPr>
          <w:sz w:val="24"/>
          <w:szCs w:val="24"/>
        </w:rPr>
        <w:t>the above items (see last page).</w:t>
      </w:r>
    </w:p>
    <w:p w14:paraId="73383D4A" w14:textId="77777777" w:rsidR="00AA7B22" w:rsidRDefault="00AA7B22" w:rsidP="00B00C0F">
      <w:pPr>
        <w:contextualSpacing/>
        <w:rPr>
          <w:sz w:val="24"/>
          <w:szCs w:val="24"/>
        </w:rPr>
      </w:pPr>
    </w:p>
    <w:p w14:paraId="73743511" w14:textId="77777777" w:rsidR="00454583" w:rsidRPr="00A34B6F" w:rsidRDefault="00454583" w:rsidP="00454583">
      <w:pPr>
        <w:contextualSpacing/>
        <w:rPr>
          <w:b/>
          <w:sz w:val="24"/>
          <w:szCs w:val="24"/>
        </w:rPr>
      </w:pPr>
      <w:r w:rsidRPr="00A34B6F">
        <w:rPr>
          <w:b/>
          <w:i/>
          <w:sz w:val="24"/>
          <w:szCs w:val="24"/>
        </w:rPr>
        <w:t>How Will SEP Form TAGs?</w:t>
      </w:r>
    </w:p>
    <w:p w14:paraId="4C24C4B0" w14:textId="26C890EC" w:rsidR="00454583" w:rsidRDefault="00454583" w:rsidP="00454583">
      <w:pPr>
        <w:pStyle w:val="ListParagraph"/>
        <w:numPr>
          <w:ilvl w:val="0"/>
          <w:numId w:val="5"/>
        </w:numPr>
        <w:contextualSpacing/>
        <w:rPr>
          <w:sz w:val="24"/>
          <w:szCs w:val="24"/>
        </w:rPr>
      </w:pPr>
      <w:r>
        <w:rPr>
          <w:sz w:val="24"/>
          <w:szCs w:val="24"/>
        </w:rPr>
        <w:t xml:space="preserve">SEP will review </w:t>
      </w:r>
      <w:r w:rsidR="006E6D51">
        <w:rPr>
          <w:sz w:val="24"/>
          <w:szCs w:val="24"/>
        </w:rPr>
        <w:t>states</w:t>
      </w:r>
      <w:r>
        <w:rPr>
          <w:sz w:val="24"/>
          <w:szCs w:val="24"/>
        </w:rPr>
        <w:t>’ TAG</w:t>
      </w:r>
      <w:r w:rsidR="00416F12">
        <w:rPr>
          <w:sz w:val="24"/>
          <w:szCs w:val="24"/>
        </w:rPr>
        <w:t xml:space="preserve"> topic</w:t>
      </w:r>
      <w:r>
        <w:rPr>
          <w:sz w:val="24"/>
          <w:szCs w:val="24"/>
        </w:rPr>
        <w:t xml:space="preserve"> selections to identify groups of states interested in each topic.</w:t>
      </w:r>
    </w:p>
    <w:p w14:paraId="399A62FD" w14:textId="776C675A" w:rsidR="00454583" w:rsidRDefault="00454583" w:rsidP="00454583">
      <w:pPr>
        <w:pStyle w:val="ListParagraph"/>
        <w:numPr>
          <w:ilvl w:val="0"/>
          <w:numId w:val="5"/>
        </w:numPr>
        <w:contextualSpacing/>
        <w:rPr>
          <w:sz w:val="24"/>
          <w:szCs w:val="24"/>
        </w:rPr>
      </w:pPr>
      <w:r>
        <w:rPr>
          <w:sz w:val="24"/>
          <w:szCs w:val="24"/>
        </w:rPr>
        <w:t>SEP</w:t>
      </w:r>
      <w:r w:rsidRPr="00581BFE">
        <w:rPr>
          <w:sz w:val="24"/>
          <w:szCs w:val="24"/>
        </w:rPr>
        <w:t xml:space="preserve"> will organize TAGs of no less than</w:t>
      </w:r>
      <w:r>
        <w:rPr>
          <w:sz w:val="24"/>
          <w:szCs w:val="24"/>
        </w:rPr>
        <w:t xml:space="preserve"> five and no more than 10 </w:t>
      </w:r>
      <w:r w:rsidR="006E6D51">
        <w:rPr>
          <w:sz w:val="24"/>
          <w:szCs w:val="24"/>
        </w:rPr>
        <w:t>states</w:t>
      </w:r>
      <w:r w:rsidRPr="00581BFE">
        <w:rPr>
          <w:sz w:val="24"/>
          <w:szCs w:val="24"/>
        </w:rPr>
        <w:t>.</w:t>
      </w:r>
    </w:p>
    <w:p w14:paraId="72D44F96" w14:textId="0D310249" w:rsidR="00454583" w:rsidRDefault="00454583" w:rsidP="00454583">
      <w:pPr>
        <w:pStyle w:val="ListParagraph"/>
        <w:numPr>
          <w:ilvl w:val="0"/>
          <w:numId w:val="5"/>
        </w:numPr>
        <w:contextualSpacing/>
        <w:rPr>
          <w:sz w:val="24"/>
          <w:szCs w:val="24"/>
        </w:rPr>
      </w:pPr>
      <w:r w:rsidRPr="00581BFE">
        <w:rPr>
          <w:sz w:val="24"/>
          <w:szCs w:val="24"/>
        </w:rPr>
        <w:t>If mor</w:t>
      </w:r>
      <w:r>
        <w:rPr>
          <w:sz w:val="24"/>
          <w:szCs w:val="24"/>
        </w:rPr>
        <w:t xml:space="preserve">e than 10 </w:t>
      </w:r>
      <w:r w:rsidR="006E6D51">
        <w:rPr>
          <w:sz w:val="24"/>
          <w:szCs w:val="24"/>
        </w:rPr>
        <w:t>states</w:t>
      </w:r>
      <w:r>
        <w:rPr>
          <w:sz w:val="24"/>
          <w:szCs w:val="24"/>
        </w:rPr>
        <w:t xml:space="preserve"> are interested, the </w:t>
      </w:r>
      <w:r w:rsidR="006E6D51">
        <w:rPr>
          <w:sz w:val="24"/>
          <w:szCs w:val="24"/>
        </w:rPr>
        <w:t>states</w:t>
      </w:r>
      <w:r w:rsidRPr="00581BFE">
        <w:rPr>
          <w:sz w:val="24"/>
          <w:szCs w:val="24"/>
        </w:rPr>
        <w:t xml:space="preserve"> will be divided into different subgroups so that there </w:t>
      </w:r>
      <w:r>
        <w:rPr>
          <w:sz w:val="24"/>
          <w:szCs w:val="24"/>
        </w:rPr>
        <w:t xml:space="preserve">is a manageable number of </w:t>
      </w:r>
      <w:r w:rsidR="006E6D51">
        <w:rPr>
          <w:sz w:val="24"/>
          <w:szCs w:val="24"/>
        </w:rPr>
        <w:t>states</w:t>
      </w:r>
      <w:r w:rsidRPr="00581BFE">
        <w:rPr>
          <w:sz w:val="24"/>
          <w:szCs w:val="24"/>
        </w:rPr>
        <w:t xml:space="preserve"> per group or subgroup.</w:t>
      </w:r>
    </w:p>
    <w:p w14:paraId="4F1F2A02" w14:textId="77777777" w:rsidR="000D5318" w:rsidRDefault="000D5318" w:rsidP="00B00C0F">
      <w:pPr>
        <w:contextualSpacing/>
        <w:rPr>
          <w:b/>
          <w:i/>
          <w:sz w:val="24"/>
          <w:szCs w:val="24"/>
        </w:rPr>
      </w:pPr>
    </w:p>
    <w:p w14:paraId="4F943332" w14:textId="1DB1F560" w:rsidR="00AA7B22" w:rsidRPr="00A34B6F" w:rsidRDefault="00AA7B22" w:rsidP="00B00C0F">
      <w:pPr>
        <w:contextualSpacing/>
        <w:rPr>
          <w:b/>
          <w:i/>
          <w:sz w:val="24"/>
          <w:szCs w:val="24"/>
        </w:rPr>
      </w:pPr>
      <w:r w:rsidRPr="00A34B6F">
        <w:rPr>
          <w:b/>
          <w:i/>
          <w:sz w:val="24"/>
          <w:szCs w:val="24"/>
        </w:rPr>
        <w:lastRenderedPageBreak/>
        <w:t>What Will SEP Provide</w:t>
      </w:r>
      <w:r w:rsidR="002500F9" w:rsidRPr="00A34B6F">
        <w:rPr>
          <w:b/>
          <w:i/>
          <w:sz w:val="24"/>
          <w:szCs w:val="24"/>
        </w:rPr>
        <w:t xml:space="preserve"> to States</w:t>
      </w:r>
      <w:r w:rsidR="00454583" w:rsidRPr="00A34B6F">
        <w:rPr>
          <w:b/>
          <w:i/>
          <w:sz w:val="24"/>
          <w:szCs w:val="24"/>
        </w:rPr>
        <w:t>?</w:t>
      </w:r>
    </w:p>
    <w:p w14:paraId="36D31C2F" w14:textId="77777777" w:rsidR="00160108" w:rsidRDefault="00160108" w:rsidP="00B00C0F">
      <w:pPr>
        <w:contextualSpacing/>
        <w:rPr>
          <w:sz w:val="24"/>
          <w:szCs w:val="24"/>
        </w:rPr>
      </w:pPr>
    </w:p>
    <w:p w14:paraId="4755AFA0" w14:textId="7D8B0A52" w:rsidR="00160108" w:rsidRDefault="00160108" w:rsidP="00B00C0F">
      <w:pPr>
        <w:contextualSpacing/>
        <w:rPr>
          <w:sz w:val="24"/>
          <w:szCs w:val="24"/>
        </w:rPr>
      </w:pPr>
      <w:r>
        <w:rPr>
          <w:sz w:val="24"/>
          <w:szCs w:val="24"/>
        </w:rPr>
        <w:t>SEP will</w:t>
      </w:r>
      <w:r w:rsidR="00B00C0F" w:rsidRPr="00B00C0F">
        <w:rPr>
          <w:sz w:val="24"/>
          <w:szCs w:val="24"/>
        </w:rPr>
        <w:t xml:space="preserve"> provide technical assistance (through a national lab, technology office, or other provider as appropriate) related to these topics. </w:t>
      </w:r>
      <w:r w:rsidRPr="00160108">
        <w:rPr>
          <w:sz w:val="24"/>
          <w:szCs w:val="24"/>
        </w:rPr>
        <w:t xml:space="preserve">SEP will </w:t>
      </w:r>
      <w:r>
        <w:rPr>
          <w:sz w:val="24"/>
          <w:szCs w:val="24"/>
        </w:rPr>
        <w:t xml:space="preserve">also </w:t>
      </w:r>
      <w:r w:rsidRPr="00160108">
        <w:rPr>
          <w:sz w:val="24"/>
          <w:szCs w:val="24"/>
        </w:rPr>
        <w:t>organize and manage the TAG calls, webinars, and aggregated reporting.</w:t>
      </w:r>
      <w:r w:rsidR="00454583">
        <w:rPr>
          <w:sz w:val="24"/>
          <w:szCs w:val="24"/>
        </w:rPr>
        <w:t xml:space="preserve"> </w:t>
      </w:r>
      <w:r w:rsidR="00454583" w:rsidRPr="00454583">
        <w:rPr>
          <w:sz w:val="24"/>
          <w:szCs w:val="24"/>
        </w:rPr>
        <w:t xml:space="preserve">SEP will provide opportunities for </w:t>
      </w:r>
      <w:r w:rsidR="006E6D51">
        <w:rPr>
          <w:sz w:val="24"/>
          <w:szCs w:val="24"/>
        </w:rPr>
        <w:t>states</w:t>
      </w:r>
      <w:r w:rsidR="00454583" w:rsidRPr="00454583">
        <w:rPr>
          <w:sz w:val="24"/>
          <w:szCs w:val="24"/>
        </w:rPr>
        <w:t xml:space="preserve"> to interact and consult with subject matter experts.</w:t>
      </w:r>
    </w:p>
    <w:p w14:paraId="1756F5B7" w14:textId="77777777" w:rsidR="00AD158B" w:rsidRDefault="00AD158B" w:rsidP="00B00C0F">
      <w:pPr>
        <w:contextualSpacing/>
        <w:rPr>
          <w:sz w:val="24"/>
          <w:szCs w:val="24"/>
        </w:rPr>
      </w:pPr>
    </w:p>
    <w:p w14:paraId="7E1D2D2B" w14:textId="3B5E58E9" w:rsidR="00AD158B" w:rsidRPr="00A34B6F" w:rsidRDefault="00AD158B" w:rsidP="00B00C0F">
      <w:pPr>
        <w:contextualSpacing/>
        <w:rPr>
          <w:b/>
          <w:i/>
          <w:sz w:val="24"/>
          <w:szCs w:val="24"/>
        </w:rPr>
      </w:pPr>
      <w:r w:rsidRPr="00A34B6F">
        <w:rPr>
          <w:b/>
          <w:i/>
          <w:sz w:val="24"/>
          <w:szCs w:val="24"/>
        </w:rPr>
        <w:t>What Does SEP Hope to Accomplish</w:t>
      </w:r>
      <w:r w:rsidR="00E71FBA">
        <w:rPr>
          <w:b/>
          <w:i/>
          <w:sz w:val="24"/>
          <w:szCs w:val="24"/>
        </w:rPr>
        <w:t xml:space="preserve"> with the TAGs</w:t>
      </w:r>
      <w:r w:rsidRPr="00A34B6F">
        <w:rPr>
          <w:b/>
          <w:i/>
          <w:sz w:val="24"/>
          <w:szCs w:val="24"/>
        </w:rPr>
        <w:t>?</w:t>
      </w:r>
    </w:p>
    <w:p w14:paraId="41F3DF35" w14:textId="77777777" w:rsidR="00160108" w:rsidRDefault="00160108" w:rsidP="00B00C0F">
      <w:pPr>
        <w:contextualSpacing/>
        <w:rPr>
          <w:sz w:val="24"/>
          <w:szCs w:val="24"/>
        </w:rPr>
      </w:pPr>
    </w:p>
    <w:p w14:paraId="79A1E2DD" w14:textId="5174EEEA" w:rsidR="00D16C32" w:rsidRDefault="00D16C32" w:rsidP="00B00C0F">
      <w:pPr>
        <w:contextualSpacing/>
        <w:rPr>
          <w:sz w:val="24"/>
          <w:szCs w:val="24"/>
        </w:rPr>
      </w:pPr>
      <w:r>
        <w:rPr>
          <w:sz w:val="24"/>
          <w:szCs w:val="24"/>
        </w:rPr>
        <w:t>SEP’</w:t>
      </w:r>
      <w:r w:rsidR="00454583">
        <w:rPr>
          <w:sz w:val="24"/>
          <w:szCs w:val="24"/>
        </w:rPr>
        <w:t>s goal</w:t>
      </w:r>
      <w:r w:rsidR="00FB5468">
        <w:rPr>
          <w:sz w:val="24"/>
          <w:szCs w:val="24"/>
        </w:rPr>
        <w:t>s</w:t>
      </w:r>
      <w:r>
        <w:rPr>
          <w:sz w:val="24"/>
          <w:szCs w:val="24"/>
        </w:rPr>
        <w:t xml:space="preserve"> for the TAGs </w:t>
      </w:r>
      <w:r w:rsidR="00FB5468">
        <w:rPr>
          <w:sz w:val="24"/>
          <w:szCs w:val="24"/>
        </w:rPr>
        <w:t xml:space="preserve">are </w:t>
      </w:r>
      <w:r>
        <w:rPr>
          <w:sz w:val="24"/>
          <w:szCs w:val="24"/>
        </w:rPr>
        <w:t>to demonstrate tangible progress towards metrics and goals related to the subject matter of the TAG and to communicate the value of SEP formula dollar funds in</w:t>
      </w:r>
      <w:r w:rsidR="002500F9">
        <w:rPr>
          <w:sz w:val="24"/>
          <w:szCs w:val="24"/>
        </w:rPr>
        <w:t>vested in</w:t>
      </w:r>
      <w:r>
        <w:rPr>
          <w:sz w:val="24"/>
          <w:szCs w:val="24"/>
        </w:rPr>
        <w:t xml:space="preserve"> the TAG topics. </w:t>
      </w:r>
    </w:p>
    <w:p w14:paraId="03C69DD6" w14:textId="77777777" w:rsidR="00D16C32" w:rsidRDefault="00D16C32" w:rsidP="00B00C0F">
      <w:pPr>
        <w:contextualSpacing/>
        <w:rPr>
          <w:sz w:val="24"/>
          <w:szCs w:val="24"/>
        </w:rPr>
      </w:pPr>
    </w:p>
    <w:p w14:paraId="7A0AF550" w14:textId="4636A2DD" w:rsidR="00F53124" w:rsidRPr="00A34B6F" w:rsidRDefault="00F53124" w:rsidP="00AD158B">
      <w:pPr>
        <w:rPr>
          <w:b/>
          <w:i/>
          <w:sz w:val="24"/>
          <w:szCs w:val="24"/>
        </w:rPr>
      </w:pPr>
      <w:r>
        <w:rPr>
          <w:sz w:val="24"/>
          <w:szCs w:val="24"/>
        </w:rPr>
        <w:tab/>
      </w:r>
      <w:r w:rsidRPr="00A34B6F">
        <w:rPr>
          <w:b/>
          <w:i/>
          <w:sz w:val="24"/>
          <w:szCs w:val="24"/>
        </w:rPr>
        <w:t>Metrics and Goals for the TAG</w:t>
      </w:r>
    </w:p>
    <w:p w14:paraId="7F67D011" w14:textId="1EC3F2AE" w:rsidR="00AD158B" w:rsidRDefault="00AD158B" w:rsidP="002500F9">
      <w:pPr>
        <w:ind w:left="720"/>
        <w:rPr>
          <w:sz w:val="24"/>
          <w:szCs w:val="24"/>
        </w:rPr>
      </w:pPr>
      <w:r>
        <w:rPr>
          <w:sz w:val="24"/>
          <w:szCs w:val="24"/>
        </w:rPr>
        <w:t>In each TAG, SEP</w:t>
      </w:r>
      <w:r w:rsidR="00B00C0F" w:rsidRPr="00B00C0F">
        <w:rPr>
          <w:sz w:val="24"/>
          <w:szCs w:val="24"/>
        </w:rPr>
        <w:t xml:space="preserve"> </w:t>
      </w:r>
      <w:r w:rsidR="00D16C32">
        <w:rPr>
          <w:sz w:val="24"/>
          <w:szCs w:val="24"/>
        </w:rPr>
        <w:t xml:space="preserve">and the participating </w:t>
      </w:r>
      <w:r w:rsidR="006E6D51">
        <w:rPr>
          <w:sz w:val="24"/>
          <w:szCs w:val="24"/>
        </w:rPr>
        <w:t>states</w:t>
      </w:r>
      <w:r w:rsidR="00D16C32">
        <w:rPr>
          <w:sz w:val="24"/>
          <w:szCs w:val="24"/>
        </w:rPr>
        <w:t xml:space="preserve"> will</w:t>
      </w:r>
      <w:r w:rsidR="00B00C0F" w:rsidRPr="00B00C0F">
        <w:rPr>
          <w:sz w:val="24"/>
          <w:szCs w:val="24"/>
        </w:rPr>
        <w:t xml:space="preserve"> jointly identify metrics and goals for each TAG that would be achievable in two (2) years.</w:t>
      </w:r>
      <w:r>
        <w:rPr>
          <w:sz w:val="24"/>
          <w:szCs w:val="24"/>
        </w:rPr>
        <w:t xml:space="preserve"> </w:t>
      </w:r>
      <w:r w:rsidR="006E6D51">
        <w:rPr>
          <w:sz w:val="24"/>
          <w:szCs w:val="24"/>
        </w:rPr>
        <w:t>States</w:t>
      </w:r>
      <w:r w:rsidR="00D16C32">
        <w:rPr>
          <w:sz w:val="24"/>
          <w:szCs w:val="24"/>
        </w:rPr>
        <w:t xml:space="preserve"> and SEP will</w:t>
      </w:r>
      <w:r>
        <w:rPr>
          <w:sz w:val="24"/>
          <w:szCs w:val="24"/>
        </w:rPr>
        <w:t xml:space="preserve"> also jointly identify state-based goals and metrics</w:t>
      </w:r>
      <w:r w:rsidR="00D16C32">
        <w:rPr>
          <w:sz w:val="24"/>
          <w:szCs w:val="24"/>
        </w:rPr>
        <w:t xml:space="preserve">. SEP and </w:t>
      </w:r>
      <w:r w:rsidR="006E6D51">
        <w:rPr>
          <w:sz w:val="24"/>
          <w:szCs w:val="24"/>
        </w:rPr>
        <w:t>states</w:t>
      </w:r>
      <w:r w:rsidR="00FB5468">
        <w:rPr>
          <w:sz w:val="24"/>
          <w:szCs w:val="24"/>
        </w:rPr>
        <w:t xml:space="preserve"> </w:t>
      </w:r>
      <w:r w:rsidR="00D16C32">
        <w:rPr>
          <w:sz w:val="24"/>
          <w:szCs w:val="24"/>
        </w:rPr>
        <w:t>will</w:t>
      </w:r>
      <w:r>
        <w:rPr>
          <w:sz w:val="24"/>
          <w:szCs w:val="24"/>
        </w:rPr>
        <w:t xml:space="preserve"> work collaboratively on rolling up the two-year, achievable goals into aggregated metrics for each TAG.</w:t>
      </w:r>
    </w:p>
    <w:p w14:paraId="3912E12F" w14:textId="18341188" w:rsidR="00F53124" w:rsidRPr="00A34B6F" w:rsidRDefault="00F53124" w:rsidP="00AD158B">
      <w:pPr>
        <w:rPr>
          <w:b/>
          <w:sz w:val="24"/>
          <w:szCs w:val="24"/>
        </w:rPr>
      </w:pPr>
      <w:r>
        <w:rPr>
          <w:sz w:val="24"/>
          <w:szCs w:val="24"/>
        </w:rPr>
        <w:tab/>
      </w:r>
      <w:r w:rsidRPr="00A34B6F">
        <w:rPr>
          <w:b/>
          <w:i/>
          <w:sz w:val="24"/>
          <w:szCs w:val="24"/>
        </w:rPr>
        <w:t>Communicat</w:t>
      </w:r>
      <w:r w:rsidR="00FB5468">
        <w:rPr>
          <w:b/>
          <w:i/>
          <w:sz w:val="24"/>
          <w:szCs w:val="24"/>
        </w:rPr>
        <w:t>ing</w:t>
      </w:r>
      <w:r w:rsidRPr="00A34B6F">
        <w:rPr>
          <w:b/>
          <w:i/>
          <w:sz w:val="24"/>
          <w:szCs w:val="24"/>
        </w:rPr>
        <w:t xml:space="preserve"> Successes</w:t>
      </w:r>
    </w:p>
    <w:p w14:paraId="5385D3FD" w14:textId="5E41C4EA" w:rsidR="00F53124" w:rsidRDefault="00F53124" w:rsidP="002500F9">
      <w:pPr>
        <w:ind w:left="720"/>
        <w:rPr>
          <w:sz w:val="24"/>
          <w:szCs w:val="24"/>
        </w:rPr>
      </w:pPr>
      <w:r w:rsidRPr="00F53124">
        <w:rPr>
          <w:sz w:val="24"/>
          <w:szCs w:val="24"/>
        </w:rPr>
        <w:t>Because SEP formula funds will be dedicated to a discrete topic of interest, SEP will track/aggregate the amount of funding/time devoted to a topic in the SEP annual plan</w:t>
      </w:r>
      <w:r w:rsidR="00FB5468">
        <w:rPr>
          <w:sz w:val="24"/>
          <w:szCs w:val="24"/>
        </w:rPr>
        <w:t>,</w:t>
      </w:r>
      <w:r w:rsidRPr="00F53124">
        <w:rPr>
          <w:sz w:val="24"/>
          <w:szCs w:val="24"/>
        </w:rPr>
        <w:t xml:space="preserve"> as well as leveraged and actual funds exp</w:t>
      </w:r>
      <w:r>
        <w:rPr>
          <w:sz w:val="24"/>
          <w:szCs w:val="24"/>
        </w:rPr>
        <w:t xml:space="preserve">ended over the two-year period. </w:t>
      </w:r>
      <w:r w:rsidRPr="00F53124">
        <w:rPr>
          <w:sz w:val="24"/>
          <w:szCs w:val="24"/>
        </w:rPr>
        <w:t xml:space="preserve">SEP </w:t>
      </w:r>
      <w:r w:rsidR="00FB5468">
        <w:rPr>
          <w:sz w:val="24"/>
          <w:szCs w:val="24"/>
        </w:rPr>
        <w:t xml:space="preserve">and </w:t>
      </w:r>
      <w:r w:rsidRPr="00F53124">
        <w:rPr>
          <w:sz w:val="24"/>
          <w:szCs w:val="24"/>
        </w:rPr>
        <w:t>TAG members will work together to develop success stories and to report progress at NASEO regional and a</w:t>
      </w:r>
      <w:r>
        <w:rPr>
          <w:sz w:val="24"/>
          <w:szCs w:val="24"/>
        </w:rPr>
        <w:t xml:space="preserve">nnual meetings, as appropriate. </w:t>
      </w:r>
      <w:r w:rsidRPr="00F53124">
        <w:rPr>
          <w:sz w:val="24"/>
          <w:szCs w:val="24"/>
        </w:rPr>
        <w:t xml:space="preserve">TAGs will hold occasional report outs on their work to benefit other </w:t>
      </w:r>
      <w:r w:rsidR="006E6D51">
        <w:rPr>
          <w:sz w:val="24"/>
          <w:szCs w:val="24"/>
        </w:rPr>
        <w:t>states</w:t>
      </w:r>
      <w:r w:rsidRPr="00F53124">
        <w:rPr>
          <w:sz w:val="24"/>
          <w:szCs w:val="24"/>
        </w:rPr>
        <w:t xml:space="preserve"> </w:t>
      </w:r>
      <w:r w:rsidR="00FB5468">
        <w:rPr>
          <w:sz w:val="24"/>
          <w:szCs w:val="24"/>
        </w:rPr>
        <w:t>that</w:t>
      </w:r>
      <w:r w:rsidR="00FB5468" w:rsidRPr="00F53124">
        <w:rPr>
          <w:sz w:val="24"/>
          <w:szCs w:val="24"/>
        </w:rPr>
        <w:t xml:space="preserve"> </w:t>
      </w:r>
      <w:r w:rsidRPr="00F53124">
        <w:rPr>
          <w:sz w:val="24"/>
          <w:szCs w:val="24"/>
        </w:rPr>
        <w:t>may be interested in the topic but are not part of the TAG. Report outs will also provide opportunit</w:t>
      </w:r>
      <w:r w:rsidR="00FB5468">
        <w:rPr>
          <w:sz w:val="24"/>
          <w:szCs w:val="24"/>
        </w:rPr>
        <w:t>ies</w:t>
      </w:r>
      <w:r w:rsidRPr="00F53124">
        <w:rPr>
          <w:sz w:val="24"/>
          <w:szCs w:val="24"/>
        </w:rPr>
        <w:t xml:space="preserve"> for states not in TAG to provide their perspective and feedback.</w:t>
      </w:r>
    </w:p>
    <w:p w14:paraId="53111D8A" w14:textId="2CC27F17" w:rsidR="00454583" w:rsidRPr="00A34B6F" w:rsidRDefault="00A34B6F" w:rsidP="00105D83">
      <w:pPr>
        <w:keepNext/>
        <w:rPr>
          <w:b/>
          <w:i/>
          <w:sz w:val="24"/>
          <w:szCs w:val="24"/>
        </w:rPr>
      </w:pPr>
      <w:r>
        <w:rPr>
          <w:b/>
          <w:i/>
          <w:sz w:val="24"/>
          <w:szCs w:val="24"/>
        </w:rPr>
        <w:t>How W</w:t>
      </w:r>
      <w:r w:rsidR="00454583" w:rsidRPr="00A34B6F">
        <w:rPr>
          <w:b/>
          <w:i/>
          <w:sz w:val="24"/>
          <w:szCs w:val="24"/>
        </w:rPr>
        <w:t>il</w:t>
      </w:r>
      <w:r>
        <w:rPr>
          <w:b/>
          <w:i/>
          <w:sz w:val="24"/>
          <w:szCs w:val="24"/>
        </w:rPr>
        <w:t>l States Report in PAGE on TAG W</w:t>
      </w:r>
      <w:r w:rsidR="00454583" w:rsidRPr="00A34B6F">
        <w:rPr>
          <w:b/>
          <w:i/>
          <w:sz w:val="24"/>
          <w:szCs w:val="24"/>
        </w:rPr>
        <w:t>ork?</w:t>
      </w:r>
    </w:p>
    <w:p w14:paraId="037CF3FD" w14:textId="686DE58A" w:rsidR="00B00C0F" w:rsidRDefault="00FB5468" w:rsidP="00B00C0F">
      <w:pPr>
        <w:contextualSpacing/>
        <w:rPr>
          <w:sz w:val="24"/>
          <w:szCs w:val="24"/>
        </w:rPr>
      </w:pPr>
      <w:r>
        <w:rPr>
          <w:sz w:val="24"/>
          <w:szCs w:val="24"/>
        </w:rPr>
        <w:t xml:space="preserve">States will </w:t>
      </w:r>
      <w:r w:rsidR="00BC46CD">
        <w:rPr>
          <w:sz w:val="24"/>
          <w:szCs w:val="24"/>
        </w:rPr>
        <w:t>choose “TAG” under the Activity name</w:t>
      </w:r>
      <w:r w:rsidR="000C3ED4">
        <w:rPr>
          <w:sz w:val="24"/>
          <w:szCs w:val="24"/>
        </w:rPr>
        <w:t xml:space="preserve"> in</w:t>
      </w:r>
      <w:r>
        <w:rPr>
          <w:sz w:val="24"/>
          <w:szCs w:val="24"/>
        </w:rPr>
        <w:t xml:space="preserve"> their PAGE Annual File, and use as </w:t>
      </w:r>
      <w:r w:rsidR="000D43A9">
        <w:rPr>
          <w:sz w:val="24"/>
          <w:szCs w:val="24"/>
        </w:rPr>
        <w:t>the</w:t>
      </w:r>
      <w:r>
        <w:rPr>
          <w:sz w:val="24"/>
          <w:szCs w:val="24"/>
        </w:rPr>
        <w:t xml:space="preserve"> </w:t>
      </w:r>
      <w:r w:rsidR="000D43A9">
        <w:rPr>
          <w:sz w:val="24"/>
          <w:szCs w:val="24"/>
        </w:rPr>
        <w:t>SEO External Name</w:t>
      </w:r>
      <w:r>
        <w:rPr>
          <w:sz w:val="24"/>
          <w:szCs w:val="24"/>
        </w:rPr>
        <w:t xml:space="preserve"> “TAG 1,” “TAG 2,” or “TAG 3</w:t>
      </w:r>
      <w:r w:rsidR="00B672E6">
        <w:rPr>
          <w:sz w:val="24"/>
          <w:szCs w:val="24"/>
        </w:rPr>
        <w:t>,</w:t>
      </w:r>
      <w:r>
        <w:rPr>
          <w:sz w:val="24"/>
          <w:szCs w:val="24"/>
        </w:rPr>
        <w:t>”</w:t>
      </w:r>
      <w:r w:rsidR="00B672E6">
        <w:rPr>
          <w:sz w:val="24"/>
          <w:szCs w:val="24"/>
        </w:rPr>
        <w:t xml:space="preserve"> followed by a name of the </w:t>
      </w:r>
      <w:r w:rsidR="006E6D51">
        <w:rPr>
          <w:sz w:val="24"/>
          <w:szCs w:val="24"/>
        </w:rPr>
        <w:t>state’s</w:t>
      </w:r>
      <w:r w:rsidR="00B672E6">
        <w:rPr>
          <w:sz w:val="24"/>
          <w:szCs w:val="24"/>
        </w:rPr>
        <w:t xml:space="preserve"> choice, </w:t>
      </w:r>
      <w:proofErr w:type="gramStart"/>
      <w:r w:rsidR="00B672E6">
        <w:rPr>
          <w:sz w:val="24"/>
          <w:szCs w:val="24"/>
        </w:rPr>
        <w:t>e.g.</w:t>
      </w:r>
      <w:proofErr w:type="gramEnd"/>
      <w:r w:rsidR="00B672E6">
        <w:rPr>
          <w:sz w:val="24"/>
          <w:szCs w:val="24"/>
        </w:rPr>
        <w:t xml:space="preserve"> TAG 1 – Energy Storage Peak Demand Study. </w:t>
      </w:r>
      <w:r w:rsidR="008F2DA9">
        <w:rPr>
          <w:sz w:val="24"/>
          <w:szCs w:val="24"/>
        </w:rPr>
        <w:t>The inclusion of “TAG 1,” “TAG 2” or “TAG 3” in the SEO External Name will facilitate SEP’s rolling up of information by TAG.</w:t>
      </w:r>
    </w:p>
    <w:p w14:paraId="6BA8D6D2" w14:textId="34179620" w:rsidR="00AA7B22" w:rsidRDefault="00AA7B22" w:rsidP="00B00C0F">
      <w:pPr>
        <w:contextualSpacing/>
        <w:rPr>
          <w:sz w:val="24"/>
          <w:szCs w:val="24"/>
        </w:rPr>
      </w:pPr>
    </w:p>
    <w:p w14:paraId="15D096C5" w14:textId="1BD89509" w:rsidR="0081157A" w:rsidRPr="00A34B6F" w:rsidRDefault="0081157A" w:rsidP="00B00C0F">
      <w:pPr>
        <w:contextualSpacing/>
        <w:rPr>
          <w:b/>
          <w:i/>
          <w:sz w:val="24"/>
          <w:szCs w:val="24"/>
        </w:rPr>
      </w:pPr>
      <w:r w:rsidRPr="00A34B6F">
        <w:rPr>
          <w:b/>
          <w:i/>
          <w:sz w:val="24"/>
          <w:szCs w:val="24"/>
        </w:rPr>
        <w:t xml:space="preserve">What is the Expected Time Commitment by </w:t>
      </w:r>
      <w:r w:rsidR="006E6D51">
        <w:rPr>
          <w:b/>
          <w:i/>
          <w:sz w:val="24"/>
          <w:szCs w:val="24"/>
        </w:rPr>
        <w:t>a State</w:t>
      </w:r>
      <w:r w:rsidRPr="00A34B6F">
        <w:rPr>
          <w:b/>
          <w:i/>
          <w:sz w:val="24"/>
          <w:szCs w:val="24"/>
        </w:rPr>
        <w:t xml:space="preserve"> for Participation in a TAG?</w:t>
      </w:r>
    </w:p>
    <w:p w14:paraId="7E34C700" w14:textId="77777777" w:rsidR="0081157A" w:rsidRDefault="0081157A" w:rsidP="00B00C0F">
      <w:pPr>
        <w:contextualSpacing/>
        <w:rPr>
          <w:sz w:val="24"/>
          <w:szCs w:val="24"/>
        </w:rPr>
      </w:pPr>
    </w:p>
    <w:p w14:paraId="55801D56" w14:textId="6DAF8403" w:rsidR="007932A4" w:rsidRDefault="007932A4" w:rsidP="00B00C0F">
      <w:pPr>
        <w:contextualSpacing/>
        <w:rPr>
          <w:sz w:val="24"/>
          <w:szCs w:val="24"/>
        </w:rPr>
      </w:pPr>
      <w:r>
        <w:rPr>
          <w:sz w:val="24"/>
          <w:szCs w:val="24"/>
        </w:rPr>
        <w:t>The time commitment may vary depending on the interest</w:t>
      </w:r>
      <w:r w:rsidR="005403EE">
        <w:rPr>
          <w:sz w:val="24"/>
          <w:szCs w:val="24"/>
        </w:rPr>
        <w:t xml:space="preserve"> of the state and workload of the </w:t>
      </w:r>
      <w:proofErr w:type="gramStart"/>
      <w:r w:rsidR="005403EE">
        <w:rPr>
          <w:sz w:val="24"/>
          <w:szCs w:val="24"/>
        </w:rPr>
        <w:t>TAG</w:t>
      </w:r>
      <w:proofErr w:type="gramEnd"/>
      <w:r w:rsidR="005403EE">
        <w:rPr>
          <w:sz w:val="24"/>
          <w:szCs w:val="24"/>
        </w:rPr>
        <w:t xml:space="preserve"> but a</w:t>
      </w:r>
      <w:r w:rsidR="006E6D51">
        <w:rPr>
          <w:sz w:val="24"/>
          <w:szCs w:val="24"/>
        </w:rPr>
        <w:t xml:space="preserve"> state</w:t>
      </w:r>
      <w:r w:rsidR="005403EE">
        <w:rPr>
          <w:sz w:val="24"/>
          <w:szCs w:val="24"/>
        </w:rPr>
        <w:t xml:space="preserve"> can expect at least the following:</w:t>
      </w:r>
    </w:p>
    <w:p w14:paraId="63188D84" w14:textId="0737F57E" w:rsidR="005403EE" w:rsidRDefault="005403EE" w:rsidP="005403EE">
      <w:pPr>
        <w:pStyle w:val="ListParagraph"/>
        <w:numPr>
          <w:ilvl w:val="0"/>
          <w:numId w:val="6"/>
        </w:numPr>
        <w:contextualSpacing/>
        <w:rPr>
          <w:sz w:val="24"/>
          <w:szCs w:val="24"/>
        </w:rPr>
      </w:pPr>
      <w:r>
        <w:rPr>
          <w:sz w:val="24"/>
          <w:szCs w:val="24"/>
        </w:rPr>
        <w:t>M</w:t>
      </w:r>
      <w:r w:rsidRPr="005403EE">
        <w:rPr>
          <w:sz w:val="24"/>
          <w:szCs w:val="24"/>
        </w:rPr>
        <w:t>onthly group calls of 1 hour</w:t>
      </w:r>
      <w:r w:rsidR="00A5212A">
        <w:rPr>
          <w:sz w:val="24"/>
          <w:szCs w:val="24"/>
        </w:rPr>
        <w:t>.</w:t>
      </w:r>
    </w:p>
    <w:p w14:paraId="4F688FEC" w14:textId="08D19BDF" w:rsidR="005403EE" w:rsidRDefault="005403EE" w:rsidP="005403EE">
      <w:pPr>
        <w:pStyle w:val="ListParagraph"/>
        <w:numPr>
          <w:ilvl w:val="0"/>
          <w:numId w:val="6"/>
        </w:numPr>
        <w:contextualSpacing/>
        <w:rPr>
          <w:sz w:val="24"/>
          <w:szCs w:val="24"/>
        </w:rPr>
      </w:pPr>
      <w:r>
        <w:rPr>
          <w:sz w:val="24"/>
          <w:szCs w:val="24"/>
        </w:rPr>
        <w:lastRenderedPageBreak/>
        <w:t>C</w:t>
      </w:r>
      <w:r w:rsidRPr="005403EE">
        <w:rPr>
          <w:sz w:val="24"/>
          <w:szCs w:val="24"/>
        </w:rPr>
        <w:t>alls with</w:t>
      </w:r>
      <w:r>
        <w:rPr>
          <w:sz w:val="24"/>
          <w:szCs w:val="24"/>
        </w:rPr>
        <w:t xml:space="preserve"> the Project Officer running the TAG, </w:t>
      </w:r>
      <w:r w:rsidRPr="005403EE">
        <w:rPr>
          <w:sz w:val="24"/>
          <w:szCs w:val="24"/>
        </w:rPr>
        <w:t xml:space="preserve">which could be monthly for 30 min- 1 </w:t>
      </w:r>
      <w:proofErr w:type="gramStart"/>
      <w:r w:rsidRPr="005403EE">
        <w:rPr>
          <w:sz w:val="24"/>
          <w:szCs w:val="24"/>
        </w:rPr>
        <w:t>hour</w:t>
      </w:r>
      <w:proofErr w:type="gramEnd"/>
      <w:r w:rsidR="00A5212A">
        <w:rPr>
          <w:sz w:val="24"/>
          <w:szCs w:val="24"/>
        </w:rPr>
        <w:t>.</w:t>
      </w:r>
    </w:p>
    <w:p w14:paraId="165FD3A1" w14:textId="016858AF" w:rsidR="005403EE" w:rsidRDefault="005403EE" w:rsidP="005403EE">
      <w:pPr>
        <w:pStyle w:val="ListParagraph"/>
        <w:numPr>
          <w:ilvl w:val="0"/>
          <w:numId w:val="6"/>
        </w:numPr>
        <w:contextualSpacing/>
        <w:rPr>
          <w:sz w:val="24"/>
          <w:szCs w:val="24"/>
        </w:rPr>
      </w:pPr>
      <w:r>
        <w:rPr>
          <w:sz w:val="24"/>
          <w:szCs w:val="24"/>
        </w:rPr>
        <w:t>Time for</w:t>
      </w:r>
      <w:r w:rsidRPr="005403EE">
        <w:rPr>
          <w:sz w:val="24"/>
          <w:szCs w:val="24"/>
        </w:rPr>
        <w:t xml:space="preserve"> individual work </w:t>
      </w:r>
      <w:r>
        <w:rPr>
          <w:sz w:val="24"/>
          <w:szCs w:val="24"/>
        </w:rPr>
        <w:t xml:space="preserve">that </w:t>
      </w:r>
      <w:r w:rsidRPr="005403EE">
        <w:rPr>
          <w:sz w:val="24"/>
          <w:szCs w:val="24"/>
        </w:rPr>
        <w:t>could include call prep</w:t>
      </w:r>
      <w:r>
        <w:rPr>
          <w:sz w:val="24"/>
          <w:szCs w:val="24"/>
        </w:rPr>
        <w:t>aration</w:t>
      </w:r>
      <w:r w:rsidRPr="005403EE">
        <w:rPr>
          <w:sz w:val="24"/>
          <w:szCs w:val="24"/>
        </w:rPr>
        <w:t xml:space="preserve">, working with </w:t>
      </w:r>
      <w:r>
        <w:rPr>
          <w:sz w:val="24"/>
          <w:szCs w:val="24"/>
        </w:rPr>
        <w:t xml:space="preserve">a DOE </w:t>
      </w:r>
      <w:r w:rsidR="00A5212A">
        <w:rPr>
          <w:sz w:val="24"/>
          <w:szCs w:val="24"/>
        </w:rPr>
        <w:t>technical assistance</w:t>
      </w:r>
      <w:r w:rsidRPr="005403EE">
        <w:rPr>
          <w:sz w:val="24"/>
          <w:szCs w:val="24"/>
        </w:rPr>
        <w:t xml:space="preserve"> provider, </w:t>
      </w:r>
      <w:r w:rsidR="00A5212A">
        <w:rPr>
          <w:sz w:val="24"/>
          <w:szCs w:val="24"/>
        </w:rPr>
        <w:t xml:space="preserve">and </w:t>
      </w:r>
      <w:r w:rsidRPr="005403EE">
        <w:rPr>
          <w:sz w:val="24"/>
          <w:szCs w:val="24"/>
        </w:rPr>
        <w:t>reporting out on TAG (not requi</w:t>
      </w:r>
      <w:r>
        <w:rPr>
          <w:sz w:val="24"/>
          <w:szCs w:val="24"/>
        </w:rPr>
        <w:t xml:space="preserve">red by DOE but by </w:t>
      </w:r>
      <w:r w:rsidR="006E6D51">
        <w:rPr>
          <w:sz w:val="24"/>
          <w:szCs w:val="24"/>
        </w:rPr>
        <w:t>a state</w:t>
      </w:r>
      <w:r>
        <w:rPr>
          <w:sz w:val="24"/>
          <w:szCs w:val="24"/>
        </w:rPr>
        <w:t xml:space="preserve"> </w:t>
      </w:r>
      <w:r w:rsidR="00F05638">
        <w:rPr>
          <w:sz w:val="24"/>
          <w:szCs w:val="24"/>
        </w:rPr>
        <w:t xml:space="preserve">to their </w:t>
      </w:r>
      <w:r>
        <w:rPr>
          <w:sz w:val="24"/>
          <w:szCs w:val="24"/>
        </w:rPr>
        <w:t>management)</w:t>
      </w:r>
      <w:r w:rsidR="00A5212A">
        <w:rPr>
          <w:sz w:val="24"/>
          <w:szCs w:val="24"/>
        </w:rPr>
        <w:t>.</w:t>
      </w:r>
    </w:p>
    <w:p w14:paraId="19927662" w14:textId="4B7D874C" w:rsidR="005403EE" w:rsidRPr="00105D83" w:rsidRDefault="005403EE" w:rsidP="005403EE">
      <w:pPr>
        <w:pStyle w:val="ListParagraph"/>
        <w:numPr>
          <w:ilvl w:val="0"/>
          <w:numId w:val="6"/>
        </w:numPr>
        <w:contextualSpacing/>
        <w:rPr>
          <w:sz w:val="24"/>
          <w:szCs w:val="24"/>
        </w:rPr>
      </w:pPr>
      <w:r w:rsidRPr="00105D83">
        <w:rPr>
          <w:sz w:val="24"/>
          <w:szCs w:val="24"/>
        </w:rPr>
        <w:t>Time for quarterly data collection within or outside of PAGE.</w:t>
      </w:r>
      <w:r w:rsidR="00FB5468" w:rsidRPr="00105D83">
        <w:rPr>
          <w:sz w:val="24"/>
          <w:szCs w:val="24"/>
        </w:rPr>
        <w:t xml:space="preserve">  The TAG may select metrics that are not currently in the SEP Process Metric List.  Data on those metrics will be collected by the Project Officer leading the TAG through the avenue decided upon by the TAG.</w:t>
      </w:r>
    </w:p>
    <w:p w14:paraId="29BC5D5B" w14:textId="24CC8C72" w:rsidR="004C4FF9" w:rsidRPr="005403EE" w:rsidRDefault="004C4FF9" w:rsidP="005403EE">
      <w:pPr>
        <w:pStyle w:val="ListParagraph"/>
        <w:numPr>
          <w:ilvl w:val="0"/>
          <w:numId w:val="6"/>
        </w:numPr>
        <w:contextualSpacing/>
        <w:rPr>
          <w:sz w:val="24"/>
          <w:szCs w:val="24"/>
        </w:rPr>
      </w:pPr>
      <w:r>
        <w:rPr>
          <w:sz w:val="24"/>
          <w:szCs w:val="24"/>
        </w:rPr>
        <w:t>Travel to a collaborative in-person TAG meeting, conditions permitting.</w:t>
      </w:r>
    </w:p>
    <w:p w14:paraId="2EF253CB" w14:textId="77777777" w:rsidR="007932A4" w:rsidRDefault="007932A4" w:rsidP="00B00C0F">
      <w:pPr>
        <w:contextualSpacing/>
        <w:rPr>
          <w:sz w:val="24"/>
          <w:szCs w:val="24"/>
        </w:rPr>
      </w:pPr>
    </w:p>
    <w:p w14:paraId="10FFEAB9" w14:textId="16A4F2BC" w:rsidR="005403EE" w:rsidRPr="00A34B6F" w:rsidRDefault="005403EE" w:rsidP="00B00C0F">
      <w:pPr>
        <w:contextualSpacing/>
        <w:rPr>
          <w:b/>
          <w:i/>
          <w:sz w:val="24"/>
          <w:szCs w:val="24"/>
        </w:rPr>
      </w:pPr>
      <w:r w:rsidRPr="00A34B6F">
        <w:rPr>
          <w:b/>
          <w:i/>
          <w:sz w:val="24"/>
          <w:szCs w:val="24"/>
        </w:rPr>
        <w:t>Since the TAGs last two years, will SEP require formula dollar investments in each year?</w:t>
      </w:r>
      <w:r w:rsidR="00AC2F6C" w:rsidRPr="00A34B6F">
        <w:rPr>
          <w:b/>
          <w:i/>
          <w:sz w:val="24"/>
          <w:szCs w:val="24"/>
        </w:rPr>
        <w:t xml:space="preserve"> Does it need to be more than just staff time?</w:t>
      </w:r>
    </w:p>
    <w:p w14:paraId="72ABF3D4" w14:textId="1B1EF324" w:rsidR="005403EE" w:rsidRDefault="005403EE" w:rsidP="005403EE">
      <w:pPr>
        <w:pStyle w:val="ListParagraph"/>
        <w:numPr>
          <w:ilvl w:val="0"/>
          <w:numId w:val="7"/>
        </w:numPr>
        <w:contextualSpacing/>
        <w:rPr>
          <w:sz w:val="24"/>
          <w:szCs w:val="24"/>
        </w:rPr>
      </w:pPr>
      <w:r w:rsidRPr="005403EE">
        <w:rPr>
          <w:sz w:val="24"/>
          <w:szCs w:val="24"/>
        </w:rPr>
        <w:t xml:space="preserve">The </w:t>
      </w:r>
      <w:r w:rsidR="006E6D51">
        <w:rPr>
          <w:sz w:val="24"/>
          <w:szCs w:val="24"/>
        </w:rPr>
        <w:t>state</w:t>
      </w:r>
      <w:r w:rsidRPr="005403EE">
        <w:rPr>
          <w:sz w:val="24"/>
          <w:szCs w:val="24"/>
        </w:rPr>
        <w:t xml:space="preserve"> will have to c</w:t>
      </w:r>
      <w:r>
        <w:rPr>
          <w:sz w:val="24"/>
          <w:szCs w:val="24"/>
        </w:rPr>
        <w:t xml:space="preserve">ommit staff time for both years </w:t>
      </w:r>
      <w:r w:rsidR="00F05638">
        <w:rPr>
          <w:sz w:val="24"/>
          <w:szCs w:val="24"/>
        </w:rPr>
        <w:t>to participate in TAG</w:t>
      </w:r>
      <w:r w:rsidR="00DA054A">
        <w:rPr>
          <w:sz w:val="24"/>
          <w:szCs w:val="24"/>
        </w:rPr>
        <w:t>.</w:t>
      </w:r>
    </w:p>
    <w:p w14:paraId="3C925C17" w14:textId="1199CC08" w:rsidR="00A34B6F" w:rsidRDefault="00A34B6F" w:rsidP="005403EE">
      <w:pPr>
        <w:pStyle w:val="ListParagraph"/>
        <w:numPr>
          <w:ilvl w:val="0"/>
          <w:numId w:val="7"/>
        </w:numPr>
        <w:contextualSpacing/>
        <w:rPr>
          <w:sz w:val="24"/>
          <w:szCs w:val="24"/>
        </w:rPr>
      </w:pPr>
      <w:r>
        <w:rPr>
          <w:sz w:val="24"/>
          <w:szCs w:val="24"/>
        </w:rPr>
        <w:t xml:space="preserve">The </w:t>
      </w:r>
      <w:r w:rsidR="006E6D51">
        <w:rPr>
          <w:sz w:val="24"/>
          <w:szCs w:val="24"/>
        </w:rPr>
        <w:t>state</w:t>
      </w:r>
      <w:r>
        <w:rPr>
          <w:sz w:val="24"/>
          <w:szCs w:val="24"/>
        </w:rPr>
        <w:t xml:space="preserve"> investment</w:t>
      </w:r>
      <w:r w:rsidR="006577D5">
        <w:rPr>
          <w:sz w:val="24"/>
          <w:szCs w:val="24"/>
        </w:rPr>
        <w:t xml:space="preserve"> </w:t>
      </w:r>
      <w:r w:rsidR="00105D83">
        <w:rPr>
          <w:sz w:val="24"/>
          <w:szCs w:val="24"/>
        </w:rPr>
        <w:t xml:space="preserve">of formula funds </w:t>
      </w:r>
      <w:r>
        <w:rPr>
          <w:sz w:val="24"/>
          <w:szCs w:val="24"/>
        </w:rPr>
        <w:t xml:space="preserve">in the TAG topic </w:t>
      </w:r>
      <w:r w:rsidR="008C5A25">
        <w:rPr>
          <w:sz w:val="24"/>
          <w:szCs w:val="24"/>
        </w:rPr>
        <w:t xml:space="preserve">in the first year (PY21) </w:t>
      </w:r>
      <w:r>
        <w:rPr>
          <w:sz w:val="24"/>
          <w:szCs w:val="24"/>
        </w:rPr>
        <w:t xml:space="preserve">must </w:t>
      </w:r>
      <w:r w:rsidR="00F070C0">
        <w:rPr>
          <w:sz w:val="24"/>
          <w:szCs w:val="24"/>
        </w:rPr>
        <w:t xml:space="preserve">go beyond </w:t>
      </w:r>
      <w:r>
        <w:rPr>
          <w:sz w:val="24"/>
          <w:szCs w:val="24"/>
        </w:rPr>
        <w:t>staff time related to participation in a TAG.</w:t>
      </w:r>
      <w:r w:rsidR="000C4BF5">
        <w:rPr>
          <w:sz w:val="24"/>
          <w:szCs w:val="24"/>
        </w:rPr>
        <w:t xml:space="preserve"> </w:t>
      </w:r>
      <w:r w:rsidR="00D45E80">
        <w:rPr>
          <w:sz w:val="24"/>
          <w:szCs w:val="24"/>
        </w:rPr>
        <w:t xml:space="preserve">The </w:t>
      </w:r>
      <w:r w:rsidR="006E6D51">
        <w:rPr>
          <w:sz w:val="24"/>
          <w:szCs w:val="24"/>
        </w:rPr>
        <w:t>state</w:t>
      </w:r>
      <w:r w:rsidR="00D45E80">
        <w:rPr>
          <w:sz w:val="24"/>
          <w:szCs w:val="24"/>
        </w:rPr>
        <w:t xml:space="preserve"> investment </w:t>
      </w:r>
      <w:r w:rsidR="000C4BF5">
        <w:rPr>
          <w:sz w:val="24"/>
          <w:szCs w:val="24"/>
        </w:rPr>
        <w:t xml:space="preserve">could consist of staff time related </w:t>
      </w:r>
      <w:r w:rsidR="00BF0F41">
        <w:rPr>
          <w:sz w:val="24"/>
          <w:szCs w:val="24"/>
        </w:rPr>
        <w:t>to participating</w:t>
      </w:r>
      <w:r w:rsidR="000C4BF5">
        <w:rPr>
          <w:sz w:val="24"/>
          <w:szCs w:val="24"/>
        </w:rPr>
        <w:t xml:space="preserve"> in a TAG </w:t>
      </w:r>
      <w:r w:rsidR="000C4BF5" w:rsidRPr="006577D5">
        <w:rPr>
          <w:i/>
          <w:iCs/>
          <w:sz w:val="24"/>
          <w:szCs w:val="24"/>
        </w:rPr>
        <w:t>and</w:t>
      </w:r>
      <w:r w:rsidR="000C4BF5">
        <w:rPr>
          <w:sz w:val="24"/>
          <w:szCs w:val="24"/>
        </w:rPr>
        <w:t xml:space="preserve"> staff time spent on a TAG-related topic in the state’s plan, or staff time related to participating in a TAG </w:t>
      </w:r>
      <w:r w:rsidR="000C4BF5" w:rsidRPr="006577D5">
        <w:rPr>
          <w:i/>
          <w:iCs/>
          <w:sz w:val="24"/>
          <w:szCs w:val="24"/>
        </w:rPr>
        <w:t>and</w:t>
      </w:r>
      <w:r w:rsidR="000C4BF5">
        <w:rPr>
          <w:sz w:val="24"/>
          <w:szCs w:val="24"/>
        </w:rPr>
        <w:t xml:space="preserve"> </w:t>
      </w:r>
      <w:r w:rsidR="00BF0F41">
        <w:rPr>
          <w:sz w:val="24"/>
          <w:szCs w:val="24"/>
        </w:rPr>
        <w:t xml:space="preserve">funding to for </w:t>
      </w:r>
      <w:r w:rsidR="000C4BF5">
        <w:rPr>
          <w:sz w:val="24"/>
          <w:szCs w:val="24"/>
        </w:rPr>
        <w:t>a TAG topic-related project.</w:t>
      </w:r>
    </w:p>
    <w:p w14:paraId="47485B8A" w14:textId="631CCD7B" w:rsidR="00105D83" w:rsidRDefault="006E6D51" w:rsidP="005403EE">
      <w:pPr>
        <w:pStyle w:val="ListParagraph"/>
        <w:numPr>
          <w:ilvl w:val="0"/>
          <w:numId w:val="7"/>
        </w:numPr>
        <w:contextualSpacing/>
        <w:rPr>
          <w:sz w:val="24"/>
          <w:szCs w:val="24"/>
        </w:rPr>
      </w:pPr>
      <w:r>
        <w:rPr>
          <w:sz w:val="24"/>
          <w:szCs w:val="24"/>
        </w:rPr>
        <w:t>States</w:t>
      </w:r>
      <w:r w:rsidR="00105D83">
        <w:rPr>
          <w:sz w:val="24"/>
          <w:szCs w:val="24"/>
        </w:rPr>
        <w:t xml:space="preserve"> are required to make an investment of formula funds beyond staff time for participation in the TAG only in PY 21. SEP encourages investment of formula funds in a TAG-related activity in PY22, but it is not required.</w:t>
      </w:r>
    </w:p>
    <w:p w14:paraId="45F8346A" w14:textId="77777777" w:rsidR="005403EE" w:rsidRDefault="005403EE" w:rsidP="005403EE">
      <w:pPr>
        <w:contextualSpacing/>
        <w:rPr>
          <w:sz w:val="24"/>
          <w:szCs w:val="24"/>
        </w:rPr>
      </w:pPr>
    </w:p>
    <w:p w14:paraId="2E6C0190" w14:textId="0297F650" w:rsidR="00EB6298" w:rsidRPr="00A34B6F" w:rsidRDefault="00EB6298" w:rsidP="005403EE">
      <w:pPr>
        <w:contextualSpacing/>
        <w:rPr>
          <w:b/>
          <w:sz w:val="24"/>
          <w:szCs w:val="24"/>
        </w:rPr>
      </w:pPr>
      <w:r w:rsidRPr="00A34B6F">
        <w:rPr>
          <w:b/>
          <w:i/>
          <w:sz w:val="24"/>
          <w:szCs w:val="24"/>
        </w:rPr>
        <w:t>What is the timeline for this initiative</w:t>
      </w:r>
      <w:r w:rsidRPr="00A34B6F">
        <w:rPr>
          <w:b/>
          <w:sz w:val="24"/>
          <w:szCs w:val="24"/>
        </w:rPr>
        <w:t>?</w:t>
      </w:r>
    </w:p>
    <w:p w14:paraId="20128C2A" w14:textId="77777777" w:rsidR="00EB6298" w:rsidRDefault="00EB6298" w:rsidP="005403EE">
      <w:pPr>
        <w:contextualSpacing/>
        <w:rPr>
          <w:sz w:val="24"/>
          <w:szCs w:val="24"/>
        </w:rPr>
      </w:pPr>
    </w:p>
    <w:p w14:paraId="1AD10061" w14:textId="73275AC5" w:rsidR="00EB6298" w:rsidRPr="00EB6298" w:rsidRDefault="00EB6298" w:rsidP="005403EE">
      <w:pPr>
        <w:contextualSpacing/>
        <w:rPr>
          <w:sz w:val="24"/>
          <w:szCs w:val="24"/>
        </w:rPr>
      </w:pPr>
      <w:r>
        <w:rPr>
          <w:sz w:val="24"/>
          <w:szCs w:val="24"/>
        </w:rPr>
        <w:t xml:space="preserve">SEP will work on </w:t>
      </w:r>
      <w:r w:rsidR="004C4FF9">
        <w:rPr>
          <w:sz w:val="24"/>
          <w:szCs w:val="24"/>
        </w:rPr>
        <w:t>organizing</w:t>
      </w:r>
      <w:r>
        <w:rPr>
          <w:sz w:val="24"/>
          <w:szCs w:val="24"/>
        </w:rPr>
        <w:t xml:space="preserve"> TAGs once PY21 applications are received (April-May 2021</w:t>
      </w:r>
      <w:proofErr w:type="gramStart"/>
      <w:r>
        <w:rPr>
          <w:sz w:val="24"/>
          <w:szCs w:val="24"/>
        </w:rPr>
        <w:t>)</w:t>
      </w:r>
      <w:r w:rsidR="004C4FF9">
        <w:rPr>
          <w:sz w:val="24"/>
          <w:szCs w:val="24"/>
        </w:rPr>
        <w:t>,</w:t>
      </w:r>
      <w:r>
        <w:rPr>
          <w:sz w:val="24"/>
          <w:szCs w:val="24"/>
        </w:rPr>
        <w:t xml:space="preserve"> and</w:t>
      </w:r>
      <w:proofErr w:type="gramEnd"/>
      <w:r>
        <w:rPr>
          <w:sz w:val="24"/>
          <w:szCs w:val="24"/>
        </w:rPr>
        <w:t xml:space="preserve"> may began reaching out to states at that time. TAGs will begin work once all awards are made (anticipated </w:t>
      </w:r>
      <w:r w:rsidR="00F05638">
        <w:rPr>
          <w:sz w:val="24"/>
          <w:szCs w:val="24"/>
        </w:rPr>
        <w:t xml:space="preserve">no later than </w:t>
      </w:r>
      <w:r>
        <w:rPr>
          <w:sz w:val="24"/>
          <w:szCs w:val="24"/>
        </w:rPr>
        <w:t>October 1, 2021).</w:t>
      </w:r>
    </w:p>
    <w:p w14:paraId="0084CC6E" w14:textId="77777777" w:rsidR="00EB6298" w:rsidRDefault="00EB6298" w:rsidP="005403EE">
      <w:pPr>
        <w:contextualSpacing/>
        <w:rPr>
          <w:sz w:val="24"/>
          <w:szCs w:val="24"/>
        </w:rPr>
      </w:pPr>
    </w:p>
    <w:p w14:paraId="5098FDE3" w14:textId="102C30E7" w:rsidR="006577D5" w:rsidRDefault="00AA7B22">
      <w:pPr>
        <w:contextualSpacing/>
        <w:rPr>
          <w:sz w:val="24"/>
          <w:szCs w:val="24"/>
        </w:rPr>
      </w:pPr>
      <w:r>
        <w:rPr>
          <w:sz w:val="24"/>
          <w:szCs w:val="24"/>
          <w:u w:val="single"/>
        </w:rPr>
        <w:t>If you are interested in participating in a TAG, please c</w:t>
      </w:r>
      <w:r w:rsidR="00416F12">
        <w:rPr>
          <w:sz w:val="24"/>
          <w:szCs w:val="24"/>
          <w:u w:val="single"/>
        </w:rPr>
        <w:t xml:space="preserve">omplete and return the </w:t>
      </w:r>
      <w:r w:rsidR="006E6D51">
        <w:rPr>
          <w:sz w:val="24"/>
          <w:szCs w:val="24"/>
          <w:u w:val="single"/>
        </w:rPr>
        <w:t>TAG</w:t>
      </w:r>
      <w:r w:rsidR="00416F12">
        <w:rPr>
          <w:sz w:val="24"/>
          <w:szCs w:val="24"/>
          <w:u w:val="single"/>
        </w:rPr>
        <w:t xml:space="preserve"> Commitment Letter</w:t>
      </w:r>
      <w:r>
        <w:rPr>
          <w:sz w:val="24"/>
          <w:szCs w:val="24"/>
          <w:u w:val="single"/>
        </w:rPr>
        <w:t xml:space="preserve"> to your SEP Project Officer</w:t>
      </w:r>
      <w:r>
        <w:rPr>
          <w:sz w:val="24"/>
          <w:szCs w:val="24"/>
        </w:rPr>
        <w:t>.</w:t>
      </w:r>
    </w:p>
    <w:sectPr w:rsidR="006577D5" w:rsidSect="00454583">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9335B" w14:textId="77777777" w:rsidR="00224D3E" w:rsidRDefault="00224D3E" w:rsidP="00224D3E">
      <w:pPr>
        <w:spacing w:after="0" w:line="240" w:lineRule="auto"/>
      </w:pPr>
      <w:r>
        <w:separator/>
      </w:r>
    </w:p>
  </w:endnote>
  <w:endnote w:type="continuationSeparator" w:id="0">
    <w:p w14:paraId="47FBE3E7" w14:textId="77777777" w:rsidR="00224D3E" w:rsidRDefault="00224D3E" w:rsidP="0022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887857"/>
      <w:docPartObj>
        <w:docPartGallery w:val="Page Numbers (Bottom of Page)"/>
        <w:docPartUnique/>
      </w:docPartObj>
    </w:sdtPr>
    <w:sdtEndPr/>
    <w:sdtContent>
      <w:sdt>
        <w:sdtPr>
          <w:id w:val="-169797946"/>
          <w:docPartObj>
            <w:docPartGallery w:val="Page Numbers (Top of Page)"/>
            <w:docPartUnique/>
          </w:docPartObj>
        </w:sdtPr>
        <w:sdtEndPr/>
        <w:sdtContent>
          <w:p w14:paraId="70A2FE94" w14:textId="1DF06D25" w:rsidR="00454583" w:rsidRDefault="00105D83" w:rsidP="00105D8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E73D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73D2">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4621418"/>
      <w:docPartObj>
        <w:docPartGallery w:val="Page Numbers (Bottom of Page)"/>
        <w:docPartUnique/>
      </w:docPartObj>
    </w:sdtPr>
    <w:sdtEndPr/>
    <w:sdtContent>
      <w:sdt>
        <w:sdtPr>
          <w:id w:val="1728636285"/>
          <w:docPartObj>
            <w:docPartGallery w:val="Page Numbers (Top of Page)"/>
            <w:docPartUnique/>
          </w:docPartObj>
        </w:sdtPr>
        <w:sdtEndPr/>
        <w:sdtContent>
          <w:p w14:paraId="554C42B4" w14:textId="28A15AA0" w:rsidR="00941C79" w:rsidRDefault="00941C79" w:rsidP="005570B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E73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73D2">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8D6FD" w14:textId="77777777" w:rsidR="00224D3E" w:rsidRDefault="00224D3E" w:rsidP="00224D3E">
      <w:pPr>
        <w:spacing w:after="0" w:line="240" w:lineRule="auto"/>
      </w:pPr>
      <w:r>
        <w:separator/>
      </w:r>
    </w:p>
  </w:footnote>
  <w:footnote w:type="continuationSeparator" w:id="0">
    <w:p w14:paraId="6CBABEDF" w14:textId="77777777" w:rsidR="00224D3E" w:rsidRDefault="00224D3E" w:rsidP="00224D3E">
      <w:pPr>
        <w:spacing w:after="0" w:line="240" w:lineRule="auto"/>
      </w:pPr>
      <w:r>
        <w:continuationSeparator/>
      </w:r>
    </w:p>
  </w:footnote>
  <w:footnote w:id="1">
    <w:p w14:paraId="1280592B" w14:textId="0EA845D5" w:rsidR="005A2FCE" w:rsidRDefault="005A2FCE">
      <w:pPr>
        <w:pStyle w:val="FootnoteText"/>
      </w:pPr>
      <w:r>
        <w:rPr>
          <w:rStyle w:val="FootnoteReference"/>
        </w:rPr>
        <w:footnoteRef/>
      </w:r>
      <w:r>
        <w:t xml:space="preserve"> Per 10 CFR 420.2, “</w:t>
      </w:r>
      <w:r w:rsidRPr="000E39F5">
        <w:t>State</w:t>
      </w:r>
      <w:r>
        <w:t>”</w:t>
      </w:r>
      <w:r w:rsidRPr="000E39F5">
        <w:t xml:space="preserve"> means a State, the District of Columbia, Puerto Rico, or any territory or possession of the United States</w:t>
      </w:r>
      <w:r>
        <w:t>.</w:t>
      </w:r>
    </w:p>
  </w:footnote>
  <w:footnote w:id="2">
    <w:p w14:paraId="3C80F155" w14:textId="2419EB56" w:rsidR="009C19B0" w:rsidRDefault="009C19B0">
      <w:pPr>
        <w:pStyle w:val="FootnoteText"/>
      </w:pPr>
      <w:r>
        <w:rPr>
          <w:rStyle w:val="FootnoteReference"/>
        </w:rPr>
        <w:footnoteRef/>
      </w:r>
      <w:r>
        <w:t xml:space="preserve"> A TAG observer will be invited to listen to TAG </w:t>
      </w:r>
      <w:r w:rsidR="001A761A">
        <w:t xml:space="preserve">report-outs on a quarterly </w:t>
      </w:r>
      <w:proofErr w:type="gramStart"/>
      <w:r w:rsidR="001A761A">
        <w:t>basis</w:t>
      </w:r>
      <w:r>
        <w:t>, but</w:t>
      </w:r>
      <w:proofErr w:type="gramEnd"/>
      <w:r>
        <w:t xml:space="preserve"> will not have a role in making decisions for the TAG.  Observers are not required to dedicate formula funds to a TAG topic.</w:t>
      </w:r>
    </w:p>
  </w:footnote>
  <w:footnote w:id="3">
    <w:p w14:paraId="2CFBAF2C" w14:textId="148FAB15" w:rsidR="00224D3E" w:rsidRDefault="00224D3E" w:rsidP="00224D3E">
      <w:pPr>
        <w:pStyle w:val="FootnoteText"/>
      </w:pPr>
      <w:r>
        <w:rPr>
          <w:rStyle w:val="FootnoteReference"/>
        </w:rPr>
        <w:footnoteRef/>
      </w:r>
      <w:r>
        <w:t xml:space="preserve"> Note that dedication of SEP formula funds to a TAG topic means that a state would dedicate a portion of its SEP formula funds to development or execution of a project related to the TAG topic. It does not mean that the funds would be transferred to DOE, unless a state chooses to contract with a DOE lab</w:t>
      </w:r>
      <w:r w:rsidR="009C19B0">
        <w:t>;</w:t>
      </w:r>
      <w:r>
        <w:t xml:space="preserve"> for example, for work related to the TAG topic. The </w:t>
      </w:r>
      <w:r w:rsidRPr="00224D3E">
        <w:t>financial commitment can be in the form of staff time, contracts, or other relevant SEP funding categories.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47BD4"/>
    <w:multiLevelType w:val="hybridMultilevel"/>
    <w:tmpl w:val="A5AC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96DEC"/>
    <w:multiLevelType w:val="hybridMultilevel"/>
    <w:tmpl w:val="9398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C2C56"/>
    <w:multiLevelType w:val="hybridMultilevel"/>
    <w:tmpl w:val="3CFE2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B2733"/>
    <w:multiLevelType w:val="hybridMultilevel"/>
    <w:tmpl w:val="095A3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DF442B"/>
    <w:multiLevelType w:val="hybridMultilevel"/>
    <w:tmpl w:val="C9EE47EA"/>
    <w:lvl w:ilvl="0" w:tplc="0F6CF5D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B4CCD"/>
    <w:multiLevelType w:val="hybridMultilevel"/>
    <w:tmpl w:val="4768BF62"/>
    <w:lvl w:ilvl="0" w:tplc="0F6CF5D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146CA"/>
    <w:multiLevelType w:val="hybridMultilevel"/>
    <w:tmpl w:val="32160740"/>
    <w:lvl w:ilvl="0" w:tplc="93C8FB96">
      <w:start w:val="1"/>
      <w:numFmt w:val="decimal"/>
      <w:lvlText w:val="%1."/>
      <w:lvlJc w:val="left"/>
      <w:pPr>
        <w:tabs>
          <w:tab w:val="num" w:pos="720"/>
        </w:tabs>
        <w:ind w:left="720" w:hanging="360"/>
      </w:pPr>
      <w:rPr>
        <w:rFonts w:hint="default"/>
      </w:rPr>
    </w:lvl>
    <w:lvl w:ilvl="1" w:tplc="436262AE">
      <w:numFmt w:val="none"/>
      <w:lvlText w:val=""/>
      <w:lvlJc w:val="left"/>
      <w:pPr>
        <w:tabs>
          <w:tab w:val="num" w:pos="360"/>
        </w:tabs>
      </w:pPr>
    </w:lvl>
    <w:lvl w:ilvl="2" w:tplc="2FAC290C" w:tentative="1">
      <w:start w:val="1"/>
      <w:numFmt w:val="bullet"/>
      <w:lvlText w:val="•"/>
      <w:lvlJc w:val="left"/>
      <w:pPr>
        <w:tabs>
          <w:tab w:val="num" w:pos="2160"/>
        </w:tabs>
        <w:ind w:left="2160" w:hanging="360"/>
      </w:pPr>
      <w:rPr>
        <w:rFonts w:ascii="Times New Roman" w:hAnsi="Times New Roman" w:hint="default"/>
      </w:rPr>
    </w:lvl>
    <w:lvl w:ilvl="3" w:tplc="FD763578" w:tentative="1">
      <w:start w:val="1"/>
      <w:numFmt w:val="bullet"/>
      <w:lvlText w:val="•"/>
      <w:lvlJc w:val="left"/>
      <w:pPr>
        <w:tabs>
          <w:tab w:val="num" w:pos="2880"/>
        </w:tabs>
        <w:ind w:left="2880" w:hanging="360"/>
      </w:pPr>
      <w:rPr>
        <w:rFonts w:ascii="Times New Roman" w:hAnsi="Times New Roman" w:hint="default"/>
      </w:rPr>
    </w:lvl>
    <w:lvl w:ilvl="4" w:tplc="ACBE907E" w:tentative="1">
      <w:start w:val="1"/>
      <w:numFmt w:val="bullet"/>
      <w:lvlText w:val="•"/>
      <w:lvlJc w:val="left"/>
      <w:pPr>
        <w:tabs>
          <w:tab w:val="num" w:pos="3600"/>
        </w:tabs>
        <w:ind w:left="3600" w:hanging="360"/>
      </w:pPr>
      <w:rPr>
        <w:rFonts w:ascii="Times New Roman" w:hAnsi="Times New Roman" w:hint="default"/>
      </w:rPr>
    </w:lvl>
    <w:lvl w:ilvl="5" w:tplc="9C9A308A" w:tentative="1">
      <w:start w:val="1"/>
      <w:numFmt w:val="bullet"/>
      <w:lvlText w:val="•"/>
      <w:lvlJc w:val="left"/>
      <w:pPr>
        <w:tabs>
          <w:tab w:val="num" w:pos="4320"/>
        </w:tabs>
        <w:ind w:left="4320" w:hanging="360"/>
      </w:pPr>
      <w:rPr>
        <w:rFonts w:ascii="Times New Roman" w:hAnsi="Times New Roman" w:hint="default"/>
      </w:rPr>
    </w:lvl>
    <w:lvl w:ilvl="6" w:tplc="91F6EC5E" w:tentative="1">
      <w:start w:val="1"/>
      <w:numFmt w:val="bullet"/>
      <w:lvlText w:val="•"/>
      <w:lvlJc w:val="left"/>
      <w:pPr>
        <w:tabs>
          <w:tab w:val="num" w:pos="5040"/>
        </w:tabs>
        <w:ind w:left="5040" w:hanging="360"/>
      </w:pPr>
      <w:rPr>
        <w:rFonts w:ascii="Times New Roman" w:hAnsi="Times New Roman" w:hint="default"/>
      </w:rPr>
    </w:lvl>
    <w:lvl w:ilvl="7" w:tplc="7E1A3F10" w:tentative="1">
      <w:start w:val="1"/>
      <w:numFmt w:val="bullet"/>
      <w:lvlText w:val="•"/>
      <w:lvlJc w:val="left"/>
      <w:pPr>
        <w:tabs>
          <w:tab w:val="num" w:pos="5760"/>
        </w:tabs>
        <w:ind w:left="5760" w:hanging="360"/>
      </w:pPr>
      <w:rPr>
        <w:rFonts w:ascii="Times New Roman" w:hAnsi="Times New Roman" w:hint="default"/>
      </w:rPr>
    </w:lvl>
    <w:lvl w:ilvl="8" w:tplc="AE7A316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E116FF8"/>
    <w:multiLevelType w:val="hybridMultilevel"/>
    <w:tmpl w:val="9E42C4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5B3DFA"/>
    <w:multiLevelType w:val="hybridMultilevel"/>
    <w:tmpl w:val="E60C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5489F"/>
    <w:multiLevelType w:val="hybridMultilevel"/>
    <w:tmpl w:val="F16451C4"/>
    <w:lvl w:ilvl="0" w:tplc="2D3A7BF4">
      <w:start w:val="1"/>
      <w:numFmt w:val="decimal"/>
      <w:lvlText w:val="%1."/>
      <w:lvlJc w:val="left"/>
      <w:pPr>
        <w:tabs>
          <w:tab w:val="num" w:pos="720"/>
        </w:tabs>
        <w:ind w:left="720" w:hanging="360"/>
      </w:pPr>
      <w:rPr>
        <w:rFonts w:hint="default"/>
      </w:rPr>
    </w:lvl>
    <w:lvl w:ilvl="1" w:tplc="BAC256CA">
      <w:numFmt w:val="none"/>
      <w:lvlText w:val=""/>
      <w:lvlJc w:val="left"/>
      <w:pPr>
        <w:tabs>
          <w:tab w:val="num" w:pos="360"/>
        </w:tabs>
      </w:pPr>
    </w:lvl>
    <w:lvl w:ilvl="2" w:tplc="D654D684" w:tentative="1">
      <w:start w:val="1"/>
      <w:numFmt w:val="bullet"/>
      <w:lvlText w:val="•"/>
      <w:lvlJc w:val="left"/>
      <w:pPr>
        <w:tabs>
          <w:tab w:val="num" w:pos="2160"/>
        </w:tabs>
        <w:ind w:left="2160" w:hanging="360"/>
      </w:pPr>
      <w:rPr>
        <w:rFonts w:ascii="Times New Roman" w:hAnsi="Times New Roman" w:hint="default"/>
      </w:rPr>
    </w:lvl>
    <w:lvl w:ilvl="3" w:tplc="1E4E04AE" w:tentative="1">
      <w:start w:val="1"/>
      <w:numFmt w:val="bullet"/>
      <w:lvlText w:val="•"/>
      <w:lvlJc w:val="left"/>
      <w:pPr>
        <w:tabs>
          <w:tab w:val="num" w:pos="2880"/>
        </w:tabs>
        <w:ind w:left="2880" w:hanging="360"/>
      </w:pPr>
      <w:rPr>
        <w:rFonts w:ascii="Times New Roman" w:hAnsi="Times New Roman" w:hint="default"/>
      </w:rPr>
    </w:lvl>
    <w:lvl w:ilvl="4" w:tplc="F55EDFE4" w:tentative="1">
      <w:start w:val="1"/>
      <w:numFmt w:val="bullet"/>
      <w:lvlText w:val="•"/>
      <w:lvlJc w:val="left"/>
      <w:pPr>
        <w:tabs>
          <w:tab w:val="num" w:pos="3600"/>
        </w:tabs>
        <w:ind w:left="3600" w:hanging="360"/>
      </w:pPr>
      <w:rPr>
        <w:rFonts w:ascii="Times New Roman" w:hAnsi="Times New Roman" w:hint="default"/>
      </w:rPr>
    </w:lvl>
    <w:lvl w:ilvl="5" w:tplc="AAB6856E" w:tentative="1">
      <w:start w:val="1"/>
      <w:numFmt w:val="bullet"/>
      <w:lvlText w:val="•"/>
      <w:lvlJc w:val="left"/>
      <w:pPr>
        <w:tabs>
          <w:tab w:val="num" w:pos="4320"/>
        </w:tabs>
        <w:ind w:left="4320" w:hanging="360"/>
      </w:pPr>
      <w:rPr>
        <w:rFonts w:ascii="Times New Roman" w:hAnsi="Times New Roman" w:hint="default"/>
      </w:rPr>
    </w:lvl>
    <w:lvl w:ilvl="6" w:tplc="75A49E24" w:tentative="1">
      <w:start w:val="1"/>
      <w:numFmt w:val="bullet"/>
      <w:lvlText w:val="•"/>
      <w:lvlJc w:val="left"/>
      <w:pPr>
        <w:tabs>
          <w:tab w:val="num" w:pos="5040"/>
        </w:tabs>
        <w:ind w:left="5040" w:hanging="360"/>
      </w:pPr>
      <w:rPr>
        <w:rFonts w:ascii="Times New Roman" w:hAnsi="Times New Roman" w:hint="default"/>
      </w:rPr>
    </w:lvl>
    <w:lvl w:ilvl="7" w:tplc="6D942C28" w:tentative="1">
      <w:start w:val="1"/>
      <w:numFmt w:val="bullet"/>
      <w:lvlText w:val="•"/>
      <w:lvlJc w:val="left"/>
      <w:pPr>
        <w:tabs>
          <w:tab w:val="num" w:pos="5760"/>
        </w:tabs>
        <w:ind w:left="5760" w:hanging="360"/>
      </w:pPr>
      <w:rPr>
        <w:rFonts w:ascii="Times New Roman" w:hAnsi="Times New Roman" w:hint="default"/>
      </w:rPr>
    </w:lvl>
    <w:lvl w:ilvl="8" w:tplc="42F893C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C3C6BE7"/>
    <w:multiLevelType w:val="hybridMultilevel"/>
    <w:tmpl w:val="B84CB9E2"/>
    <w:lvl w:ilvl="0" w:tplc="0F6CF5D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5"/>
  </w:num>
  <w:num w:numId="5">
    <w:abstractNumId w:val="0"/>
  </w:num>
  <w:num w:numId="6">
    <w:abstractNumId w:val="10"/>
  </w:num>
  <w:num w:numId="7">
    <w:abstractNumId w:val="4"/>
  </w:num>
  <w:num w:numId="8">
    <w:abstractNumId w:val="7"/>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0F"/>
    <w:rsid w:val="00020B20"/>
    <w:rsid w:val="00050227"/>
    <w:rsid w:val="00067767"/>
    <w:rsid w:val="00091B7F"/>
    <w:rsid w:val="000C3ED4"/>
    <w:rsid w:val="000C4BF5"/>
    <w:rsid w:val="000D43A9"/>
    <w:rsid w:val="000D5318"/>
    <w:rsid w:val="00105D83"/>
    <w:rsid w:val="00110AA2"/>
    <w:rsid w:val="0011606E"/>
    <w:rsid w:val="00160108"/>
    <w:rsid w:val="001662D7"/>
    <w:rsid w:val="001670EE"/>
    <w:rsid w:val="001A761A"/>
    <w:rsid w:val="001D178B"/>
    <w:rsid w:val="00224D3E"/>
    <w:rsid w:val="00232D72"/>
    <w:rsid w:val="002444C9"/>
    <w:rsid w:val="002500F9"/>
    <w:rsid w:val="00360231"/>
    <w:rsid w:val="003B2354"/>
    <w:rsid w:val="003F1CFF"/>
    <w:rsid w:val="004078D9"/>
    <w:rsid w:val="00411888"/>
    <w:rsid w:val="00416F12"/>
    <w:rsid w:val="004206D3"/>
    <w:rsid w:val="00454583"/>
    <w:rsid w:val="00455BAC"/>
    <w:rsid w:val="00465C15"/>
    <w:rsid w:val="0048550F"/>
    <w:rsid w:val="004C4FF9"/>
    <w:rsid w:val="004D7B40"/>
    <w:rsid w:val="004F74FF"/>
    <w:rsid w:val="0052591F"/>
    <w:rsid w:val="00530C5A"/>
    <w:rsid w:val="005403EE"/>
    <w:rsid w:val="005570B6"/>
    <w:rsid w:val="005A2FCE"/>
    <w:rsid w:val="005E73D2"/>
    <w:rsid w:val="006111E5"/>
    <w:rsid w:val="006577D5"/>
    <w:rsid w:val="00685B4D"/>
    <w:rsid w:val="0069086D"/>
    <w:rsid w:val="006E6D51"/>
    <w:rsid w:val="006F29D8"/>
    <w:rsid w:val="00707E82"/>
    <w:rsid w:val="00716075"/>
    <w:rsid w:val="007307CB"/>
    <w:rsid w:val="007932A4"/>
    <w:rsid w:val="007C10E6"/>
    <w:rsid w:val="007C74CC"/>
    <w:rsid w:val="00806BA2"/>
    <w:rsid w:val="0081157A"/>
    <w:rsid w:val="00850B5D"/>
    <w:rsid w:val="00872522"/>
    <w:rsid w:val="008A52E8"/>
    <w:rsid w:val="008C5A25"/>
    <w:rsid w:val="008F2DA9"/>
    <w:rsid w:val="00941C79"/>
    <w:rsid w:val="009621C2"/>
    <w:rsid w:val="009C19B0"/>
    <w:rsid w:val="00A14104"/>
    <w:rsid w:val="00A34B6F"/>
    <w:rsid w:val="00A5212A"/>
    <w:rsid w:val="00A7264E"/>
    <w:rsid w:val="00AA7B22"/>
    <w:rsid w:val="00AC2F6C"/>
    <w:rsid w:val="00AD158B"/>
    <w:rsid w:val="00B00C0F"/>
    <w:rsid w:val="00B11E97"/>
    <w:rsid w:val="00B447C6"/>
    <w:rsid w:val="00B562E3"/>
    <w:rsid w:val="00B642C6"/>
    <w:rsid w:val="00B672E6"/>
    <w:rsid w:val="00BC46CD"/>
    <w:rsid w:val="00BF0F41"/>
    <w:rsid w:val="00BF285B"/>
    <w:rsid w:val="00C33B4A"/>
    <w:rsid w:val="00C447BA"/>
    <w:rsid w:val="00C46970"/>
    <w:rsid w:val="00C80AB0"/>
    <w:rsid w:val="00C937B0"/>
    <w:rsid w:val="00CE1F85"/>
    <w:rsid w:val="00CE7567"/>
    <w:rsid w:val="00CF05AB"/>
    <w:rsid w:val="00D16C32"/>
    <w:rsid w:val="00D45E80"/>
    <w:rsid w:val="00D60794"/>
    <w:rsid w:val="00D93383"/>
    <w:rsid w:val="00DA054A"/>
    <w:rsid w:val="00E44FD3"/>
    <w:rsid w:val="00E71FBA"/>
    <w:rsid w:val="00EB27DD"/>
    <w:rsid w:val="00EB5C65"/>
    <w:rsid w:val="00EB6298"/>
    <w:rsid w:val="00F05638"/>
    <w:rsid w:val="00F070C0"/>
    <w:rsid w:val="00F53124"/>
    <w:rsid w:val="00FA607C"/>
    <w:rsid w:val="00FB5468"/>
    <w:rsid w:val="00FB76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59C7"/>
  <w15:chartTrackingRefBased/>
  <w15:docId w15:val="{5CC1F965-9D9D-4FF5-8133-53C40366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D3E"/>
    <w:pPr>
      <w:spacing w:after="0" w:line="240" w:lineRule="auto"/>
      <w:ind w:left="720"/>
    </w:pPr>
    <w:rPr>
      <w:rFonts w:ascii="Calibri" w:eastAsia="Times New Roman" w:hAnsi="Calibri" w:cs="Times New Roman"/>
    </w:rPr>
  </w:style>
  <w:style w:type="paragraph" w:styleId="FootnoteText">
    <w:name w:val="footnote text"/>
    <w:basedOn w:val="Normal"/>
    <w:link w:val="FootnoteTextChar"/>
    <w:uiPriority w:val="99"/>
    <w:semiHidden/>
    <w:unhideWhenUsed/>
    <w:rsid w:val="00224D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D3E"/>
    <w:rPr>
      <w:sz w:val="20"/>
      <w:szCs w:val="20"/>
    </w:rPr>
  </w:style>
  <w:style w:type="character" w:styleId="FootnoteReference">
    <w:name w:val="footnote reference"/>
    <w:basedOn w:val="DefaultParagraphFont"/>
    <w:uiPriority w:val="99"/>
    <w:semiHidden/>
    <w:unhideWhenUsed/>
    <w:rsid w:val="00224D3E"/>
    <w:rPr>
      <w:vertAlign w:val="superscript"/>
    </w:rPr>
  </w:style>
  <w:style w:type="character" w:styleId="CommentReference">
    <w:name w:val="annotation reference"/>
    <w:basedOn w:val="DefaultParagraphFont"/>
    <w:uiPriority w:val="99"/>
    <w:semiHidden/>
    <w:unhideWhenUsed/>
    <w:rsid w:val="00224D3E"/>
    <w:rPr>
      <w:sz w:val="16"/>
      <w:szCs w:val="16"/>
    </w:rPr>
  </w:style>
  <w:style w:type="paragraph" w:styleId="CommentText">
    <w:name w:val="annotation text"/>
    <w:basedOn w:val="Normal"/>
    <w:link w:val="CommentTextChar"/>
    <w:uiPriority w:val="99"/>
    <w:semiHidden/>
    <w:unhideWhenUsed/>
    <w:rsid w:val="00224D3E"/>
    <w:pPr>
      <w:spacing w:line="240" w:lineRule="auto"/>
    </w:pPr>
    <w:rPr>
      <w:sz w:val="20"/>
      <w:szCs w:val="20"/>
    </w:rPr>
  </w:style>
  <w:style w:type="character" w:customStyle="1" w:styleId="CommentTextChar">
    <w:name w:val="Comment Text Char"/>
    <w:basedOn w:val="DefaultParagraphFont"/>
    <w:link w:val="CommentText"/>
    <w:uiPriority w:val="99"/>
    <w:semiHidden/>
    <w:rsid w:val="00224D3E"/>
    <w:rPr>
      <w:sz w:val="20"/>
      <w:szCs w:val="20"/>
    </w:rPr>
  </w:style>
  <w:style w:type="paragraph" w:styleId="CommentSubject">
    <w:name w:val="annotation subject"/>
    <w:basedOn w:val="CommentText"/>
    <w:next w:val="CommentText"/>
    <w:link w:val="CommentSubjectChar"/>
    <w:uiPriority w:val="99"/>
    <w:semiHidden/>
    <w:unhideWhenUsed/>
    <w:rsid w:val="00224D3E"/>
    <w:rPr>
      <w:b/>
      <w:bCs/>
    </w:rPr>
  </w:style>
  <w:style w:type="character" w:customStyle="1" w:styleId="CommentSubjectChar">
    <w:name w:val="Comment Subject Char"/>
    <w:basedOn w:val="CommentTextChar"/>
    <w:link w:val="CommentSubject"/>
    <w:uiPriority w:val="99"/>
    <w:semiHidden/>
    <w:rsid w:val="00224D3E"/>
    <w:rPr>
      <w:b/>
      <w:bCs/>
      <w:sz w:val="20"/>
      <w:szCs w:val="20"/>
    </w:rPr>
  </w:style>
  <w:style w:type="paragraph" w:styleId="BalloonText">
    <w:name w:val="Balloon Text"/>
    <w:basedOn w:val="Normal"/>
    <w:link w:val="BalloonTextChar"/>
    <w:uiPriority w:val="99"/>
    <w:semiHidden/>
    <w:unhideWhenUsed/>
    <w:rsid w:val="00224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D3E"/>
    <w:rPr>
      <w:rFonts w:ascii="Segoe UI" w:hAnsi="Segoe UI" w:cs="Segoe UI"/>
      <w:sz w:val="18"/>
      <w:szCs w:val="18"/>
    </w:rPr>
  </w:style>
  <w:style w:type="paragraph" w:styleId="Header">
    <w:name w:val="header"/>
    <w:basedOn w:val="Normal"/>
    <w:link w:val="HeaderChar"/>
    <w:uiPriority w:val="99"/>
    <w:unhideWhenUsed/>
    <w:rsid w:val="00454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583"/>
  </w:style>
  <w:style w:type="paragraph" w:styleId="Footer">
    <w:name w:val="footer"/>
    <w:basedOn w:val="Normal"/>
    <w:link w:val="FooterChar"/>
    <w:uiPriority w:val="99"/>
    <w:unhideWhenUsed/>
    <w:rsid w:val="00454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811811">
      <w:bodyDiv w:val="1"/>
      <w:marLeft w:val="0"/>
      <w:marRight w:val="0"/>
      <w:marTop w:val="0"/>
      <w:marBottom w:val="0"/>
      <w:divBdr>
        <w:top w:val="none" w:sz="0" w:space="0" w:color="auto"/>
        <w:left w:val="none" w:sz="0" w:space="0" w:color="auto"/>
        <w:bottom w:val="none" w:sz="0" w:space="0" w:color="auto"/>
        <w:right w:val="none" w:sz="0" w:space="0" w:color="auto"/>
      </w:divBdr>
    </w:div>
    <w:div w:id="1058699420">
      <w:bodyDiv w:val="1"/>
      <w:marLeft w:val="0"/>
      <w:marRight w:val="0"/>
      <w:marTop w:val="0"/>
      <w:marBottom w:val="0"/>
      <w:divBdr>
        <w:top w:val="none" w:sz="0" w:space="0" w:color="auto"/>
        <w:left w:val="none" w:sz="0" w:space="0" w:color="auto"/>
        <w:bottom w:val="none" w:sz="0" w:space="0" w:color="auto"/>
        <w:right w:val="none" w:sz="0" w:space="0" w:color="auto"/>
      </w:divBdr>
      <w:divsChild>
        <w:div w:id="1900167144">
          <w:marLeft w:val="547"/>
          <w:marRight w:val="0"/>
          <w:marTop w:val="0"/>
          <w:marBottom w:val="0"/>
          <w:divBdr>
            <w:top w:val="none" w:sz="0" w:space="0" w:color="auto"/>
            <w:left w:val="none" w:sz="0" w:space="0" w:color="auto"/>
            <w:bottom w:val="none" w:sz="0" w:space="0" w:color="auto"/>
            <w:right w:val="none" w:sz="0" w:space="0" w:color="auto"/>
          </w:divBdr>
        </w:div>
        <w:div w:id="805465747">
          <w:marLeft w:val="1166"/>
          <w:marRight w:val="0"/>
          <w:marTop w:val="0"/>
          <w:marBottom w:val="0"/>
          <w:divBdr>
            <w:top w:val="none" w:sz="0" w:space="0" w:color="auto"/>
            <w:left w:val="none" w:sz="0" w:space="0" w:color="auto"/>
            <w:bottom w:val="none" w:sz="0" w:space="0" w:color="auto"/>
            <w:right w:val="none" w:sz="0" w:space="0" w:color="auto"/>
          </w:divBdr>
        </w:div>
        <w:div w:id="1040979976">
          <w:marLeft w:val="547"/>
          <w:marRight w:val="0"/>
          <w:marTop w:val="0"/>
          <w:marBottom w:val="0"/>
          <w:divBdr>
            <w:top w:val="none" w:sz="0" w:space="0" w:color="auto"/>
            <w:left w:val="none" w:sz="0" w:space="0" w:color="auto"/>
            <w:bottom w:val="none" w:sz="0" w:space="0" w:color="auto"/>
            <w:right w:val="none" w:sz="0" w:space="0" w:color="auto"/>
          </w:divBdr>
        </w:div>
        <w:div w:id="571429278">
          <w:marLeft w:val="1166"/>
          <w:marRight w:val="0"/>
          <w:marTop w:val="0"/>
          <w:marBottom w:val="0"/>
          <w:divBdr>
            <w:top w:val="none" w:sz="0" w:space="0" w:color="auto"/>
            <w:left w:val="none" w:sz="0" w:space="0" w:color="auto"/>
            <w:bottom w:val="none" w:sz="0" w:space="0" w:color="auto"/>
            <w:right w:val="none" w:sz="0" w:space="0" w:color="auto"/>
          </w:divBdr>
        </w:div>
        <w:div w:id="1230073492">
          <w:marLeft w:val="547"/>
          <w:marRight w:val="0"/>
          <w:marTop w:val="0"/>
          <w:marBottom w:val="0"/>
          <w:divBdr>
            <w:top w:val="none" w:sz="0" w:space="0" w:color="auto"/>
            <w:left w:val="none" w:sz="0" w:space="0" w:color="auto"/>
            <w:bottom w:val="none" w:sz="0" w:space="0" w:color="auto"/>
            <w:right w:val="none" w:sz="0" w:space="0" w:color="auto"/>
          </w:divBdr>
        </w:div>
        <w:div w:id="118398016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64AF-B57E-461D-A8BE-759E7F96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6651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Amy</dc:creator>
  <cp:keywords/>
  <dc:description/>
  <cp:lastModifiedBy>Davis, Pete</cp:lastModifiedBy>
  <cp:revision>2</cp:revision>
  <dcterms:created xsi:type="dcterms:W3CDTF">2021-01-19T15:05:00Z</dcterms:created>
  <dcterms:modified xsi:type="dcterms:W3CDTF">2021-01-19T15:05:00Z</dcterms:modified>
</cp:coreProperties>
</file>