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F9C9" w14:textId="77777777" w:rsidR="00AD7FCB" w:rsidRPr="00AD7FCB" w:rsidRDefault="00AD7FCB" w:rsidP="00AD7FCB">
      <w:pPr>
        <w:keepNext/>
        <w:keepLines/>
        <w:spacing w:after="120" w:line="276" w:lineRule="auto"/>
        <w:outlineLvl w:val="2"/>
        <w:rPr>
          <w:rFonts w:ascii="Arial" w:eastAsia="MS Gothic" w:hAnsi="Arial" w:cs="Times New Roman"/>
          <w:b/>
          <w:bCs/>
          <w:color w:val="4F81BD"/>
          <w:sz w:val="24"/>
          <w:szCs w:val="20"/>
        </w:rPr>
      </w:pPr>
      <w:bookmarkStart w:id="0" w:name="_Toc415132150"/>
      <w:bookmarkStart w:id="1" w:name="_Toc415132904"/>
      <w:bookmarkStart w:id="2" w:name="_Toc415133270"/>
      <w:bookmarkStart w:id="3" w:name="_Toc415133463"/>
      <w:bookmarkStart w:id="4" w:name="_Toc415133659"/>
      <w:bookmarkStart w:id="5" w:name="_Toc39838497"/>
      <w:bookmarkStart w:id="6" w:name="_Toc39838735"/>
      <w:bookmarkStart w:id="7" w:name="_Toc39838809"/>
      <w:bookmarkStart w:id="8" w:name="_Toc39838845"/>
      <w:r w:rsidRPr="00AD7FCB">
        <w:rPr>
          <w:rFonts w:ascii="Arial" w:eastAsia="MS Gothic" w:hAnsi="Arial" w:cs="Times New Roman"/>
          <w:b/>
          <w:bCs/>
          <w:color w:val="4F81BD"/>
          <w:sz w:val="24"/>
          <w:szCs w:val="20"/>
        </w:rPr>
        <w:t>Notice to Proceed to IGA – Sample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D7FCB">
        <w:rPr>
          <w:rFonts w:ascii="Arial" w:eastAsia="MS Gothic" w:hAnsi="Arial" w:cs="Times New Roman"/>
          <w:b/>
          <w:bCs/>
          <w:color w:val="4F81BD"/>
          <w:sz w:val="24"/>
          <w:szCs w:val="20"/>
        </w:rPr>
        <w:t xml:space="preserve"> </w:t>
      </w:r>
    </w:p>
    <w:p w14:paraId="2819562F" w14:textId="77777777" w:rsidR="00AD7FCB" w:rsidRPr="00AD7FCB" w:rsidRDefault="00AD7FCB" w:rsidP="00AD7FCB">
      <w:pPr>
        <w:spacing w:after="200" w:line="240" w:lineRule="auto"/>
        <w:rPr>
          <w:rFonts w:ascii="Calibri" w:eastAsia="MS Gothic" w:hAnsi="Calibri" w:cs="Calibri"/>
        </w:rPr>
      </w:pPr>
      <w:r w:rsidRPr="00AD7FCB">
        <w:rPr>
          <w:rFonts w:ascii="Calibri" w:eastAsia="MS Gothic" w:hAnsi="Calibri" w:cs="Calibri"/>
        </w:rPr>
        <w:t>This sample of a notice to proceed provides instructions, agency contacts, and the official notice to proceed with the IGA.</w:t>
      </w:r>
      <w:r w:rsidRPr="00AD7FCB">
        <w:rPr>
          <w:rFonts w:ascii="Calibri" w:eastAsia="MS Gothic" w:hAnsi="Calibri" w:cs="Calibri"/>
        </w:rPr>
        <w:br w:type="page"/>
      </w:r>
    </w:p>
    <w:p w14:paraId="6F0C0B75" w14:textId="77777777" w:rsidR="00AD7FCB" w:rsidRPr="00AD7FCB" w:rsidRDefault="00AD7FCB" w:rsidP="00AD7FCB">
      <w:pPr>
        <w:pBdr>
          <w:top w:val="single" w:sz="4" w:space="1" w:color="auto"/>
          <w:bottom w:val="single" w:sz="4" w:space="1" w:color="auto"/>
        </w:pBdr>
        <w:shd w:val="solid" w:color="DBE5F1" w:fill="auto"/>
        <w:spacing w:after="0" w:line="240" w:lineRule="auto"/>
        <w:jc w:val="center"/>
        <w:rPr>
          <w:rFonts w:ascii="Calibri" w:eastAsia="Times New Roman" w:hAnsi="Calibri" w:cs="Calibri"/>
          <w:b/>
          <w:sz w:val="24"/>
        </w:rPr>
      </w:pPr>
      <w:r w:rsidRPr="00AD7FCB">
        <w:rPr>
          <w:rFonts w:ascii="Calibri" w:eastAsia="Times New Roman" w:hAnsi="Calibri" w:cs="Calibri"/>
          <w:b/>
          <w:sz w:val="24"/>
        </w:rPr>
        <w:lastRenderedPageBreak/>
        <w:t xml:space="preserve">Notice to Proceed to IGA </w:t>
      </w:r>
      <w:r w:rsidRPr="00AD7FCB">
        <w:rPr>
          <w:rFonts w:ascii="Calibri" w:eastAsia="Times New Roman" w:hAnsi="Calibri" w:cs="Calibri"/>
          <w:b/>
          <w:sz w:val="24"/>
        </w:rPr>
        <w:br/>
        <w:t>Sample</w:t>
      </w:r>
    </w:p>
    <w:p w14:paraId="3C208529" w14:textId="77777777" w:rsidR="00AD7FCB" w:rsidRPr="00AD7FCB" w:rsidRDefault="00AD7FCB" w:rsidP="00AD7FCB">
      <w:pPr>
        <w:spacing w:after="200" w:line="276" w:lineRule="auto"/>
        <w:rPr>
          <w:rFonts w:ascii="Cambria" w:eastAsia="MS Gothic" w:hAnsi="Cambria" w:cs="Times New Roman"/>
        </w:rPr>
      </w:pPr>
    </w:p>
    <w:p w14:paraId="675B7FD6" w14:textId="2D224794" w:rsidR="00AD7FCB" w:rsidRPr="00AD7FCB" w:rsidRDefault="00AD7FCB" w:rsidP="00AD7FCB">
      <w:pPr>
        <w:spacing w:after="200" w:line="276" w:lineRule="auto"/>
        <w:rPr>
          <w:rFonts w:ascii="Arial" w:eastAsia="MS Gothic" w:hAnsi="Arial" w:cs="Times New Roman"/>
          <w:b/>
          <w:bCs/>
          <w:color w:val="4F81BD"/>
          <w:sz w:val="24"/>
          <w:szCs w:val="20"/>
        </w:rPr>
      </w:pPr>
      <w:r w:rsidRPr="00AD7FCB">
        <w:rPr>
          <w:rFonts w:ascii="Cambria" w:eastAsia="MS Gothic" w:hAnsi="Cambria" w:cs="Times New Roman"/>
          <w:noProof/>
        </w:rPr>
        <w:drawing>
          <wp:inline distT="0" distB="0" distL="0" distR="0" wp14:anchorId="388CA220" wp14:editId="06347820">
            <wp:extent cx="4669790" cy="6303010"/>
            <wp:effectExtent l="0" t="0" r="0" b="2540"/>
            <wp:docPr id="12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63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FCB" w:rsidRPr="00AD7FC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1694" w14:textId="77777777" w:rsidR="00AD7FCB" w:rsidRPr="00A83687" w:rsidRDefault="00AD7FCB" w:rsidP="00A83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B"/>
    <w:rsid w:val="00A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8CBB"/>
  <w15:chartTrackingRefBased/>
  <w15:docId w15:val="{1946061B-7EFE-4AA5-A923-F447581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Jeffrey</dc:creator>
  <cp:keywords/>
  <dc:description/>
  <cp:lastModifiedBy>Gingrich, Jeffrey</cp:lastModifiedBy>
  <cp:revision>1</cp:revision>
  <dcterms:created xsi:type="dcterms:W3CDTF">2020-07-21T22:58:00Z</dcterms:created>
  <dcterms:modified xsi:type="dcterms:W3CDTF">2020-07-21T22:59:00Z</dcterms:modified>
</cp:coreProperties>
</file>