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6489C" w14:textId="77777777" w:rsidR="00267E21" w:rsidRDefault="00267E21" w:rsidP="00653AF3">
      <w:pPr>
        <w:spacing w:after="0" w:line="240" w:lineRule="auto"/>
        <w:jc w:val="center"/>
        <w:rPr>
          <w:rFonts w:ascii="Arial" w:eastAsia="Times" w:hAnsi="Arial" w:cs="Arial"/>
          <w:b/>
          <w:sz w:val="48"/>
          <w:szCs w:val="48"/>
        </w:rPr>
      </w:pPr>
      <w:bookmarkStart w:id="0" w:name="_Toc147573099"/>
      <w:r>
        <w:rPr>
          <w:rFonts w:ascii="Arial" w:eastAsia="Times" w:hAnsi="Arial" w:cs="Arial"/>
          <w:b/>
          <w:noProof/>
          <w:sz w:val="48"/>
          <w:szCs w:val="48"/>
        </w:rPr>
        <w:drawing>
          <wp:inline distT="0" distB="0" distL="0" distR="0" wp14:anchorId="72FE221E" wp14:editId="1A6FC1A7">
            <wp:extent cx="4219575" cy="144590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P_New Logo_)Oct 20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2292" cy="1450266"/>
                    </a:xfrm>
                    <a:prstGeom prst="rect">
                      <a:avLst/>
                    </a:prstGeom>
                  </pic:spPr>
                </pic:pic>
              </a:graphicData>
            </a:graphic>
          </wp:inline>
        </w:drawing>
      </w:r>
    </w:p>
    <w:p w14:paraId="28CC8308" w14:textId="77777777" w:rsidR="00267E21" w:rsidRDefault="00267E21" w:rsidP="00653AF3">
      <w:pPr>
        <w:spacing w:after="0" w:line="240" w:lineRule="auto"/>
        <w:jc w:val="center"/>
        <w:rPr>
          <w:rFonts w:ascii="Arial" w:eastAsia="Times" w:hAnsi="Arial" w:cs="Arial"/>
          <w:b/>
          <w:sz w:val="48"/>
          <w:szCs w:val="48"/>
        </w:rPr>
      </w:pPr>
    </w:p>
    <w:p w14:paraId="48CB9522" w14:textId="77777777" w:rsidR="00446591" w:rsidRDefault="00653AF3" w:rsidP="00653AF3">
      <w:pPr>
        <w:spacing w:after="0" w:line="240" w:lineRule="auto"/>
        <w:jc w:val="center"/>
        <w:rPr>
          <w:rFonts w:ascii="Arial" w:eastAsia="Times" w:hAnsi="Arial" w:cs="Arial"/>
          <w:b/>
          <w:sz w:val="48"/>
          <w:szCs w:val="48"/>
        </w:rPr>
      </w:pPr>
      <w:r>
        <w:rPr>
          <w:rFonts w:ascii="Arial" w:eastAsia="Times" w:hAnsi="Arial" w:cs="Arial"/>
          <w:b/>
          <w:sz w:val="48"/>
          <w:szCs w:val="48"/>
        </w:rPr>
        <w:t>Reporting</w:t>
      </w:r>
      <w:r w:rsidR="00132BD7" w:rsidRPr="00132BD7">
        <w:rPr>
          <w:rFonts w:ascii="Arial" w:eastAsia="Times" w:hAnsi="Arial" w:cs="Arial"/>
          <w:b/>
          <w:sz w:val="48"/>
          <w:szCs w:val="48"/>
        </w:rPr>
        <w:t xml:space="preserve"> Guidance</w:t>
      </w:r>
      <w:r>
        <w:rPr>
          <w:rFonts w:ascii="Arial" w:eastAsia="Times" w:hAnsi="Arial" w:cs="Arial"/>
          <w:b/>
          <w:sz w:val="48"/>
          <w:szCs w:val="48"/>
        </w:rPr>
        <w:t xml:space="preserve"> for </w:t>
      </w:r>
    </w:p>
    <w:p w14:paraId="45252147" w14:textId="77777777" w:rsidR="00D133CA" w:rsidRDefault="00653AF3" w:rsidP="00653AF3">
      <w:pPr>
        <w:spacing w:after="0" w:line="240" w:lineRule="auto"/>
        <w:jc w:val="center"/>
        <w:rPr>
          <w:rFonts w:ascii="Arial" w:eastAsia="Times" w:hAnsi="Arial" w:cs="Arial"/>
          <w:b/>
          <w:sz w:val="48"/>
          <w:szCs w:val="48"/>
        </w:rPr>
      </w:pPr>
      <w:r>
        <w:rPr>
          <w:rFonts w:ascii="Arial" w:eastAsia="Times" w:hAnsi="Arial" w:cs="Arial"/>
          <w:b/>
          <w:sz w:val="48"/>
          <w:szCs w:val="48"/>
        </w:rPr>
        <w:t>Federal Agency Annual Report on Energy Management</w:t>
      </w:r>
      <w:bookmarkEnd w:id="0"/>
    </w:p>
    <w:p w14:paraId="3C7A7829" w14:textId="77777777" w:rsidR="00653AF3" w:rsidRPr="00446591" w:rsidRDefault="00003481" w:rsidP="00653AF3">
      <w:pPr>
        <w:spacing w:after="0" w:line="240" w:lineRule="auto"/>
        <w:jc w:val="center"/>
        <w:rPr>
          <w:rFonts w:ascii="Times New Roman" w:eastAsia="Times" w:hAnsi="Times New Roman" w:cs="Times New Roman"/>
          <w:sz w:val="28"/>
          <w:szCs w:val="40"/>
        </w:rPr>
      </w:pPr>
      <w:r>
        <w:rPr>
          <w:rFonts w:ascii="Arial" w:eastAsia="Times" w:hAnsi="Arial" w:cs="Arial"/>
          <w:sz w:val="36"/>
          <w:szCs w:val="48"/>
        </w:rPr>
        <w:t xml:space="preserve">(per 42 U.S.C. </w:t>
      </w:r>
      <w:r w:rsidR="00653AF3" w:rsidRPr="00446591">
        <w:rPr>
          <w:rFonts w:ascii="Arial" w:eastAsia="Times" w:hAnsi="Arial" w:cs="Arial"/>
          <w:sz w:val="36"/>
          <w:szCs w:val="48"/>
        </w:rPr>
        <w:t>8258)</w:t>
      </w:r>
    </w:p>
    <w:p w14:paraId="41608ECB" w14:textId="77777777" w:rsidR="00D133CA" w:rsidRPr="00D133CA" w:rsidRDefault="00D133CA" w:rsidP="00D133CA">
      <w:pPr>
        <w:spacing w:after="0" w:line="240" w:lineRule="auto"/>
        <w:rPr>
          <w:rFonts w:ascii="Times New Roman" w:eastAsia="Times" w:hAnsi="Times New Roman" w:cs="Times New Roman"/>
          <w:sz w:val="40"/>
          <w:szCs w:val="40"/>
        </w:rPr>
      </w:pPr>
    </w:p>
    <w:p w14:paraId="3052C9AE" w14:textId="77777777" w:rsidR="00D133CA" w:rsidRDefault="00D133CA" w:rsidP="00D133CA">
      <w:pPr>
        <w:spacing w:after="0" w:line="240" w:lineRule="auto"/>
        <w:jc w:val="center"/>
        <w:rPr>
          <w:rFonts w:ascii="Arial" w:eastAsia="Times" w:hAnsi="Arial" w:cs="Arial"/>
          <w:sz w:val="36"/>
          <w:szCs w:val="36"/>
        </w:rPr>
      </w:pPr>
    </w:p>
    <w:p w14:paraId="730FDA12" w14:textId="77777777" w:rsidR="00267E21" w:rsidRDefault="00267E21" w:rsidP="00D133CA">
      <w:pPr>
        <w:spacing w:after="0" w:line="240" w:lineRule="auto"/>
        <w:jc w:val="center"/>
        <w:rPr>
          <w:rFonts w:ascii="Arial" w:eastAsia="Times" w:hAnsi="Arial" w:cs="Arial"/>
          <w:sz w:val="36"/>
          <w:szCs w:val="36"/>
        </w:rPr>
      </w:pPr>
    </w:p>
    <w:p w14:paraId="422DD7C7" w14:textId="77777777" w:rsidR="00D133CA" w:rsidRPr="00446591" w:rsidRDefault="00FF3186" w:rsidP="00D133CA">
      <w:pPr>
        <w:spacing w:after="0" w:line="240" w:lineRule="auto"/>
        <w:jc w:val="center"/>
        <w:rPr>
          <w:rFonts w:ascii="Arial" w:eastAsia="Times" w:hAnsi="Arial" w:cs="Arial"/>
          <w:sz w:val="32"/>
          <w:szCs w:val="36"/>
        </w:rPr>
      </w:pPr>
      <w:r>
        <w:rPr>
          <w:rFonts w:ascii="Arial" w:eastAsia="Times" w:hAnsi="Arial" w:cs="Arial"/>
          <w:sz w:val="32"/>
          <w:szCs w:val="36"/>
        </w:rPr>
        <w:t>September</w:t>
      </w:r>
      <w:r w:rsidR="000C1CCC">
        <w:rPr>
          <w:rFonts w:ascii="Arial" w:eastAsia="Times" w:hAnsi="Arial" w:cs="Arial"/>
          <w:sz w:val="32"/>
          <w:szCs w:val="36"/>
        </w:rPr>
        <w:t xml:space="preserve"> </w:t>
      </w:r>
      <w:r w:rsidR="003F6759">
        <w:rPr>
          <w:rFonts w:ascii="Arial" w:eastAsia="Times" w:hAnsi="Arial" w:cs="Arial"/>
          <w:sz w:val="32"/>
          <w:szCs w:val="36"/>
        </w:rPr>
        <w:t>2019</w:t>
      </w:r>
    </w:p>
    <w:p w14:paraId="73BBD537" w14:textId="77777777" w:rsidR="00D133CA" w:rsidRPr="00D133CA" w:rsidRDefault="00D133CA" w:rsidP="00D133CA">
      <w:pPr>
        <w:spacing w:after="0" w:line="240" w:lineRule="auto"/>
        <w:jc w:val="center"/>
        <w:rPr>
          <w:rFonts w:ascii="Times New Roman" w:eastAsia="Times" w:hAnsi="Times New Roman" w:cs="Times New Roman"/>
          <w:sz w:val="40"/>
          <w:szCs w:val="40"/>
        </w:rPr>
      </w:pPr>
    </w:p>
    <w:p w14:paraId="07EF9CB7" w14:textId="77777777" w:rsidR="008438F6" w:rsidRDefault="008438F6" w:rsidP="00D133CA">
      <w:pPr>
        <w:spacing w:after="0" w:line="240" w:lineRule="auto"/>
        <w:jc w:val="center"/>
        <w:rPr>
          <w:rFonts w:ascii="Arial" w:eastAsia="Times" w:hAnsi="Arial" w:cs="Arial"/>
          <w:sz w:val="20"/>
          <w:szCs w:val="20"/>
        </w:rPr>
      </w:pPr>
    </w:p>
    <w:p w14:paraId="0E5BC42B" w14:textId="77777777" w:rsidR="008438F6" w:rsidRDefault="008438F6" w:rsidP="00D133CA">
      <w:pPr>
        <w:spacing w:after="0" w:line="240" w:lineRule="auto"/>
        <w:jc w:val="center"/>
        <w:rPr>
          <w:rFonts w:ascii="Arial" w:eastAsia="Times" w:hAnsi="Arial" w:cs="Arial"/>
          <w:sz w:val="20"/>
          <w:szCs w:val="20"/>
        </w:rPr>
      </w:pPr>
    </w:p>
    <w:p w14:paraId="7181551F" w14:textId="77777777" w:rsidR="008438F6" w:rsidRDefault="008438F6" w:rsidP="00D133CA">
      <w:pPr>
        <w:spacing w:after="0" w:line="240" w:lineRule="auto"/>
        <w:jc w:val="center"/>
        <w:rPr>
          <w:rFonts w:ascii="Arial" w:eastAsia="Times" w:hAnsi="Arial" w:cs="Arial"/>
          <w:sz w:val="20"/>
          <w:szCs w:val="20"/>
        </w:rPr>
      </w:pPr>
    </w:p>
    <w:p w14:paraId="09AB8C9D" w14:textId="77777777" w:rsidR="008438F6" w:rsidRDefault="008438F6" w:rsidP="00D133CA">
      <w:pPr>
        <w:spacing w:after="0" w:line="240" w:lineRule="auto"/>
        <w:jc w:val="center"/>
        <w:rPr>
          <w:rFonts w:ascii="Arial" w:eastAsia="Times" w:hAnsi="Arial" w:cs="Arial"/>
          <w:sz w:val="20"/>
          <w:szCs w:val="20"/>
        </w:rPr>
      </w:pPr>
    </w:p>
    <w:p w14:paraId="153E0A60" w14:textId="77777777" w:rsidR="008438F6" w:rsidRDefault="008438F6" w:rsidP="00D133CA">
      <w:pPr>
        <w:spacing w:after="0" w:line="240" w:lineRule="auto"/>
        <w:jc w:val="center"/>
        <w:rPr>
          <w:rFonts w:ascii="Arial" w:eastAsia="Times" w:hAnsi="Arial" w:cs="Arial"/>
          <w:sz w:val="20"/>
          <w:szCs w:val="20"/>
        </w:rPr>
      </w:pPr>
    </w:p>
    <w:p w14:paraId="0820C637" w14:textId="77777777" w:rsidR="008438F6" w:rsidRDefault="008438F6" w:rsidP="00D133CA">
      <w:pPr>
        <w:spacing w:after="0" w:line="240" w:lineRule="auto"/>
        <w:jc w:val="center"/>
        <w:rPr>
          <w:rFonts w:ascii="Arial" w:eastAsia="Times" w:hAnsi="Arial" w:cs="Arial"/>
          <w:sz w:val="20"/>
          <w:szCs w:val="20"/>
        </w:rPr>
      </w:pPr>
    </w:p>
    <w:p w14:paraId="6C60EE71" w14:textId="77777777" w:rsidR="008438F6" w:rsidRDefault="008438F6" w:rsidP="00D133CA">
      <w:pPr>
        <w:spacing w:after="0" w:line="240" w:lineRule="auto"/>
        <w:jc w:val="center"/>
        <w:rPr>
          <w:rFonts w:ascii="Arial" w:eastAsia="Times" w:hAnsi="Arial" w:cs="Arial"/>
          <w:sz w:val="20"/>
          <w:szCs w:val="20"/>
        </w:rPr>
      </w:pPr>
    </w:p>
    <w:p w14:paraId="5DA8434F" w14:textId="77777777" w:rsidR="008438F6" w:rsidRDefault="008438F6" w:rsidP="00D133CA">
      <w:pPr>
        <w:spacing w:after="0" w:line="240" w:lineRule="auto"/>
        <w:jc w:val="center"/>
        <w:rPr>
          <w:rFonts w:ascii="Arial" w:eastAsia="Times" w:hAnsi="Arial" w:cs="Arial"/>
          <w:sz w:val="20"/>
          <w:szCs w:val="20"/>
        </w:rPr>
      </w:pPr>
    </w:p>
    <w:p w14:paraId="1B2B1B06" w14:textId="77777777" w:rsidR="008438F6" w:rsidRDefault="008438F6" w:rsidP="00D133CA">
      <w:pPr>
        <w:spacing w:after="0" w:line="240" w:lineRule="auto"/>
        <w:jc w:val="center"/>
        <w:rPr>
          <w:rFonts w:ascii="Arial" w:eastAsia="Times" w:hAnsi="Arial" w:cs="Arial"/>
          <w:sz w:val="20"/>
          <w:szCs w:val="20"/>
        </w:rPr>
      </w:pPr>
    </w:p>
    <w:p w14:paraId="5FB8692E" w14:textId="77777777" w:rsidR="008438F6" w:rsidRDefault="008438F6" w:rsidP="00D133CA">
      <w:pPr>
        <w:spacing w:after="0" w:line="240" w:lineRule="auto"/>
        <w:jc w:val="center"/>
        <w:rPr>
          <w:rFonts w:ascii="Arial" w:eastAsia="Times" w:hAnsi="Arial" w:cs="Arial"/>
          <w:sz w:val="20"/>
          <w:szCs w:val="20"/>
        </w:rPr>
      </w:pPr>
    </w:p>
    <w:p w14:paraId="40A7E5CC" w14:textId="77777777" w:rsidR="008438F6" w:rsidRDefault="008438F6" w:rsidP="00D133CA">
      <w:pPr>
        <w:spacing w:after="0" w:line="240" w:lineRule="auto"/>
        <w:jc w:val="center"/>
        <w:rPr>
          <w:rFonts w:ascii="Arial" w:eastAsia="Times" w:hAnsi="Arial" w:cs="Arial"/>
          <w:sz w:val="20"/>
          <w:szCs w:val="20"/>
        </w:rPr>
      </w:pPr>
    </w:p>
    <w:p w14:paraId="0427A605" w14:textId="77777777" w:rsidR="008438F6" w:rsidRDefault="008438F6" w:rsidP="00D133CA">
      <w:pPr>
        <w:spacing w:after="0" w:line="240" w:lineRule="auto"/>
        <w:jc w:val="center"/>
        <w:rPr>
          <w:rFonts w:ascii="Arial" w:eastAsia="Times" w:hAnsi="Arial" w:cs="Arial"/>
          <w:sz w:val="20"/>
          <w:szCs w:val="20"/>
        </w:rPr>
      </w:pPr>
    </w:p>
    <w:p w14:paraId="0018B84E" w14:textId="77777777" w:rsidR="008438F6" w:rsidRDefault="008438F6" w:rsidP="00D133CA">
      <w:pPr>
        <w:spacing w:after="0" w:line="240" w:lineRule="auto"/>
        <w:jc w:val="center"/>
        <w:rPr>
          <w:rFonts w:ascii="Arial" w:eastAsia="Times" w:hAnsi="Arial" w:cs="Arial"/>
          <w:sz w:val="20"/>
          <w:szCs w:val="20"/>
        </w:rPr>
      </w:pPr>
    </w:p>
    <w:p w14:paraId="4F633B70" w14:textId="77777777" w:rsidR="008438F6" w:rsidRDefault="008438F6" w:rsidP="00D133CA">
      <w:pPr>
        <w:spacing w:after="0" w:line="240" w:lineRule="auto"/>
        <w:jc w:val="center"/>
        <w:rPr>
          <w:rFonts w:ascii="Arial" w:eastAsia="Times" w:hAnsi="Arial" w:cs="Arial"/>
          <w:sz w:val="20"/>
          <w:szCs w:val="20"/>
        </w:rPr>
      </w:pPr>
    </w:p>
    <w:p w14:paraId="2CEC0CE2" w14:textId="77777777" w:rsidR="008438F6" w:rsidRDefault="008438F6" w:rsidP="00D133CA">
      <w:pPr>
        <w:spacing w:after="0" w:line="240" w:lineRule="auto"/>
        <w:jc w:val="center"/>
        <w:rPr>
          <w:rFonts w:ascii="Arial" w:eastAsia="Times" w:hAnsi="Arial" w:cs="Arial"/>
          <w:sz w:val="20"/>
          <w:szCs w:val="20"/>
        </w:rPr>
      </w:pPr>
    </w:p>
    <w:p w14:paraId="76B70F5E" w14:textId="77777777" w:rsidR="008438F6" w:rsidRDefault="008438F6" w:rsidP="00D133CA">
      <w:pPr>
        <w:spacing w:after="0" w:line="240" w:lineRule="auto"/>
        <w:jc w:val="center"/>
        <w:rPr>
          <w:rFonts w:ascii="Arial" w:eastAsia="Times" w:hAnsi="Arial" w:cs="Arial"/>
          <w:sz w:val="20"/>
          <w:szCs w:val="20"/>
        </w:rPr>
      </w:pPr>
    </w:p>
    <w:p w14:paraId="67D57E1C" w14:textId="77777777" w:rsidR="008438F6" w:rsidRDefault="008438F6" w:rsidP="00D133CA">
      <w:pPr>
        <w:spacing w:after="0" w:line="240" w:lineRule="auto"/>
        <w:jc w:val="center"/>
        <w:rPr>
          <w:rFonts w:ascii="Arial" w:eastAsia="Times" w:hAnsi="Arial" w:cs="Arial"/>
          <w:sz w:val="20"/>
          <w:szCs w:val="20"/>
        </w:rPr>
      </w:pPr>
    </w:p>
    <w:p w14:paraId="0453E6D8" w14:textId="77777777" w:rsidR="008438F6" w:rsidRDefault="008438F6" w:rsidP="00D133CA">
      <w:pPr>
        <w:spacing w:after="0" w:line="240" w:lineRule="auto"/>
        <w:jc w:val="center"/>
        <w:rPr>
          <w:rFonts w:ascii="Arial" w:eastAsia="Times" w:hAnsi="Arial" w:cs="Arial"/>
          <w:sz w:val="20"/>
          <w:szCs w:val="20"/>
        </w:rPr>
      </w:pPr>
    </w:p>
    <w:p w14:paraId="21CBAAD0" w14:textId="77777777" w:rsidR="008438F6" w:rsidRDefault="008438F6" w:rsidP="00D133CA">
      <w:pPr>
        <w:spacing w:after="0" w:line="240" w:lineRule="auto"/>
        <w:jc w:val="center"/>
        <w:rPr>
          <w:rFonts w:ascii="Arial" w:eastAsia="Times" w:hAnsi="Arial" w:cs="Arial"/>
          <w:sz w:val="20"/>
          <w:szCs w:val="20"/>
        </w:rPr>
      </w:pPr>
    </w:p>
    <w:p w14:paraId="1D64A5D6" w14:textId="77777777" w:rsidR="008A43F4" w:rsidRDefault="008A43F4" w:rsidP="00D133CA">
      <w:pPr>
        <w:spacing w:after="0" w:line="240" w:lineRule="auto"/>
        <w:jc w:val="center"/>
        <w:rPr>
          <w:rFonts w:ascii="Arial" w:eastAsia="Times" w:hAnsi="Arial" w:cs="Arial"/>
          <w:sz w:val="20"/>
          <w:szCs w:val="20"/>
        </w:rPr>
      </w:pPr>
    </w:p>
    <w:p w14:paraId="393AC607" w14:textId="77777777" w:rsidR="008A43F4" w:rsidRDefault="008A43F4" w:rsidP="00D133CA">
      <w:pPr>
        <w:spacing w:after="0" w:line="240" w:lineRule="auto"/>
        <w:jc w:val="center"/>
        <w:rPr>
          <w:rFonts w:ascii="Arial" w:eastAsia="Times" w:hAnsi="Arial" w:cs="Arial"/>
          <w:sz w:val="20"/>
          <w:szCs w:val="20"/>
        </w:rPr>
      </w:pPr>
    </w:p>
    <w:p w14:paraId="1ECBD8BB" w14:textId="77777777" w:rsidR="008438F6" w:rsidRDefault="00003481" w:rsidP="00003481">
      <w:pPr>
        <w:spacing w:after="0" w:line="240" w:lineRule="auto"/>
        <w:jc w:val="center"/>
        <w:rPr>
          <w:rFonts w:ascii="Arial" w:eastAsia="Times" w:hAnsi="Arial" w:cs="Arial"/>
          <w:sz w:val="20"/>
          <w:szCs w:val="20"/>
        </w:rPr>
      </w:pPr>
      <w:r w:rsidRPr="00D133CA">
        <w:rPr>
          <w:rFonts w:ascii="Arial" w:eastAsia="Times" w:hAnsi="Arial" w:cs="Arial"/>
          <w:sz w:val="20"/>
          <w:szCs w:val="20"/>
        </w:rPr>
        <w:t>Federal Energy Management Program</w:t>
      </w:r>
    </w:p>
    <w:p w14:paraId="0D463DC7" w14:textId="77777777" w:rsidR="00D133CA" w:rsidRPr="00D133CA" w:rsidRDefault="00653AF3" w:rsidP="00D133CA">
      <w:pPr>
        <w:spacing w:after="0" w:line="240" w:lineRule="auto"/>
        <w:jc w:val="center"/>
        <w:rPr>
          <w:rFonts w:ascii="Arial" w:eastAsia="Times" w:hAnsi="Arial" w:cs="Arial"/>
          <w:sz w:val="20"/>
          <w:szCs w:val="20"/>
        </w:rPr>
      </w:pPr>
      <w:r>
        <w:rPr>
          <w:rFonts w:ascii="Arial" w:eastAsia="Times" w:hAnsi="Arial" w:cs="Arial"/>
          <w:sz w:val="20"/>
          <w:szCs w:val="20"/>
        </w:rPr>
        <w:t>Office of Energy Efficiency and Renewable Energy</w:t>
      </w:r>
    </w:p>
    <w:p w14:paraId="5ABCA57A" w14:textId="77777777" w:rsidR="00653AF3" w:rsidRDefault="00D133CA" w:rsidP="00481F2A">
      <w:pPr>
        <w:spacing w:after="0" w:line="240" w:lineRule="auto"/>
        <w:jc w:val="center"/>
        <w:rPr>
          <w:rFonts w:ascii="Arial" w:hAnsi="Arial" w:cs="Arial"/>
          <w:b/>
          <w:sz w:val="24"/>
          <w:szCs w:val="28"/>
        </w:rPr>
        <w:sectPr w:rsidR="00653AF3" w:rsidSect="00D159F1">
          <w:headerReference w:type="default" r:id="rId9"/>
          <w:footerReference w:type="default" r:id="rId10"/>
          <w:pgSz w:w="12240" w:h="15840" w:code="1"/>
          <w:pgMar w:top="1440" w:right="1440" w:bottom="720" w:left="1440" w:header="0" w:footer="0" w:gutter="0"/>
          <w:cols w:space="720"/>
          <w:docGrid w:linePitch="299"/>
        </w:sectPr>
      </w:pPr>
      <w:r w:rsidRPr="00D133CA">
        <w:rPr>
          <w:rFonts w:ascii="Arial" w:eastAsia="Times" w:hAnsi="Arial" w:cs="Arial"/>
          <w:sz w:val="20"/>
          <w:szCs w:val="20"/>
        </w:rPr>
        <w:t>U.S. Department of Energy</w:t>
      </w:r>
      <w:bookmarkStart w:id="1" w:name="_Toc147573101"/>
      <w:bookmarkStart w:id="2" w:name="_Toc147576153"/>
    </w:p>
    <w:p w14:paraId="12251D47" w14:textId="77777777" w:rsidR="008438F6" w:rsidRPr="00873DA0" w:rsidRDefault="008438F6" w:rsidP="00805C34">
      <w:pPr>
        <w:rPr>
          <w:rFonts w:ascii="Arial" w:hAnsi="Arial" w:cs="Arial"/>
          <w:b/>
          <w:sz w:val="24"/>
          <w:szCs w:val="28"/>
        </w:rPr>
      </w:pPr>
      <w:r w:rsidRPr="00873DA0">
        <w:rPr>
          <w:rFonts w:ascii="Arial" w:hAnsi="Arial" w:cs="Arial"/>
          <w:b/>
          <w:sz w:val="24"/>
          <w:szCs w:val="28"/>
        </w:rPr>
        <w:lastRenderedPageBreak/>
        <w:t>Introduction</w:t>
      </w:r>
      <w:bookmarkEnd w:id="1"/>
      <w:bookmarkEnd w:id="2"/>
    </w:p>
    <w:p w14:paraId="34E0EC1C" w14:textId="38C4570B" w:rsidR="008438F6" w:rsidRDefault="008438F6" w:rsidP="008A2A82">
      <w:pPr>
        <w:pStyle w:val="NoSpacing"/>
      </w:pPr>
      <w:r w:rsidRPr="00805C34">
        <w:t xml:space="preserve">This guidance </w:t>
      </w:r>
      <w:r w:rsidR="00F104C6">
        <w:t>outline</w:t>
      </w:r>
      <w:r w:rsidR="00FC6B5B">
        <w:t>s</w:t>
      </w:r>
      <w:r w:rsidRPr="00805C34">
        <w:t xml:space="preserve"> </w:t>
      </w:r>
      <w:r w:rsidR="005E2147">
        <w:t xml:space="preserve">annual </w:t>
      </w:r>
      <w:r w:rsidRPr="00805C34">
        <w:t>reporting procedures with respect to</w:t>
      </w:r>
      <w:r w:rsidR="005E2147">
        <w:t xml:space="preserve"> Federal</w:t>
      </w:r>
      <w:r w:rsidRPr="00805C34">
        <w:t xml:space="preserve"> </w:t>
      </w:r>
      <w:r w:rsidR="005E2147">
        <w:t xml:space="preserve">agency </w:t>
      </w:r>
      <w:r w:rsidRPr="00805C34">
        <w:t>energy and water management activities</w:t>
      </w:r>
      <w:r w:rsidR="005E2147">
        <w:t>.</w:t>
      </w:r>
      <w:r w:rsidR="0082564B">
        <w:t xml:space="preserve"> </w:t>
      </w:r>
      <w:r w:rsidRPr="00805C34">
        <w:t>The Department of Energy’s (DOE) Federal Energy Management Program (FEMP) has prepared this guidance</w:t>
      </w:r>
      <w:r w:rsidR="005E2147">
        <w:t xml:space="preserve"> for consolidated data collection to meet reporting requirements established </w:t>
      </w:r>
      <w:r w:rsidR="00801C88">
        <w:t>under</w:t>
      </w:r>
      <w:r w:rsidR="005E2147" w:rsidRPr="00805C34">
        <w:t xml:space="preserve"> the National Energy </w:t>
      </w:r>
      <w:r w:rsidR="005E2147">
        <w:t>Conservation Policy Act (NECPA), as amended,</w:t>
      </w:r>
      <w:r w:rsidR="005E2147" w:rsidRPr="00805C34">
        <w:t xml:space="preserve"> Energy Policy Act of 2005 (EPACT ’05), Energy Independence and Security Act of 2007 (EISA), </w:t>
      </w:r>
      <w:r w:rsidR="005E2147">
        <w:t xml:space="preserve">and </w:t>
      </w:r>
      <w:r w:rsidR="005E2147" w:rsidRPr="00805C34">
        <w:t xml:space="preserve">Executive Order (E.O.) </w:t>
      </w:r>
      <w:r w:rsidR="005E2147">
        <w:t xml:space="preserve">13834, </w:t>
      </w:r>
      <w:r w:rsidR="005E2147">
        <w:rPr>
          <w:i/>
          <w:iCs/>
          <w:sz w:val="23"/>
          <w:szCs w:val="23"/>
        </w:rPr>
        <w:t>Efficient Federal Operations</w:t>
      </w:r>
      <w:r w:rsidR="005E2147" w:rsidRPr="00805C34">
        <w:t>.</w:t>
      </w:r>
    </w:p>
    <w:p w14:paraId="33CEB44E" w14:textId="77777777" w:rsidR="008A2A82" w:rsidRPr="008A2A82" w:rsidRDefault="008A2A82" w:rsidP="008A2A82">
      <w:pPr>
        <w:pStyle w:val="NoSpacing"/>
      </w:pPr>
    </w:p>
    <w:p w14:paraId="1BE7EEC7" w14:textId="77777777" w:rsidR="008438F6" w:rsidRPr="00873DA0" w:rsidRDefault="008438F6" w:rsidP="00805C34">
      <w:pPr>
        <w:rPr>
          <w:rFonts w:ascii="Arial" w:hAnsi="Arial" w:cs="Arial"/>
          <w:b/>
          <w:sz w:val="24"/>
          <w:szCs w:val="20"/>
        </w:rPr>
      </w:pPr>
      <w:r w:rsidRPr="00873DA0">
        <w:rPr>
          <w:rFonts w:ascii="Arial" w:hAnsi="Arial" w:cs="Arial"/>
          <w:b/>
          <w:sz w:val="24"/>
          <w:szCs w:val="20"/>
        </w:rPr>
        <w:t>Purpose of Reporting</w:t>
      </w:r>
    </w:p>
    <w:p w14:paraId="2BC004FD" w14:textId="37042D9C" w:rsidR="008438F6" w:rsidRDefault="00B833E6" w:rsidP="008A2A82">
      <w:pPr>
        <w:pStyle w:val="NoSpacing"/>
      </w:pPr>
      <w:r w:rsidRPr="00805C34">
        <w:t>Section 548</w:t>
      </w:r>
      <w:r>
        <w:t>(a)</w:t>
      </w:r>
      <w:r w:rsidRPr="00805C34">
        <w:t xml:space="preserve"> of NECPA</w:t>
      </w:r>
      <w:r>
        <w:t xml:space="preserve"> (42 U.S.C. 8258(a)) requires each Federal agency to submit a report each year to the Department of Energy on their activities to meet the energy management requirements of Section 543 of NECPA (42 U.S.C. 8253).  </w:t>
      </w:r>
      <w:r w:rsidR="008438F6" w:rsidRPr="00805C34">
        <w:t xml:space="preserve">Information and data collected from the agencies will be used to develop DOE’s </w:t>
      </w:r>
      <w:r w:rsidR="008438F6" w:rsidRPr="00003481">
        <w:rPr>
          <w:i/>
        </w:rPr>
        <w:t>Annual Report to Congress on Federal Government Energy Management</w:t>
      </w:r>
      <w:r w:rsidR="008438F6" w:rsidRPr="00805C34">
        <w:t>.  This report is required under Section 548 of NECPA</w:t>
      </w:r>
      <w:r w:rsidR="00003481">
        <w:t xml:space="preserve"> (42 U.S.C. </w:t>
      </w:r>
      <w:r w:rsidR="00DF71E4">
        <w:t>8258</w:t>
      </w:r>
      <w:r>
        <w:t>(</w:t>
      </w:r>
      <w:r w:rsidR="00003481">
        <w:t>b</w:t>
      </w:r>
      <w:r>
        <w:t>)</w:t>
      </w:r>
      <w:r w:rsidR="00DF71E4">
        <w:t xml:space="preserve">) </w:t>
      </w:r>
      <w:r w:rsidR="008438F6" w:rsidRPr="00805C34">
        <w:t xml:space="preserve">and describes energy management activities in Federal facilities and operations and progress in implementing the requirements of NECPA, EPACT ’05, </w:t>
      </w:r>
      <w:r w:rsidR="00806B95">
        <w:t xml:space="preserve">and </w:t>
      </w:r>
      <w:r w:rsidR="008438F6" w:rsidRPr="00805C34">
        <w:t>EISA.  Final distribution of the repo</w:t>
      </w:r>
      <w:r w:rsidR="00B4351E">
        <w:t>rt includes the House Committee</w:t>
      </w:r>
      <w:r w:rsidR="008438F6" w:rsidRPr="00805C34">
        <w:t xml:space="preserve"> on Energy and Commerce</w:t>
      </w:r>
      <w:r w:rsidR="00B4351E">
        <w:t xml:space="preserve"> and the Senate Committee</w:t>
      </w:r>
      <w:r w:rsidR="008438F6" w:rsidRPr="00805C34">
        <w:t xml:space="preserve"> on Energy and Natural Resources.  </w:t>
      </w:r>
    </w:p>
    <w:p w14:paraId="008C1656" w14:textId="77777777" w:rsidR="008A2A82" w:rsidRPr="008A2A82" w:rsidRDefault="008A2A82" w:rsidP="008A2A82">
      <w:pPr>
        <w:pStyle w:val="NoSpacing"/>
      </w:pPr>
    </w:p>
    <w:p w14:paraId="19418C1B" w14:textId="77777777" w:rsidR="0082564B" w:rsidRDefault="00801C88" w:rsidP="001427B3">
      <w:pPr>
        <w:pStyle w:val="NoSpacing"/>
      </w:pPr>
      <w:r>
        <w:t xml:space="preserve">Data collected through </w:t>
      </w:r>
      <w:r w:rsidR="00323958">
        <w:t>this consolidated report</w:t>
      </w:r>
      <w:r>
        <w:t xml:space="preserve"> is </w:t>
      </w:r>
      <w:r w:rsidR="0082564B">
        <w:t xml:space="preserve">also </w:t>
      </w:r>
      <w:r>
        <w:t>provided to the Office of Management and Budget (OMB) and the Council on Environmental Quality for the purpose of tracking compliance and progress toward statutory requirements and Executive Order goals</w:t>
      </w:r>
      <w:r w:rsidR="00323958">
        <w:t xml:space="preserve">, per </w:t>
      </w:r>
      <w:r w:rsidR="00323958" w:rsidRPr="00323958">
        <w:rPr>
          <w:i/>
        </w:rPr>
        <w:t>Implementing Instructions for Executive Order 13834</w:t>
      </w:r>
      <w:r>
        <w:t>.</w:t>
      </w:r>
      <w:r w:rsidR="0082564B">
        <w:t xml:space="preserve"> </w:t>
      </w:r>
    </w:p>
    <w:p w14:paraId="02A89765" w14:textId="77777777" w:rsidR="0082564B" w:rsidRDefault="0082564B" w:rsidP="001427B3">
      <w:pPr>
        <w:pStyle w:val="NoSpacing"/>
      </w:pPr>
    </w:p>
    <w:p w14:paraId="79AC96B3" w14:textId="0C9DB91E" w:rsidR="00485387" w:rsidRDefault="00E60086" w:rsidP="001427B3">
      <w:pPr>
        <w:pStyle w:val="NoSpacing"/>
        <w:rPr>
          <w:color w:val="0000FF"/>
          <w:u w:val="single"/>
        </w:rPr>
      </w:pPr>
      <w:r>
        <w:t>Data</w:t>
      </w:r>
      <w:r w:rsidR="0082564B" w:rsidRPr="00805C34">
        <w:t xml:space="preserve"> contained in the annual report </w:t>
      </w:r>
      <w:r w:rsidR="0082564B">
        <w:t>is publicly released and made available</w:t>
      </w:r>
      <w:r w:rsidR="0082564B" w:rsidRPr="00805C34">
        <w:t xml:space="preserve"> to other Federal agencies, including the Bureau of Economic Analysis and Energy Information Administration; State and local governments; private companies and citizens, and non-government organizations. </w:t>
      </w:r>
      <w:r w:rsidR="0082564B">
        <w:t xml:space="preserve">Most-recent and past fiscal year data is also available in detail on FEMP’s website at </w:t>
      </w:r>
      <w:hyperlink r:id="rId11" w:history="1">
        <w:r w:rsidR="0082564B" w:rsidRPr="00115B7C">
          <w:rPr>
            <w:rStyle w:val="Hyperlink"/>
          </w:rPr>
          <w:t>http://energy.gov/eere/femp/federal-facility-annual-energy-reports-and-performance</w:t>
        </w:r>
      </w:hyperlink>
      <w:r w:rsidR="0082564B">
        <w:t>.</w:t>
      </w:r>
      <w:r w:rsidR="00475F0A">
        <w:t xml:space="preserve"> </w:t>
      </w:r>
      <w:r w:rsidR="008438F6" w:rsidRPr="00485387">
        <w:t xml:space="preserve">This </w:t>
      </w:r>
      <w:r w:rsidR="00003481">
        <w:t xml:space="preserve">guidance </w:t>
      </w:r>
      <w:r w:rsidR="008438F6" w:rsidRPr="00485387">
        <w:t xml:space="preserve">document </w:t>
      </w:r>
      <w:r w:rsidR="00003481">
        <w:t>is also</w:t>
      </w:r>
      <w:r w:rsidR="008438F6" w:rsidRPr="00485387">
        <w:t xml:space="preserve"> available at the following web </w:t>
      </w:r>
      <w:r w:rsidR="00834DEE">
        <w:t>page</w:t>
      </w:r>
      <w:r w:rsidR="008438F6" w:rsidRPr="00485387">
        <w:t xml:space="preserve">: </w:t>
      </w:r>
      <w:hyperlink r:id="rId12" w:history="1">
        <w:r w:rsidR="000C6208" w:rsidRPr="000C6208">
          <w:rPr>
            <w:rStyle w:val="Hyperlink"/>
          </w:rPr>
          <w:t>http://energy.gov/eere/femp/federal-facility-consolidated-annual-reporting-requirements</w:t>
        </w:r>
      </w:hyperlink>
      <w:r w:rsidR="00475F0A">
        <w:t>.</w:t>
      </w:r>
    </w:p>
    <w:p w14:paraId="6D1E4490" w14:textId="77777777" w:rsidR="008438F6" w:rsidRPr="00805C34" w:rsidRDefault="008438F6" w:rsidP="001427B3">
      <w:pPr>
        <w:pStyle w:val="NoSpacing"/>
      </w:pPr>
      <w:r w:rsidRPr="00805C34">
        <w:t xml:space="preserve"> </w:t>
      </w:r>
    </w:p>
    <w:p w14:paraId="3D394C1D" w14:textId="77777777" w:rsidR="00B8032C" w:rsidRPr="00873DA0" w:rsidRDefault="00B8032C" w:rsidP="00132BD7">
      <w:pPr>
        <w:pStyle w:val="NoSpacing"/>
        <w:rPr>
          <w:rFonts w:ascii="Arial" w:hAnsi="Arial" w:cs="Arial"/>
          <w:b/>
          <w:sz w:val="24"/>
        </w:rPr>
      </w:pPr>
      <w:r w:rsidRPr="00873DA0">
        <w:rPr>
          <w:rFonts w:ascii="Arial" w:hAnsi="Arial" w:cs="Arial"/>
          <w:b/>
          <w:sz w:val="24"/>
        </w:rPr>
        <w:t xml:space="preserve">Reporting Package Components </w:t>
      </w:r>
    </w:p>
    <w:p w14:paraId="5A29BB7E" w14:textId="77777777" w:rsidR="003B2ABA" w:rsidRDefault="003B2ABA" w:rsidP="00132BD7">
      <w:pPr>
        <w:pStyle w:val="NoSpacing"/>
        <w:rPr>
          <w:rFonts w:ascii="Arial" w:hAnsi="Arial" w:cs="Arial"/>
          <w:b/>
          <w:sz w:val="28"/>
        </w:rPr>
      </w:pPr>
    </w:p>
    <w:p w14:paraId="0E0AAB24" w14:textId="77777777" w:rsidR="00641CFA" w:rsidRPr="00873DA0" w:rsidRDefault="003B2ABA" w:rsidP="00DF71E4">
      <w:pPr>
        <w:pStyle w:val="NoSpacing"/>
        <w:rPr>
          <w:rFonts w:ascii="Arial" w:hAnsi="Arial" w:cs="Arial"/>
          <w:b/>
        </w:rPr>
      </w:pPr>
      <w:r w:rsidRPr="00873DA0">
        <w:rPr>
          <w:rFonts w:ascii="Arial" w:hAnsi="Arial" w:cs="Arial"/>
          <w:b/>
        </w:rPr>
        <w:t>Due Date</w:t>
      </w:r>
    </w:p>
    <w:p w14:paraId="4A5439CD" w14:textId="77777777" w:rsidR="000A38CD" w:rsidRDefault="00B8032C" w:rsidP="00DF71E4">
      <w:pPr>
        <w:pStyle w:val="NoSpacing"/>
      </w:pPr>
      <w:r w:rsidRPr="00805C34">
        <w:t xml:space="preserve">The </w:t>
      </w:r>
      <w:r w:rsidR="004862A0" w:rsidRPr="00805C34">
        <w:t xml:space="preserve">completed </w:t>
      </w:r>
      <w:r w:rsidRPr="00805C34">
        <w:t xml:space="preserve">FY </w:t>
      </w:r>
      <w:r w:rsidR="00A33164">
        <w:t>201</w:t>
      </w:r>
      <w:r w:rsidR="003F6759">
        <w:t>9</w:t>
      </w:r>
      <w:r w:rsidRPr="00805C34">
        <w:t xml:space="preserve"> </w:t>
      </w:r>
      <w:r w:rsidR="002F4CB3">
        <w:t xml:space="preserve">Annual </w:t>
      </w:r>
      <w:r w:rsidR="004862A0" w:rsidRPr="00805C34">
        <w:t>Energy Management Report</w:t>
      </w:r>
      <w:r w:rsidR="002F4CB3">
        <w:t xml:space="preserve"> </w:t>
      </w:r>
      <w:r w:rsidRPr="00805C34">
        <w:t xml:space="preserve">is required to be submitted to DOE no later than </w:t>
      </w:r>
      <w:r w:rsidRPr="003B2ABA">
        <w:rPr>
          <w:b/>
        </w:rPr>
        <w:t xml:space="preserve">January </w:t>
      </w:r>
      <w:r w:rsidR="00365A99">
        <w:rPr>
          <w:b/>
        </w:rPr>
        <w:t>31</w:t>
      </w:r>
      <w:r w:rsidRPr="003B2ABA">
        <w:rPr>
          <w:b/>
        </w:rPr>
        <w:t xml:space="preserve">, </w:t>
      </w:r>
      <w:r w:rsidR="00A33164">
        <w:rPr>
          <w:b/>
        </w:rPr>
        <w:t>20</w:t>
      </w:r>
      <w:r w:rsidR="003F6759">
        <w:rPr>
          <w:b/>
        </w:rPr>
        <w:t>20</w:t>
      </w:r>
      <w:r w:rsidR="00CD7F7A">
        <w:t xml:space="preserve"> per direction of the Office of Management and Budget (OMB)</w:t>
      </w:r>
      <w:r w:rsidRPr="003B2ABA">
        <w:rPr>
          <w:b/>
        </w:rPr>
        <w:t>.</w:t>
      </w:r>
      <w:r w:rsidR="002F4CB3">
        <w:t xml:space="preserve"> </w:t>
      </w:r>
      <w:r w:rsidR="00F35A32">
        <w:t xml:space="preserve"> T</w:t>
      </w:r>
      <w:r w:rsidR="00CD7F7A">
        <w:t xml:space="preserve">he </w:t>
      </w:r>
      <w:r w:rsidR="00F35A32">
        <w:t xml:space="preserve">reporting package </w:t>
      </w:r>
      <w:r w:rsidR="00CD7F7A">
        <w:t>submittal</w:t>
      </w:r>
      <w:r w:rsidR="000A38CD">
        <w:t xml:space="preserve"> includes:</w:t>
      </w:r>
    </w:p>
    <w:p w14:paraId="1C3A5061" w14:textId="77777777" w:rsidR="000A38CD" w:rsidRDefault="002A1C6A" w:rsidP="000A38CD">
      <w:pPr>
        <w:pStyle w:val="NoSpacing"/>
        <w:numPr>
          <w:ilvl w:val="0"/>
          <w:numId w:val="30"/>
        </w:numPr>
      </w:pPr>
      <w:r w:rsidRPr="00805C34">
        <w:t xml:space="preserve">Energy Management Report Summary </w:t>
      </w:r>
      <w:r w:rsidR="00B8032C" w:rsidRPr="00805C34">
        <w:t xml:space="preserve">with </w:t>
      </w:r>
      <w:r w:rsidRPr="00805C34">
        <w:t xml:space="preserve">all required narratives, </w:t>
      </w:r>
    </w:p>
    <w:p w14:paraId="042A6A17" w14:textId="77777777" w:rsidR="005C1222" w:rsidRDefault="00775BD0" w:rsidP="005C1222">
      <w:pPr>
        <w:pStyle w:val="NoSpacing"/>
        <w:numPr>
          <w:ilvl w:val="0"/>
          <w:numId w:val="30"/>
        </w:numPr>
      </w:pPr>
      <w:hyperlink r:id="rId13" w:history="1">
        <w:r w:rsidR="00402343" w:rsidRPr="004736A4">
          <w:rPr>
            <w:rStyle w:val="Hyperlink"/>
            <w:i/>
          </w:rPr>
          <w:t xml:space="preserve">Annual Energy Management Data Report </w:t>
        </w:r>
        <w:r w:rsidR="00402343" w:rsidRPr="00402343">
          <w:rPr>
            <w:rStyle w:val="Hyperlink"/>
          </w:rPr>
          <w:t>workbook</w:t>
        </w:r>
      </w:hyperlink>
      <w:r w:rsidR="005C1222">
        <w:t xml:space="preserve"> for FY </w:t>
      </w:r>
      <w:r w:rsidR="003F6759">
        <w:t>2019</w:t>
      </w:r>
      <w:r w:rsidR="005C1222">
        <w:t xml:space="preserve"> reporting of energy</w:t>
      </w:r>
      <w:r w:rsidR="006754AE">
        <w:t>, water, cost, and square footage</w:t>
      </w:r>
      <w:r w:rsidR="005C1222">
        <w:t xml:space="preserve"> data and </w:t>
      </w:r>
      <w:r w:rsidR="006754AE">
        <w:t>associated greenhouse gas emissions</w:t>
      </w:r>
      <w:r w:rsidR="005C1222">
        <w:t>,</w:t>
      </w:r>
    </w:p>
    <w:p w14:paraId="6A34A774" w14:textId="77777777" w:rsidR="00833677" w:rsidRDefault="000A38CD" w:rsidP="002A4A69">
      <w:pPr>
        <w:pStyle w:val="NoSpacing"/>
        <w:numPr>
          <w:ilvl w:val="0"/>
          <w:numId w:val="30"/>
        </w:numPr>
      </w:pPr>
      <w:r>
        <w:t xml:space="preserve">If applicable, </w:t>
      </w:r>
      <w:r w:rsidR="00C84A71">
        <w:t>c</w:t>
      </w:r>
      <w:r w:rsidRPr="000A38CD">
        <w:t xml:space="preserve">orrections to prior year </w:t>
      </w:r>
      <w:r w:rsidR="00A0618A" w:rsidRPr="004736A4">
        <w:rPr>
          <w:i/>
        </w:rPr>
        <w:t>Data R</w:t>
      </w:r>
      <w:r w:rsidR="006754AE" w:rsidRPr="004736A4">
        <w:rPr>
          <w:i/>
        </w:rPr>
        <w:t>eports</w:t>
      </w:r>
      <w:r w:rsidR="00C84A71">
        <w:t xml:space="preserve"> in the </w:t>
      </w:r>
      <w:r w:rsidR="00C84A71" w:rsidRPr="004736A4">
        <w:rPr>
          <w:i/>
        </w:rPr>
        <w:t>Data Report</w:t>
      </w:r>
      <w:r w:rsidR="00C84A71">
        <w:t xml:space="preserve"> edition for those years</w:t>
      </w:r>
      <w:r w:rsidR="00B96A23">
        <w:t>, and</w:t>
      </w:r>
      <w:r w:rsidR="00B8032C" w:rsidRPr="00805C34">
        <w:t xml:space="preserve">  </w:t>
      </w:r>
    </w:p>
    <w:p w14:paraId="443A5FBA" w14:textId="19D366C7" w:rsidR="00475F0A" w:rsidRPr="00833677" w:rsidRDefault="00B96A23" w:rsidP="002A4A69">
      <w:pPr>
        <w:pStyle w:val="NoSpacing"/>
        <w:numPr>
          <w:ilvl w:val="0"/>
          <w:numId w:val="30"/>
        </w:numPr>
      </w:pPr>
      <w:r>
        <w:t>C</w:t>
      </w:r>
      <w:r w:rsidRPr="00805C34">
        <w:t xml:space="preserve">ompleted </w:t>
      </w:r>
      <w:r w:rsidRPr="003D17D9">
        <w:t>Energy Performance</w:t>
      </w:r>
      <w:r>
        <w:t xml:space="preserve"> Goal </w:t>
      </w:r>
      <w:r w:rsidRPr="00805C34">
        <w:t xml:space="preserve">Excluded Buildings </w:t>
      </w:r>
      <w:r>
        <w:t xml:space="preserve">List (included as part of the </w:t>
      </w:r>
      <w:hyperlink r:id="rId14" w:history="1">
        <w:r w:rsidR="00402343" w:rsidRPr="00833677">
          <w:rPr>
            <w:rStyle w:val="Hyperlink"/>
            <w:i/>
          </w:rPr>
          <w:t>Annual Energy Management Data Report</w:t>
        </w:r>
        <w:r w:rsidR="00402343">
          <w:rPr>
            <w:rStyle w:val="Hyperlink"/>
          </w:rPr>
          <w:t xml:space="preserve"> workbook</w:t>
        </w:r>
      </w:hyperlink>
      <w:r>
        <w:t>). Tab</w:t>
      </w:r>
      <w:r w:rsidR="00067643">
        <w:t xml:space="preserve"> 4.7 in the workbook</w:t>
      </w:r>
      <w:r w:rsidR="006C6035">
        <w:t xml:space="preserve"> provides a template for agencie</w:t>
      </w:r>
      <w:r w:rsidRPr="00B96A23">
        <w:t xml:space="preserve">s to submit the list of facilities excluded from the energy intensity (Btu per gross square foot) reduction requirement and an explanation of why they were excluded.  Refer to </w:t>
      </w:r>
      <w:r w:rsidRPr="004736A4">
        <w:t>DOE’s</w:t>
      </w:r>
      <w:r w:rsidRPr="00833677">
        <w:rPr>
          <w:i/>
        </w:rPr>
        <w:t xml:space="preserve"> </w:t>
      </w:r>
      <w:hyperlink r:id="rId15" w:history="1">
        <w:r w:rsidRPr="004736A4">
          <w:rPr>
            <w:rStyle w:val="Hyperlink"/>
          </w:rPr>
          <w:t>Criteria Guidelines Establishing Criteria for Excluding Buildings from the Energy Performance Requirement</w:t>
        </w:r>
      </w:hyperlink>
      <w:r w:rsidRPr="00B96A23">
        <w:t>. These guidelines establish criteria for exclusions from the energy performance requirement for a fiscal year, any Federal building or collection of Federal buildings, within the statutory framework provided by the law</w:t>
      </w:r>
      <w:r w:rsidR="00067643" w:rsidRPr="00833677">
        <w:rPr>
          <w:rFonts w:ascii="Arial" w:hAnsi="Arial" w:cs="Arial"/>
          <w:b/>
        </w:rPr>
        <w:t>.</w:t>
      </w:r>
    </w:p>
    <w:p w14:paraId="620FBB96" w14:textId="77777777" w:rsidR="00E60086" w:rsidRPr="00475F0A" w:rsidRDefault="00E60086" w:rsidP="00021C1E">
      <w:pPr>
        <w:pStyle w:val="NoSpacing"/>
        <w:ind w:left="720"/>
        <w:rPr>
          <w:rFonts w:ascii="Arial" w:hAnsi="Arial" w:cs="Arial"/>
          <w:b/>
        </w:rPr>
      </w:pPr>
    </w:p>
    <w:p w14:paraId="4C6459BF" w14:textId="77777777" w:rsidR="00B8032C" w:rsidRPr="00481F2A" w:rsidRDefault="00B8032C" w:rsidP="00475F0A">
      <w:pPr>
        <w:rPr>
          <w:rFonts w:ascii="Arial" w:hAnsi="Arial" w:cs="Arial"/>
          <w:b/>
          <w:sz w:val="24"/>
          <w:szCs w:val="24"/>
        </w:rPr>
      </w:pPr>
      <w:r w:rsidRPr="00481F2A">
        <w:rPr>
          <w:rFonts w:ascii="Arial" w:hAnsi="Arial" w:cs="Arial"/>
          <w:b/>
          <w:sz w:val="24"/>
          <w:szCs w:val="24"/>
        </w:rPr>
        <w:t>Point of Contact</w:t>
      </w:r>
    </w:p>
    <w:p w14:paraId="1ADA3EE1" w14:textId="19CEBEDB" w:rsidR="00B8032C" w:rsidRPr="00805C34" w:rsidRDefault="00801C88" w:rsidP="00DF71E4">
      <w:pPr>
        <w:pStyle w:val="NoSpacing"/>
      </w:pPr>
      <w:r>
        <w:t>R</w:t>
      </w:r>
      <w:r w:rsidR="00B8032C" w:rsidRPr="00805C34">
        <w:t>equested information</w:t>
      </w:r>
      <w:r w:rsidR="00F038ED">
        <w:t xml:space="preserve">, along with </w:t>
      </w:r>
      <w:r w:rsidR="00F038ED" w:rsidRPr="00805C34">
        <w:t xml:space="preserve">the </w:t>
      </w:r>
      <w:r w:rsidR="00ED688D">
        <w:rPr>
          <w:i/>
        </w:rPr>
        <w:t>Annual Energy</w:t>
      </w:r>
      <w:r w:rsidR="00F038ED" w:rsidRPr="00D77016">
        <w:rPr>
          <w:i/>
        </w:rPr>
        <w:t xml:space="preserve"> </w:t>
      </w:r>
      <w:r w:rsidR="00A0618A">
        <w:rPr>
          <w:i/>
        </w:rPr>
        <w:t xml:space="preserve">Management </w:t>
      </w:r>
      <w:r w:rsidR="00F038ED" w:rsidRPr="00D77016">
        <w:rPr>
          <w:i/>
        </w:rPr>
        <w:t>Data Report</w:t>
      </w:r>
      <w:r w:rsidR="00B8032C" w:rsidRPr="00805C34">
        <w:t xml:space="preserve"> </w:t>
      </w:r>
      <w:r w:rsidR="00F038ED">
        <w:t xml:space="preserve">workbook(s) </w:t>
      </w:r>
      <w:r w:rsidR="00B8032C" w:rsidRPr="00805C34">
        <w:t xml:space="preserve">should be sent electronically to:  </w:t>
      </w:r>
      <w:hyperlink r:id="rId16" w:history="1">
        <w:r w:rsidR="00B8032C" w:rsidRPr="00805C34">
          <w:rPr>
            <w:color w:val="0000FF"/>
            <w:u w:val="single"/>
          </w:rPr>
          <w:t>chris.tremper@ee.doe.gov</w:t>
        </w:r>
      </w:hyperlink>
      <w:r w:rsidR="00B8032C" w:rsidRPr="00805C34">
        <w:t xml:space="preserve">.  </w:t>
      </w:r>
    </w:p>
    <w:p w14:paraId="41AB048C" w14:textId="77777777" w:rsidR="00B8032C" w:rsidRPr="00805C34" w:rsidRDefault="00B8032C" w:rsidP="00DF71E4">
      <w:pPr>
        <w:pStyle w:val="NoSpacing"/>
      </w:pPr>
    </w:p>
    <w:p w14:paraId="472143D9" w14:textId="644B8053" w:rsidR="00FB235E" w:rsidRPr="00805C34" w:rsidRDefault="00B8032C" w:rsidP="00605204">
      <w:pPr>
        <w:pStyle w:val="NoSpacing"/>
      </w:pPr>
      <w:r w:rsidRPr="00805C34">
        <w:t xml:space="preserve">If you have any questions, please contact Chris Tremper at (202) 586-7632.  Thank you for your cooperation and diligence </w:t>
      </w:r>
      <w:r w:rsidR="00531CAB">
        <w:t>in</w:t>
      </w:r>
      <w:r w:rsidR="00C95233">
        <w:t xml:space="preserve"> managing and</w:t>
      </w:r>
      <w:r w:rsidR="00531CAB">
        <w:t xml:space="preserve"> promoting energy </w:t>
      </w:r>
      <w:r w:rsidR="007E5A83">
        <w:t xml:space="preserve">and water </w:t>
      </w:r>
      <w:r w:rsidR="00531CAB">
        <w:t>efficiency and the use of renewable energy.</w:t>
      </w:r>
      <w:r w:rsidRPr="00805C34">
        <w:t xml:space="preserve"> </w:t>
      </w:r>
      <w:r w:rsidR="00605204">
        <w:br/>
      </w:r>
    </w:p>
    <w:p w14:paraId="6234BDFD" w14:textId="77777777" w:rsidR="00833677" w:rsidRPr="00833677" w:rsidRDefault="00833677" w:rsidP="00833677">
      <w:pPr>
        <w:pStyle w:val="NoSpacing"/>
        <w:rPr>
          <w:rFonts w:ascii="Arial" w:hAnsi="Arial" w:cs="Arial"/>
          <w:b/>
          <w:sz w:val="24"/>
          <w:szCs w:val="24"/>
        </w:rPr>
      </w:pPr>
      <w:r w:rsidRPr="00833677">
        <w:rPr>
          <w:rFonts w:ascii="Arial" w:hAnsi="Arial" w:cs="Arial"/>
          <w:b/>
          <w:sz w:val="24"/>
          <w:szCs w:val="24"/>
        </w:rPr>
        <w:t xml:space="preserve">Attachments </w:t>
      </w:r>
    </w:p>
    <w:p w14:paraId="1C696ACE" w14:textId="77777777" w:rsidR="00833677" w:rsidRDefault="00833677" w:rsidP="00833677">
      <w:pPr>
        <w:pStyle w:val="NoSpacing"/>
        <w:ind w:left="1440" w:hanging="1440"/>
        <w:rPr>
          <w:b/>
        </w:rPr>
      </w:pPr>
    </w:p>
    <w:p w14:paraId="133316CA" w14:textId="3F86ED5C" w:rsidR="00833677" w:rsidRPr="0065233D" w:rsidRDefault="00833677" w:rsidP="00833677">
      <w:pPr>
        <w:pStyle w:val="NoSpacing"/>
        <w:ind w:left="1440" w:hanging="1440"/>
      </w:pPr>
      <w:r>
        <w:rPr>
          <w:b/>
        </w:rPr>
        <w:t xml:space="preserve">Attachment </w:t>
      </w:r>
      <w:r w:rsidRPr="003D17D9">
        <w:rPr>
          <w:b/>
        </w:rPr>
        <w:t>1</w:t>
      </w:r>
      <w:r>
        <w:rPr>
          <w:b/>
        </w:rPr>
        <w:t xml:space="preserve"> -</w:t>
      </w:r>
      <w:r w:rsidRPr="003D17D9">
        <w:rPr>
          <w:b/>
        </w:rPr>
        <w:t xml:space="preserve"> </w:t>
      </w:r>
      <w:r>
        <w:rPr>
          <w:b/>
        </w:rPr>
        <w:tab/>
      </w:r>
      <w:r w:rsidRPr="003D17D9">
        <w:rPr>
          <w:b/>
        </w:rPr>
        <w:t xml:space="preserve">Energy Management </w:t>
      </w:r>
      <w:r w:rsidRPr="002F4CB3">
        <w:rPr>
          <w:b/>
        </w:rPr>
        <w:t xml:space="preserve">Report Summary </w:t>
      </w:r>
      <w:r w:rsidR="007B7542">
        <w:rPr>
          <w:b/>
        </w:rPr>
        <w:t>Inst</w:t>
      </w:r>
      <w:r w:rsidR="00B373B1">
        <w:rPr>
          <w:b/>
        </w:rPr>
        <w:t>r</w:t>
      </w:r>
      <w:r w:rsidR="007B7542">
        <w:rPr>
          <w:b/>
        </w:rPr>
        <w:t>uctions</w:t>
      </w:r>
      <w:r>
        <w:t xml:space="preserve"> –</w:t>
      </w:r>
      <w:r w:rsidR="007B7542">
        <w:t>P</w:t>
      </w:r>
      <w:r w:rsidRPr="00805C34">
        <w:t xml:space="preserve">rovides </w:t>
      </w:r>
      <w:r w:rsidR="007A2F6B">
        <w:t>instructions</w:t>
      </w:r>
      <w:r w:rsidRPr="00805C34">
        <w:t xml:space="preserve"> for </w:t>
      </w:r>
      <w:r>
        <w:t>the a</w:t>
      </w:r>
      <w:r w:rsidRPr="00805C34">
        <w:t>genc</w:t>
      </w:r>
      <w:r>
        <w:t xml:space="preserve">y to provide the </w:t>
      </w:r>
      <w:r w:rsidR="0065233D">
        <w:t xml:space="preserve">minimal </w:t>
      </w:r>
      <w:r>
        <w:t xml:space="preserve">required narrative information and details of </w:t>
      </w:r>
      <w:r w:rsidRPr="00641CFA">
        <w:t>energy and water management activities</w:t>
      </w:r>
      <w:r>
        <w:t xml:space="preserve">. Agency energy consumption and associated data will be collected from the </w:t>
      </w:r>
      <w:hyperlink r:id="rId17" w:history="1">
        <w:r w:rsidRPr="004736A4">
          <w:rPr>
            <w:rStyle w:val="Hyperlink"/>
            <w:i/>
          </w:rPr>
          <w:t>Annual Energy Management Data Report</w:t>
        </w:r>
        <w:r w:rsidRPr="00402343">
          <w:rPr>
            <w:rStyle w:val="Hyperlink"/>
          </w:rPr>
          <w:t xml:space="preserve"> workbook</w:t>
        </w:r>
      </w:hyperlink>
      <w:r>
        <w:t>.</w:t>
      </w:r>
      <w:r w:rsidR="0065233D">
        <w:t xml:space="preserve">  </w:t>
      </w:r>
      <w:r w:rsidR="0065233D" w:rsidRPr="00605204">
        <w:rPr>
          <w:b/>
        </w:rPr>
        <w:t>Note:</w:t>
      </w:r>
      <w:r w:rsidR="0065233D" w:rsidRPr="00422711">
        <w:rPr>
          <w:b/>
        </w:rPr>
        <w:t xml:space="preserve">  </w:t>
      </w:r>
      <w:r w:rsidR="00605204">
        <w:t xml:space="preserve">As part of efforts to further streamline energy and sustainability reporting and remove burden on agencies, the template for the narrative report, which duplicated information reported by agencies in annual Sustainability Plans, has been eliminated. For the report to FEMP, agencies are only required to provide </w:t>
      </w:r>
      <w:r w:rsidR="00605204" w:rsidRPr="00DC2565">
        <w:rPr>
          <w:rFonts w:cstheme="minorHAnsi"/>
          <w:szCs w:val="20"/>
        </w:rPr>
        <w:t xml:space="preserve">extenuating factors that may be skewing the agency </w:t>
      </w:r>
      <w:r w:rsidR="00605204">
        <w:rPr>
          <w:rFonts w:cstheme="minorHAnsi"/>
          <w:szCs w:val="20"/>
        </w:rPr>
        <w:t>progress</w:t>
      </w:r>
      <w:r w:rsidR="00605204">
        <w:t>, data variances, or other anomalies that are pertinent to the data review.</w:t>
      </w:r>
    </w:p>
    <w:p w14:paraId="29FDEE78" w14:textId="77777777" w:rsidR="00833677" w:rsidRPr="00805C34" w:rsidRDefault="00833677" w:rsidP="00833677">
      <w:pPr>
        <w:pStyle w:val="NoSpacing"/>
      </w:pPr>
    </w:p>
    <w:p w14:paraId="0DB23615" w14:textId="77777777" w:rsidR="00833677" w:rsidRPr="002F73D6" w:rsidRDefault="00833677" w:rsidP="00833677">
      <w:pPr>
        <w:spacing w:after="0" w:line="240" w:lineRule="auto"/>
        <w:ind w:left="1440" w:hanging="1440"/>
      </w:pPr>
      <w:r w:rsidRPr="003D17D9">
        <w:rPr>
          <w:b/>
        </w:rPr>
        <w:t>A</w:t>
      </w:r>
      <w:r>
        <w:rPr>
          <w:b/>
        </w:rPr>
        <w:t>ttachment</w:t>
      </w:r>
      <w:r w:rsidRPr="003D17D9">
        <w:rPr>
          <w:b/>
        </w:rPr>
        <w:t xml:space="preserve"> </w:t>
      </w:r>
      <w:r>
        <w:rPr>
          <w:b/>
        </w:rPr>
        <w:t>2 -</w:t>
      </w:r>
      <w:r w:rsidRPr="003D17D9">
        <w:rPr>
          <w:b/>
        </w:rPr>
        <w:t xml:space="preserve"> </w:t>
      </w:r>
      <w:r>
        <w:rPr>
          <w:b/>
        </w:rPr>
        <w:tab/>
      </w:r>
      <w:r w:rsidRPr="008871F7">
        <w:rPr>
          <w:b/>
        </w:rPr>
        <w:t xml:space="preserve">Guidance for Receiving Credit </w:t>
      </w:r>
      <w:r>
        <w:rPr>
          <w:b/>
        </w:rPr>
        <w:t>on Energy Performance Goal</w:t>
      </w:r>
      <w:r w:rsidRPr="008871F7">
        <w:rPr>
          <w:b/>
        </w:rPr>
        <w:t xml:space="preserve"> for Projects That Save Source Energy But Increase Site-Delivered Energy</w:t>
      </w:r>
      <w:r>
        <w:rPr>
          <w:b/>
        </w:rPr>
        <w:t xml:space="preserve"> </w:t>
      </w:r>
      <w:r w:rsidRPr="00F8495E">
        <w:t xml:space="preserve">– </w:t>
      </w:r>
      <w:r w:rsidRPr="002F73D6">
        <w:t xml:space="preserve">This guidance describes how agencies can receive credit towards </w:t>
      </w:r>
      <w:r w:rsidRPr="00E20395">
        <w:t>their energy reduction goals for life-cycle cost-effective projects in</w:t>
      </w:r>
      <w:r w:rsidRPr="003730FC">
        <w:t xml:space="preserve"> which source energy decreases even when if site-delivered energy use increases (as </w:t>
      </w:r>
      <w:r>
        <w:t xml:space="preserve">electricity </w:t>
      </w:r>
      <w:r w:rsidRPr="003730FC">
        <w:t>produc</w:t>
      </w:r>
      <w:r w:rsidRPr="008D37D5">
        <w:t>tion is moved on site</w:t>
      </w:r>
      <w:r>
        <w:t xml:space="preserve"> for combined heat and power applications, for example</w:t>
      </w:r>
      <w:r w:rsidRPr="008D37D5">
        <w:t xml:space="preserve">).  This guidance provides calculator tools and instructions on how to document the project(s) and correctly calculate the </w:t>
      </w:r>
      <w:r w:rsidRPr="00F8495E">
        <w:t xml:space="preserve">necessary adjustment to the site Btu-per-square-foot performance metric.   </w:t>
      </w:r>
    </w:p>
    <w:p w14:paraId="08D177DC" w14:textId="77777777" w:rsidR="00833677" w:rsidRDefault="00833677" w:rsidP="00833677">
      <w:pPr>
        <w:pStyle w:val="NoSpacing"/>
      </w:pPr>
    </w:p>
    <w:p w14:paraId="66EFD72F" w14:textId="77777777" w:rsidR="00833677" w:rsidRDefault="00833677" w:rsidP="00833677">
      <w:pPr>
        <w:spacing w:after="0" w:line="240" w:lineRule="auto"/>
        <w:ind w:left="1440" w:hanging="1440"/>
      </w:pPr>
      <w:r w:rsidRPr="003D17D9">
        <w:rPr>
          <w:b/>
        </w:rPr>
        <w:t>A</w:t>
      </w:r>
      <w:r>
        <w:rPr>
          <w:b/>
        </w:rPr>
        <w:t>ttachment</w:t>
      </w:r>
      <w:r w:rsidRPr="003D17D9">
        <w:rPr>
          <w:b/>
        </w:rPr>
        <w:t xml:space="preserve"> </w:t>
      </w:r>
      <w:r>
        <w:rPr>
          <w:b/>
        </w:rPr>
        <w:t>3 -</w:t>
      </w:r>
      <w:r w:rsidRPr="003D17D9">
        <w:rPr>
          <w:b/>
        </w:rPr>
        <w:t xml:space="preserve"> </w:t>
      </w:r>
      <w:r>
        <w:rPr>
          <w:b/>
        </w:rPr>
        <w:tab/>
      </w:r>
      <w:r w:rsidRPr="004C00FF">
        <w:rPr>
          <w:b/>
          <w:bCs/>
        </w:rPr>
        <w:t>Guidance to Receive Credit on Energy Performance Goal to Normalize for Weather in Benchmarked Building</w:t>
      </w:r>
      <w:r>
        <w:rPr>
          <w:b/>
          <w:bCs/>
        </w:rPr>
        <w:t xml:space="preserve">s </w:t>
      </w:r>
      <w:r w:rsidRPr="00F8495E">
        <w:t xml:space="preserve">– </w:t>
      </w:r>
      <w:r>
        <w:t xml:space="preserve">Provides guidance on the approach </w:t>
      </w:r>
      <w:r w:rsidRPr="004C00FF">
        <w:t xml:space="preserve">for </w:t>
      </w:r>
      <w:r>
        <w:t>reporting an adjustment to</w:t>
      </w:r>
      <w:r w:rsidRPr="004C00FF">
        <w:t xml:space="preserve"> the energy intensity goal performance metric (Btu/Gross Square Foot) to normalize for weather based on locality-specific benchmarking findings for individual buildings.</w:t>
      </w:r>
    </w:p>
    <w:p w14:paraId="1A1F22FB" w14:textId="77777777" w:rsidR="00833677" w:rsidRPr="002F73D6" w:rsidRDefault="00833677" w:rsidP="00833677">
      <w:pPr>
        <w:spacing w:after="0" w:line="240" w:lineRule="auto"/>
        <w:ind w:left="1440" w:hanging="1440"/>
      </w:pPr>
    </w:p>
    <w:p w14:paraId="378DC928" w14:textId="77777777" w:rsidR="00833677" w:rsidRPr="00237101" w:rsidRDefault="00833677" w:rsidP="00833677">
      <w:pPr>
        <w:spacing w:after="0" w:line="240" w:lineRule="auto"/>
        <w:ind w:left="1440" w:hanging="1440"/>
        <w:rPr>
          <w:b/>
          <w:bCs/>
        </w:rPr>
      </w:pPr>
      <w:r w:rsidRPr="003D17D9">
        <w:rPr>
          <w:b/>
        </w:rPr>
        <w:t>A</w:t>
      </w:r>
      <w:r>
        <w:rPr>
          <w:b/>
        </w:rPr>
        <w:t>ttachment</w:t>
      </w:r>
      <w:r w:rsidRPr="003D17D9">
        <w:rPr>
          <w:b/>
        </w:rPr>
        <w:t xml:space="preserve"> </w:t>
      </w:r>
      <w:r>
        <w:rPr>
          <w:b/>
        </w:rPr>
        <w:t>4 -</w:t>
      </w:r>
      <w:r w:rsidRPr="003D17D9">
        <w:rPr>
          <w:b/>
        </w:rPr>
        <w:t xml:space="preserve"> </w:t>
      </w:r>
      <w:r>
        <w:rPr>
          <w:b/>
        </w:rPr>
        <w:tab/>
      </w:r>
      <w:r w:rsidRPr="00237101">
        <w:rPr>
          <w:b/>
          <w:bCs/>
        </w:rPr>
        <w:t>Guidance to Receive Credit</w:t>
      </w:r>
      <w:r>
        <w:rPr>
          <w:b/>
          <w:bCs/>
        </w:rPr>
        <w:t xml:space="preserve"> </w:t>
      </w:r>
      <w:r w:rsidRPr="004C00FF">
        <w:rPr>
          <w:b/>
          <w:bCs/>
        </w:rPr>
        <w:t>on Energy Performance Goal</w:t>
      </w:r>
      <w:r w:rsidRPr="00237101">
        <w:rPr>
          <w:b/>
          <w:bCs/>
        </w:rPr>
        <w:t xml:space="preserve"> for Energy Intensity Improvements in Goal-Excluded Buildings</w:t>
      </w:r>
      <w:r>
        <w:rPr>
          <w:b/>
          <w:bCs/>
        </w:rPr>
        <w:t xml:space="preserve"> </w:t>
      </w:r>
      <w:r w:rsidRPr="00F8495E">
        <w:t xml:space="preserve">– </w:t>
      </w:r>
      <w:r>
        <w:t xml:space="preserve">Provides guidance for reporting an adjustment </w:t>
      </w:r>
      <w:r w:rsidRPr="00237101">
        <w:t xml:space="preserve">to the energy intensity goal performance metric (Btu/Gross Square Foot) to encourage efficiency upgrades at goal-excluded buildings by allowing agencies to credit verified energy efficiency improvements toward the agency's progress on the </w:t>
      </w:r>
      <w:r>
        <w:t>energy intensity reduction goal.</w:t>
      </w:r>
    </w:p>
    <w:p w14:paraId="6CE41B6D" w14:textId="77777777" w:rsidR="000B2BBF" w:rsidRPr="00805C34" w:rsidRDefault="00531CAB" w:rsidP="00605204">
      <w:pPr>
        <w:jc w:val="center"/>
        <w:rPr>
          <w:rFonts w:ascii="Arial" w:hAnsi="Arial" w:cs="Arial"/>
          <w:sz w:val="28"/>
          <w:szCs w:val="28"/>
        </w:rPr>
      </w:pPr>
      <w:r>
        <w:rPr>
          <w:rFonts w:ascii="Arial" w:hAnsi="Arial" w:cs="Arial"/>
          <w:b/>
          <w:bCs/>
          <w:sz w:val="32"/>
          <w:szCs w:val="32"/>
        </w:rPr>
        <w:lastRenderedPageBreak/>
        <w:t xml:space="preserve">ATTACHMENT </w:t>
      </w:r>
      <w:r w:rsidR="000B2BBF" w:rsidRPr="00805C34">
        <w:rPr>
          <w:rFonts w:ascii="Arial" w:hAnsi="Arial" w:cs="Arial"/>
          <w:b/>
          <w:bCs/>
          <w:sz w:val="32"/>
          <w:szCs w:val="32"/>
        </w:rPr>
        <w:t>1</w:t>
      </w:r>
    </w:p>
    <w:p w14:paraId="05FD08EE" w14:textId="77777777" w:rsidR="007E4767" w:rsidRPr="0037028A" w:rsidRDefault="007E4767" w:rsidP="007E4767">
      <w:pPr>
        <w:rPr>
          <w:rFonts w:cstheme="minorHAnsi"/>
          <w:sz w:val="28"/>
          <w:szCs w:val="28"/>
        </w:rPr>
      </w:pPr>
      <w:r w:rsidRPr="0037028A">
        <w:rPr>
          <w:rFonts w:cstheme="minorHAnsi"/>
          <w:b/>
          <w:sz w:val="28"/>
          <w:szCs w:val="28"/>
        </w:rPr>
        <w:t>Energy Management Report Summary Instructions</w:t>
      </w:r>
    </w:p>
    <w:p w14:paraId="574C4E54" w14:textId="49276C0B" w:rsidR="00CD28AB" w:rsidRPr="0037028A" w:rsidRDefault="003410A8" w:rsidP="00CD28AB">
      <w:pPr>
        <w:pStyle w:val="NoSpacing"/>
        <w:rPr>
          <w:rFonts w:cstheme="minorHAnsi"/>
          <w:szCs w:val="20"/>
        </w:rPr>
      </w:pPr>
      <w:r>
        <w:t xml:space="preserve">The Annual Energy Management Report should contain minimal required narrative information and details of </w:t>
      </w:r>
      <w:r w:rsidRPr="00641CFA">
        <w:t>energy and water management activities</w:t>
      </w:r>
      <w:r>
        <w:rPr>
          <w:rFonts w:cstheme="minorHAnsi"/>
          <w:szCs w:val="20"/>
        </w:rPr>
        <w:t xml:space="preserve"> not collected by other means, such as the </w:t>
      </w:r>
      <w:r w:rsidRPr="0011076C">
        <w:rPr>
          <w:rFonts w:cstheme="minorHAnsi"/>
          <w:i/>
          <w:szCs w:val="20"/>
        </w:rPr>
        <w:t>Annual Energy Management Data Report</w:t>
      </w:r>
      <w:r>
        <w:rPr>
          <w:rFonts w:cstheme="minorHAnsi"/>
          <w:szCs w:val="20"/>
        </w:rPr>
        <w:t xml:space="preserve">, the </w:t>
      </w:r>
      <w:r w:rsidRPr="0011076C">
        <w:rPr>
          <w:rFonts w:cstheme="minorHAnsi"/>
          <w:i/>
          <w:szCs w:val="20"/>
        </w:rPr>
        <w:t>Sustainability Report and Implementation Plan</w:t>
      </w:r>
      <w:r>
        <w:rPr>
          <w:rFonts w:cstheme="minorHAnsi"/>
          <w:szCs w:val="20"/>
        </w:rPr>
        <w:t xml:space="preserve">, or the </w:t>
      </w:r>
      <w:hyperlink r:id="rId18" w:history="1">
        <w:r w:rsidR="0011076C" w:rsidRPr="007B7542">
          <w:rPr>
            <w:rStyle w:val="Hyperlink"/>
            <w:rFonts w:cstheme="minorHAnsi"/>
            <w:szCs w:val="20"/>
          </w:rPr>
          <w:t>FEMP Compliance Tracking System</w:t>
        </w:r>
      </w:hyperlink>
      <w:r w:rsidR="0011076C">
        <w:rPr>
          <w:rFonts w:cstheme="minorHAnsi"/>
          <w:szCs w:val="20"/>
        </w:rPr>
        <w:t xml:space="preserve"> (CTS)</w:t>
      </w:r>
      <w:r>
        <w:rPr>
          <w:rFonts w:cstheme="minorHAnsi"/>
          <w:szCs w:val="20"/>
        </w:rPr>
        <w:t xml:space="preserve">.  </w:t>
      </w:r>
    </w:p>
    <w:p w14:paraId="2565CB60" w14:textId="77777777" w:rsidR="00CD28AB" w:rsidRPr="0037028A" w:rsidRDefault="00CD28AB" w:rsidP="00CD28AB">
      <w:pPr>
        <w:pStyle w:val="NoSpacing"/>
        <w:rPr>
          <w:rFonts w:cstheme="minorHAnsi"/>
          <w:szCs w:val="20"/>
        </w:rPr>
      </w:pPr>
    </w:p>
    <w:p w14:paraId="4D37FA11" w14:textId="77777777" w:rsidR="0074767A" w:rsidRPr="00DA4DBC" w:rsidRDefault="0060594C" w:rsidP="0060594C">
      <w:pPr>
        <w:pStyle w:val="NoSpacing"/>
        <w:rPr>
          <w:rFonts w:ascii="Arial" w:hAnsi="Arial" w:cs="Arial"/>
          <w:b/>
          <w:sz w:val="24"/>
          <w:szCs w:val="24"/>
        </w:rPr>
      </w:pPr>
      <w:r w:rsidRPr="00DA4DBC">
        <w:rPr>
          <w:rFonts w:ascii="Arial" w:hAnsi="Arial" w:cs="Arial"/>
          <w:b/>
          <w:sz w:val="24"/>
          <w:szCs w:val="24"/>
        </w:rPr>
        <w:t xml:space="preserve">SECTION </w:t>
      </w:r>
      <w:r w:rsidR="00DA4DBC" w:rsidRPr="00DA4DBC">
        <w:rPr>
          <w:rFonts w:ascii="Arial" w:hAnsi="Arial" w:cs="Arial"/>
          <w:b/>
          <w:sz w:val="24"/>
          <w:szCs w:val="24"/>
        </w:rPr>
        <w:t>1</w:t>
      </w:r>
      <w:r w:rsidRPr="00DA4DBC">
        <w:rPr>
          <w:rFonts w:ascii="Arial" w:hAnsi="Arial" w:cs="Arial"/>
          <w:b/>
          <w:sz w:val="24"/>
          <w:szCs w:val="24"/>
        </w:rPr>
        <w:t xml:space="preserve"> </w:t>
      </w:r>
      <w:r w:rsidR="003B5C82" w:rsidRPr="00DA4DBC">
        <w:rPr>
          <w:rFonts w:ascii="Arial" w:hAnsi="Arial" w:cs="Arial"/>
          <w:b/>
          <w:sz w:val="24"/>
          <w:szCs w:val="24"/>
        </w:rPr>
        <w:t>–</w:t>
      </w:r>
      <w:r w:rsidRPr="00DA4DBC">
        <w:rPr>
          <w:rFonts w:ascii="Arial" w:hAnsi="Arial" w:cs="Arial"/>
          <w:b/>
          <w:sz w:val="24"/>
          <w:szCs w:val="24"/>
        </w:rPr>
        <w:t xml:space="preserve"> </w:t>
      </w:r>
      <w:r w:rsidR="00DA4DBC" w:rsidRPr="00DA4DBC">
        <w:rPr>
          <w:rFonts w:ascii="Arial" w:hAnsi="Arial" w:cs="Arial"/>
          <w:b/>
          <w:sz w:val="24"/>
          <w:szCs w:val="24"/>
        </w:rPr>
        <w:t>Performance Metrics Progress Details, Explanations of Data Variances</w:t>
      </w:r>
    </w:p>
    <w:p w14:paraId="77812FFF" w14:textId="77777777" w:rsidR="00552693" w:rsidRDefault="00552693" w:rsidP="00552693">
      <w:pPr>
        <w:pStyle w:val="NoSpacing"/>
        <w:rPr>
          <w:rFonts w:cstheme="minorHAnsi"/>
          <w:i/>
          <w:sz w:val="20"/>
          <w:szCs w:val="20"/>
        </w:rPr>
      </w:pPr>
    </w:p>
    <w:p w14:paraId="321B30F7" w14:textId="77777777" w:rsidR="00AE13E3" w:rsidRDefault="00DC2565" w:rsidP="00AE13E3">
      <w:pPr>
        <w:pStyle w:val="NoSpacing"/>
        <w:numPr>
          <w:ilvl w:val="0"/>
          <w:numId w:val="35"/>
        </w:numPr>
        <w:rPr>
          <w:rFonts w:cstheme="minorHAnsi"/>
          <w:b/>
          <w:szCs w:val="20"/>
        </w:rPr>
      </w:pPr>
      <w:r w:rsidRPr="00AE13E3">
        <w:rPr>
          <w:rFonts w:cstheme="minorHAnsi"/>
          <w:b/>
          <w:szCs w:val="20"/>
        </w:rPr>
        <w:t xml:space="preserve">Energy </w:t>
      </w:r>
      <w:r w:rsidR="00AE13E3" w:rsidRPr="00AE13E3">
        <w:rPr>
          <w:rFonts w:cstheme="minorHAnsi"/>
          <w:b/>
          <w:szCs w:val="20"/>
        </w:rPr>
        <w:t>Consumption Results</w:t>
      </w:r>
      <w:r w:rsidRPr="00AE13E3">
        <w:rPr>
          <w:rFonts w:cstheme="minorHAnsi"/>
          <w:b/>
          <w:szCs w:val="20"/>
        </w:rPr>
        <w:t xml:space="preserve"> </w:t>
      </w:r>
      <w:r w:rsidR="00AE13E3" w:rsidRPr="00AE13E3">
        <w:rPr>
          <w:rFonts w:cstheme="minorHAnsi"/>
          <w:b/>
          <w:szCs w:val="20"/>
        </w:rPr>
        <w:t>Explanations</w:t>
      </w:r>
    </w:p>
    <w:p w14:paraId="583239CA" w14:textId="77777777" w:rsidR="0061218B" w:rsidRPr="00AE13E3" w:rsidRDefault="0061218B" w:rsidP="0061218B">
      <w:pPr>
        <w:pStyle w:val="NoSpacing"/>
        <w:rPr>
          <w:rFonts w:cstheme="minorHAnsi"/>
          <w:b/>
          <w:szCs w:val="20"/>
        </w:rPr>
      </w:pPr>
    </w:p>
    <w:p w14:paraId="19DFCDDB" w14:textId="77777777" w:rsidR="00DC2565" w:rsidRPr="00AE13E3" w:rsidRDefault="00DC2565" w:rsidP="00AE13E3">
      <w:pPr>
        <w:pStyle w:val="NoSpacing"/>
        <w:numPr>
          <w:ilvl w:val="1"/>
          <w:numId w:val="35"/>
        </w:numPr>
        <w:rPr>
          <w:rFonts w:cstheme="minorHAnsi"/>
          <w:b/>
          <w:szCs w:val="20"/>
        </w:rPr>
      </w:pPr>
      <w:r w:rsidRPr="00AE13E3">
        <w:rPr>
          <w:rFonts w:cstheme="minorHAnsi"/>
          <w:b/>
          <w:szCs w:val="20"/>
        </w:rPr>
        <w:t>Goal Subject Buildings</w:t>
      </w:r>
    </w:p>
    <w:p w14:paraId="39E90B5F" w14:textId="77777777" w:rsidR="007A2F6B" w:rsidRDefault="00DC2565" w:rsidP="007A2F6B">
      <w:pPr>
        <w:pStyle w:val="NoSpacing"/>
        <w:ind w:left="1080"/>
        <w:rPr>
          <w:rFonts w:cstheme="minorHAnsi"/>
          <w:b/>
          <w:szCs w:val="20"/>
        </w:rPr>
      </w:pPr>
      <w:r w:rsidRPr="00DC2565">
        <w:rPr>
          <w:rFonts w:cstheme="minorHAnsi"/>
          <w:szCs w:val="20"/>
        </w:rPr>
        <w:t xml:space="preserve">Discuss any extenuating factors that may be skewing the agency </w:t>
      </w:r>
      <w:r w:rsidR="006B1AFE">
        <w:rPr>
          <w:rFonts w:cstheme="minorHAnsi"/>
          <w:szCs w:val="20"/>
        </w:rPr>
        <w:t>progress</w:t>
      </w:r>
      <w:r w:rsidRPr="00DC2565">
        <w:rPr>
          <w:rFonts w:cstheme="minorHAnsi"/>
          <w:szCs w:val="20"/>
        </w:rPr>
        <w:t xml:space="preserve"> toward the energy intensity reductions reported in FY 2019.  </w:t>
      </w:r>
      <w:r w:rsidR="003700EF">
        <w:rPr>
          <w:rFonts w:cstheme="minorHAnsi"/>
          <w:szCs w:val="20"/>
        </w:rPr>
        <w:t>Explain any variances of greater than 5% from the prior year in Bt</w:t>
      </w:r>
      <w:r w:rsidR="006B1AFE">
        <w:rPr>
          <w:rFonts w:cstheme="minorHAnsi"/>
          <w:szCs w:val="20"/>
        </w:rPr>
        <w:t xml:space="preserve">u, Gross Square Footage, or Btu/GSF.  </w:t>
      </w:r>
      <w:r w:rsidRPr="00DC2565">
        <w:rPr>
          <w:rFonts w:cstheme="minorHAnsi"/>
          <w:szCs w:val="20"/>
        </w:rPr>
        <w:t xml:space="preserve">(Note: The energy intensity reductions will be calculated and reported in the Results Summary spreadsheet located in the </w:t>
      </w:r>
      <w:r w:rsidRPr="00BA45CC">
        <w:rPr>
          <w:rFonts w:cstheme="minorHAnsi"/>
          <w:i/>
          <w:szCs w:val="20"/>
        </w:rPr>
        <w:t>Annual Energy Management Data Report</w:t>
      </w:r>
      <w:r w:rsidRPr="00DC2565">
        <w:rPr>
          <w:rFonts w:cstheme="minorHAnsi"/>
          <w:szCs w:val="20"/>
        </w:rPr>
        <w:t xml:space="preserve"> workbook</w:t>
      </w:r>
      <w:r w:rsidR="003700EF">
        <w:rPr>
          <w:rFonts w:cstheme="minorHAnsi"/>
          <w:szCs w:val="20"/>
        </w:rPr>
        <w:t>.</w:t>
      </w:r>
      <w:r w:rsidRPr="00DC2565">
        <w:rPr>
          <w:rFonts w:cstheme="minorHAnsi"/>
          <w:szCs w:val="20"/>
        </w:rPr>
        <w:t>)</w:t>
      </w:r>
    </w:p>
    <w:p w14:paraId="3C6619EC" w14:textId="77777777" w:rsidR="007A2F6B" w:rsidRDefault="007A2F6B" w:rsidP="007A2F6B">
      <w:pPr>
        <w:pStyle w:val="NoSpacing"/>
        <w:ind w:left="1080"/>
        <w:rPr>
          <w:rFonts w:cstheme="minorHAnsi"/>
          <w:b/>
          <w:szCs w:val="20"/>
        </w:rPr>
      </w:pPr>
    </w:p>
    <w:p w14:paraId="33FD477B" w14:textId="77777777" w:rsidR="00DC2565" w:rsidRPr="007A2F6B" w:rsidRDefault="003700EF" w:rsidP="007A2F6B">
      <w:pPr>
        <w:pStyle w:val="NoSpacing"/>
        <w:numPr>
          <w:ilvl w:val="1"/>
          <w:numId w:val="35"/>
        </w:numPr>
        <w:rPr>
          <w:rFonts w:cstheme="minorHAnsi"/>
          <w:b/>
          <w:szCs w:val="20"/>
        </w:rPr>
      </w:pPr>
      <w:r w:rsidRPr="007A2F6B">
        <w:rPr>
          <w:rFonts w:cstheme="minorHAnsi"/>
          <w:b/>
          <w:szCs w:val="20"/>
        </w:rPr>
        <w:t>Goal-Excluded Facilities</w:t>
      </w:r>
      <w:r w:rsidRPr="007A2F6B">
        <w:rPr>
          <w:rFonts w:cstheme="minorHAnsi"/>
          <w:b/>
          <w:szCs w:val="20"/>
        </w:rPr>
        <w:br/>
      </w:r>
      <w:r w:rsidR="006B1AFE">
        <w:rPr>
          <w:rFonts w:cstheme="minorHAnsi"/>
          <w:szCs w:val="20"/>
        </w:rPr>
        <w:t>Explain any variances of greater than 5% from the prior year in Btu consumed or Gross Square Footage of goal-excluded facilities</w:t>
      </w:r>
      <w:r w:rsidR="00E64427">
        <w:rPr>
          <w:rFonts w:cstheme="minorHAnsi"/>
          <w:szCs w:val="20"/>
        </w:rPr>
        <w:t>.</w:t>
      </w:r>
      <w:r>
        <w:rPr>
          <w:rFonts w:cstheme="minorHAnsi"/>
          <w:szCs w:val="20"/>
        </w:rPr>
        <w:br/>
      </w:r>
    </w:p>
    <w:p w14:paraId="16ABFDDF" w14:textId="77777777" w:rsidR="00E64427" w:rsidRPr="00E64427" w:rsidRDefault="003700EF" w:rsidP="00DC2565">
      <w:pPr>
        <w:pStyle w:val="NoSpacing"/>
        <w:numPr>
          <w:ilvl w:val="1"/>
          <w:numId w:val="35"/>
        </w:numPr>
        <w:rPr>
          <w:rFonts w:cstheme="minorHAnsi"/>
          <w:b/>
          <w:szCs w:val="20"/>
        </w:rPr>
      </w:pPr>
      <w:r w:rsidRPr="0061218B">
        <w:rPr>
          <w:rFonts w:cstheme="minorHAnsi"/>
          <w:b/>
          <w:szCs w:val="20"/>
        </w:rPr>
        <w:t>Vehicles and Equipment</w:t>
      </w:r>
      <w:r w:rsidR="008A3DA6">
        <w:rPr>
          <w:rFonts w:cstheme="minorHAnsi"/>
          <w:szCs w:val="20"/>
        </w:rPr>
        <w:br/>
      </w:r>
      <w:r w:rsidR="00DC2565" w:rsidRPr="008A3DA6">
        <w:rPr>
          <w:rFonts w:cstheme="minorHAnsi"/>
          <w:szCs w:val="20"/>
        </w:rPr>
        <w:t xml:space="preserve">Discuss trends pertaining to this category of fuel use for non-fleet vehicles and other equipment not captured by the Federal Automotive Statistical Tool (FAST) reporting system.  </w:t>
      </w:r>
      <w:r w:rsidR="008A3DA6">
        <w:rPr>
          <w:rFonts w:cstheme="minorHAnsi"/>
          <w:szCs w:val="20"/>
        </w:rPr>
        <w:t>Explain any variances of greater than 5% from the prior year in Btu consumed</w:t>
      </w:r>
      <w:r w:rsidR="00E64427">
        <w:rPr>
          <w:rFonts w:cstheme="minorHAnsi"/>
          <w:szCs w:val="20"/>
        </w:rPr>
        <w:t xml:space="preserve">. </w:t>
      </w:r>
    </w:p>
    <w:p w14:paraId="5F3712BA" w14:textId="77777777" w:rsidR="00E64427" w:rsidRPr="00E64427" w:rsidRDefault="00E64427" w:rsidP="00E64427">
      <w:pPr>
        <w:pStyle w:val="NoSpacing"/>
        <w:ind w:left="1080"/>
        <w:rPr>
          <w:rFonts w:cstheme="minorHAnsi"/>
          <w:b/>
          <w:szCs w:val="20"/>
        </w:rPr>
      </w:pPr>
    </w:p>
    <w:p w14:paraId="5ED644AE" w14:textId="77777777" w:rsidR="00E64427" w:rsidRDefault="00DC2565" w:rsidP="00E64427">
      <w:pPr>
        <w:pStyle w:val="NoSpacing"/>
        <w:numPr>
          <w:ilvl w:val="0"/>
          <w:numId w:val="35"/>
        </w:numPr>
        <w:rPr>
          <w:rFonts w:cstheme="minorHAnsi"/>
          <w:b/>
          <w:szCs w:val="20"/>
        </w:rPr>
      </w:pPr>
      <w:r w:rsidRPr="00E64427">
        <w:rPr>
          <w:rFonts w:cstheme="minorHAnsi"/>
          <w:b/>
          <w:szCs w:val="20"/>
        </w:rPr>
        <w:t>Renewable Energy Use</w:t>
      </w:r>
    </w:p>
    <w:p w14:paraId="5D15C29E" w14:textId="77777777" w:rsidR="00E64427" w:rsidRPr="00E64427" w:rsidRDefault="00E64427" w:rsidP="00E64427">
      <w:pPr>
        <w:pStyle w:val="NoSpacing"/>
        <w:ind w:left="360"/>
        <w:rPr>
          <w:rFonts w:cstheme="minorHAnsi"/>
          <w:b/>
          <w:szCs w:val="20"/>
        </w:rPr>
      </w:pPr>
    </w:p>
    <w:p w14:paraId="26D80775" w14:textId="77777777" w:rsidR="00E64427" w:rsidRPr="00E64427" w:rsidRDefault="00DC2565" w:rsidP="00DC2565">
      <w:pPr>
        <w:pStyle w:val="NoSpacing"/>
        <w:numPr>
          <w:ilvl w:val="1"/>
          <w:numId w:val="35"/>
        </w:numPr>
        <w:rPr>
          <w:rFonts w:cstheme="minorHAnsi"/>
          <w:b/>
          <w:szCs w:val="20"/>
        </w:rPr>
      </w:pPr>
      <w:r w:rsidRPr="00E64427">
        <w:rPr>
          <w:rFonts w:cstheme="minorHAnsi"/>
          <w:b/>
          <w:szCs w:val="20"/>
        </w:rPr>
        <w:t>On-Site generated renewable energy</w:t>
      </w:r>
      <w:r w:rsidR="00E64427">
        <w:rPr>
          <w:rFonts w:cstheme="minorHAnsi"/>
          <w:b/>
          <w:szCs w:val="20"/>
        </w:rPr>
        <w:br/>
      </w:r>
      <w:r w:rsidR="00E64427">
        <w:rPr>
          <w:rFonts w:cstheme="minorHAnsi"/>
          <w:szCs w:val="20"/>
        </w:rPr>
        <w:t xml:space="preserve">Explain any variances of greater than 5% from the prior year in </w:t>
      </w:r>
      <w:r w:rsidR="00932BFD">
        <w:rPr>
          <w:rFonts w:cstheme="minorHAnsi"/>
          <w:szCs w:val="20"/>
        </w:rPr>
        <w:t>renewable electricity generated from on-site projects</w:t>
      </w:r>
      <w:r w:rsidR="00E64427">
        <w:rPr>
          <w:rFonts w:cstheme="minorHAnsi"/>
          <w:szCs w:val="20"/>
        </w:rPr>
        <w:t xml:space="preserve">. </w:t>
      </w:r>
      <w:r w:rsidR="00932BFD">
        <w:rPr>
          <w:rFonts w:cstheme="minorHAnsi"/>
          <w:szCs w:val="20"/>
        </w:rPr>
        <w:t>If applicable, h</w:t>
      </w:r>
      <w:r w:rsidRPr="00E64427">
        <w:rPr>
          <w:rFonts w:cstheme="minorHAnsi"/>
          <w:szCs w:val="20"/>
        </w:rPr>
        <w:t xml:space="preserve">ighlight specific recent projects </w:t>
      </w:r>
      <w:r w:rsidR="00932BFD">
        <w:rPr>
          <w:rFonts w:cstheme="minorHAnsi"/>
          <w:szCs w:val="20"/>
        </w:rPr>
        <w:t>contributing to increases in</w:t>
      </w:r>
      <w:r w:rsidRPr="00E64427">
        <w:rPr>
          <w:rFonts w:cstheme="minorHAnsi"/>
          <w:szCs w:val="20"/>
        </w:rPr>
        <w:t xml:space="preserve"> on-site </w:t>
      </w:r>
      <w:r w:rsidR="00932BFD">
        <w:rPr>
          <w:rFonts w:cstheme="minorHAnsi"/>
          <w:szCs w:val="20"/>
        </w:rPr>
        <w:t xml:space="preserve">generation </w:t>
      </w:r>
      <w:r w:rsidRPr="00E64427">
        <w:rPr>
          <w:rFonts w:cstheme="minorHAnsi"/>
          <w:szCs w:val="20"/>
        </w:rPr>
        <w:t>from renewable.</w:t>
      </w:r>
    </w:p>
    <w:p w14:paraId="48A2E819" w14:textId="77777777" w:rsidR="00E64427" w:rsidRPr="00E64427" w:rsidRDefault="00E64427" w:rsidP="00E64427">
      <w:pPr>
        <w:pStyle w:val="NoSpacing"/>
        <w:ind w:left="1080"/>
        <w:rPr>
          <w:rFonts w:cstheme="minorHAnsi"/>
          <w:b/>
          <w:szCs w:val="20"/>
        </w:rPr>
      </w:pPr>
    </w:p>
    <w:p w14:paraId="2CAEE3B2" w14:textId="77777777" w:rsidR="0016724D" w:rsidRPr="00DA08D9" w:rsidRDefault="00DC2565" w:rsidP="00DA08D9">
      <w:pPr>
        <w:pStyle w:val="NoSpacing"/>
        <w:numPr>
          <w:ilvl w:val="1"/>
          <w:numId w:val="35"/>
        </w:numPr>
        <w:rPr>
          <w:rFonts w:cstheme="minorHAnsi"/>
          <w:b/>
          <w:szCs w:val="20"/>
        </w:rPr>
      </w:pPr>
      <w:r w:rsidRPr="00E64427">
        <w:rPr>
          <w:rFonts w:cstheme="minorHAnsi"/>
          <w:b/>
          <w:szCs w:val="20"/>
        </w:rPr>
        <w:t>Purchased renewable energy</w:t>
      </w:r>
      <w:r w:rsidR="00E64427">
        <w:rPr>
          <w:rFonts w:cstheme="minorHAnsi"/>
          <w:b/>
          <w:szCs w:val="20"/>
        </w:rPr>
        <w:br/>
      </w:r>
      <w:r w:rsidRPr="00E64427">
        <w:rPr>
          <w:rFonts w:cstheme="minorHAnsi"/>
          <w:szCs w:val="20"/>
        </w:rPr>
        <w:t>Discuss highlights of major purchases and approaches taken to obtain renewable energy through purchases</w:t>
      </w:r>
      <w:r w:rsidR="009B15B7">
        <w:rPr>
          <w:rFonts w:cstheme="minorHAnsi"/>
          <w:szCs w:val="20"/>
        </w:rPr>
        <w:t xml:space="preserve"> which may have contributed to a variance of greater than 5% from the prior year.</w:t>
      </w:r>
      <w:r w:rsidR="00DA08D9">
        <w:rPr>
          <w:rFonts w:cstheme="minorHAnsi"/>
          <w:szCs w:val="20"/>
        </w:rPr>
        <w:br/>
      </w:r>
    </w:p>
    <w:p w14:paraId="4C61EA9F" w14:textId="77777777" w:rsidR="00DC2565" w:rsidRPr="0016724D" w:rsidRDefault="0016724D" w:rsidP="00DC2565">
      <w:pPr>
        <w:pStyle w:val="NoSpacing"/>
        <w:numPr>
          <w:ilvl w:val="0"/>
          <w:numId w:val="35"/>
        </w:numPr>
        <w:rPr>
          <w:rFonts w:cstheme="minorHAnsi"/>
          <w:b/>
          <w:szCs w:val="20"/>
        </w:rPr>
      </w:pPr>
      <w:r w:rsidRPr="00DA08D9">
        <w:rPr>
          <w:rFonts w:cstheme="minorHAnsi"/>
          <w:b/>
          <w:szCs w:val="20"/>
        </w:rPr>
        <w:t>Potable Water Consumption</w:t>
      </w:r>
      <w:r>
        <w:rPr>
          <w:rFonts w:cstheme="minorHAnsi"/>
          <w:b/>
          <w:szCs w:val="20"/>
        </w:rPr>
        <w:br/>
      </w:r>
      <w:r w:rsidR="00BA45CC" w:rsidRPr="00DC2565">
        <w:rPr>
          <w:rFonts w:cstheme="minorHAnsi"/>
          <w:szCs w:val="20"/>
        </w:rPr>
        <w:t xml:space="preserve">Discuss any extenuating factors that may be skewing the agency </w:t>
      </w:r>
      <w:r w:rsidR="00BA45CC">
        <w:rPr>
          <w:rFonts w:cstheme="minorHAnsi"/>
          <w:szCs w:val="20"/>
        </w:rPr>
        <w:t>progress</w:t>
      </w:r>
      <w:r w:rsidR="00BA45CC" w:rsidRPr="00DC2565">
        <w:rPr>
          <w:rFonts w:cstheme="minorHAnsi"/>
          <w:szCs w:val="20"/>
        </w:rPr>
        <w:t xml:space="preserve"> toward the </w:t>
      </w:r>
      <w:r w:rsidR="00BA45CC">
        <w:rPr>
          <w:rFonts w:cstheme="minorHAnsi"/>
          <w:szCs w:val="20"/>
        </w:rPr>
        <w:t>water</w:t>
      </w:r>
      <w:r w:rsidR="00BA45CC" w:rsidRPr="00DC2565">
        <w:rPr>
          <w:rFonts w:cstheme="minorHAnsi"/>
          <w:szCs w:val="20"/>
        </w:rPr>
        <w:t xml:space="preserve"> intensity reductions reported in FY 2019.  </w:t>
      </w:r>
      <w:r w:rsidR="00BA45CC">
        <w:rPr>
          <w:rFonts w:cstheme="minorHAnsi"/>
          <w:szCs w:val="20"/>
        </w:rPr>
        <w:t xml:space="preserve">Explain any variances of greater than 5% from the prior year in Gallons, Gross Square Footage, or Gal/GSF.  </w:t>
      </w:r>
    </w:p>
    <w:p w14:paraId="6372B020" w14:textId="77777777" w:rsidR="00DC2565" w:rsidRPr="00DC2565" w:rsidRDefault="00DC2565" w:rsidP="00DC2565">
      <w:pPr>
        <w:pStyle w:val="NoSpacing"/>
        <w:rPr>
          <w:rFonts w:cstheme="minorHAnsi"/>
          <w:szCs w:val="20"/>
        </w:rPr>
      </w:pPr>
      <w:r w:rsidRPr="00DC2565">
        <w:rPr>
          <w:rFonts w:cstheme="minorHAnsi"/>
          <w:szCs w:val="20"/>
        </w:rPr>
        <w:tab/>
      </w:r>
    </w:p>
    <w:p w14:paraId="41DB97B6" w14:textId="77777777" w:rsidR="00AA227C" w:rsidRDefault="00AA227C" w:rsidP="00AA227C">
      <w:pPr>
        <w:rPr>
          <w:rFonts w:ascii="Arial" w:hAnsi="Arial" w:cs="Arial"/>
          <w:b/>
          <w:sz w:val="24"/>
          <w:szCs w:val="24"/>
        </w:rPr>
        <w:sectPr w:rsidR="00AA227C" w:rsidSect="00AA227C">
          <w:headerReference w:type="even" r:id="rId19"/>
          <w:headerReference w:type="default" r:id="rId20"/>
          <w:footerReference w:type="default" r:id="rId21"/>
          <w:headerReference w:type="first" r:id="rId22"/>
          <w:pgSz w:w="12240" w:h="15840"/>
          <w:pgMar w:top="1440" w:right="1440" w:bottom="1440" w:left="1440" w:header="0" w:footer="0" w:gutter="0"/>
          <w:cols w:space="720"/>
          <w:docGrid w:linePitch="360"/>
        </w:sectPr>
      </w:pPr>
    </w:p>
    <w:p w14:paraId="20580406" w14:textId="77777777" w:rsidR="007A169E" w:rsidRPr="00AA227C" w:rsidRDefault="006A2DE4" w:rsidP="00AA227C">
      <w:pPr>
        <w:rPr>
          <w:rFonts w:ascii="Arial" w:hAnsi="Arial" w:cs="Arial"/>
          <w:b/>
          <w:sz w:val="32"/>
          <w:szCs w:val="28"/>
        </w:rPr>
      </w:pPr>
      <w:r w:rsidRPr="000062C3">
        <w:rPr>
          <w:rFonts w:ascii="Arial" w:hAnsi="Arial" w:cs="Arial"/>
          <w:b/>
          <w:sz w:val="24"/>
          <w:szCs w:val="24"/>
        </w:rPr>
        <w:lastRenderedPageBreak/>
        <w:t>SE</w:t>
      </w:r>
      <w:r w:rsidR="007A169E" w:rsidRPr="000062C3">
        <w:rPr>
          <w:rFonts w:ascii="Arial" w:hAnsi="Arial" w:cs="Arial"/>
          <w:b/>
          <w:sz w:val="24"/>
          <w:szCs w:val="24"/>
        </w:rPr>
        <w:t xml:space="preserve">CTION </w:t>
      </w:r>
      <w:r w:rsidR="00DA4DBC" w:rsidRPr="000062C3">
        <w:rPr>
          <w:rFonts w:ascii="Arial" w:hAnsi="Arial" w:cs="Arial"/>
          <w:b/>
          <w:sz w:val="24"/>
          <w:szCs w:val="24"/>
        </w:rPr>
        <w:t>2</w:t>
      </w:r>
      <w:r w:rsidR="007A169E" w:rsidRPr="000062C3">
        <w:rPr>
          <w:rFonts w:ascii="Arial" w:hAnsi="Arial" w:cs="Arial"/>
          <w:b/>
          <w:sz w:val="24"/>
          <w:szCs w:val="24"/>
        </w:rPr>
        <w:t xml:space="preserve"> </w:t>
      </w:r>
      <w:r w:rsidR="003B5C82" w:rsidRPr="000062C3">
        <w:rPr>
          <w:rFonts w:ascii="Arial" w:hAnsi="Arial" w:cs="Arial"/>
          <w:b/>
          <w:sz w:val="24"/>
          <w:szCs w:val="24"/>
        </w:rPr>
        <w:t>–</w:t>
      </w:r>
      <w:r w:rsidR="007A169E" w:rsidRPr="000062C3">
        <w:rPr>
          <w:rFonts w:ascii="Arial" w:hAnsi="Arial" w:cs="Arial"/>
          <w:b/>
          <w:sz w:val="24"/>
          <w:szCs w:val="24"/>
        </w:rPr>
        <w:t xml:space="preserve"> </w:t>
      </w:r>
      <w:r w:rsidR="000062C3" w:rsidRPr="000062C3">
        <w:rPr>
          <w:rFonts w:ascii="Arial" w:hAnsi="Arial" w:cs="Arial"/>
          <w:b/>
          <w:sz w:val="24"/>
          <w:szCs w:val="24"/>
        </w:rPr>
        <w:t>Efficiency Investment Project Details</w:t>
      </w:r>
    </w:p>
    <w:p w14:paraId="6B9F2B06" w14:textId="77777777" w:rsidR="00556AD4" w:rsidRDefault="00F96005" w:rsidP="00552693">
      <w:pPr>
        <w:pStyle w:val="NoSpacing"/>
        <w:rPr>
          <w:rFonts w:cstheme="minorHAnsi"/>
          <w:i/>
          <w:sz w:val="20"/>
          <w:szCs w:val="20"/>
        </w:rPr>
      </w:pPr>
      <w:r>
        <w:rPr>
          <w:rFonts w:cstheme="minorHAnsi"/>
          <w:szCs w:val="20"/>
        </w:rPr>
        <w:t xml:space="preserve">Please report summary data on </w:t>
      </w:r>
      <w:r w:rsidR="00B41040">
        <w:rPr>
          <w:rFonts w:cstheme="minorHAnsi"/>
          <w:szCs w:val="20"/>
        </w:rPr>
        <w:t xml:space="preserve">energy and water </w:t>
      </w:r>
      <w:r>
        <w:rPr>
          <w:rFonts w:cstheme="minorHAnsi"/>
          <w:szCs w:val="20"/>
        </w:rPr>
        <w:t xml:space="preserve">efficiency projects awarded in FY 2019 below </w:t>
      </w:r>
      <w:r w:rsidRPr="00F96005">
        <w:rPr>
          <w:rFonts w:cstheme="minorHAnsi"/>
          <w:szCs w:val="20"/>
          <w:u w:val="single"/>
        </w:rPr>
        <w:t>only if these projects have not already been reported</w:t>
      </w:r>
      <w:r>
        <w:rPr>
          <w:rFonts w:cstheme="minorHAnsi"/>
          <w:szCs w:val="20"/>
        </w:rPr>
        <w:t xml:space="preserve"> in the </w:t>
      </w:r>
      <w:hyperlink r:id="rId23" w:history="1">
        <w:r w:rsidRPr="007B7542">
          <w:rPr>
            <w:rStyle w:val="Hyperlink"/>
            <w:rFonts w:cstheme="minorHAnsi"/>
            <w:szCs w:val="20"/>
          </w:rPr>
          <w:t>FEMP Compliance Tracking System</w:t>
        </w:r>
      </w:hyperlink>
      <w:r>
        <w:rPr>
          <w:rFonts w:cstheme="minorHAnsi"/>
          <w:szCs w:val="20"/>
        </w:rPr>
        <w:t xml:space="preserve"> </w:t>
      </w:r>
      <w:r w:rsidR="0075471A">
        <w:rPr>
          <w:rFonts w:cstheme="minorHAnsi"/>
          <w:szCs w:val="20"/>
        </w:rPr>
        <w:t>(CTS)</w:t>
      </w:r>
      <w:r w:rsidR="00B41040">
        <w:rPr>
          <w:rFonts w:cstheme="minorHAnsi"/>
          <w:szCs w:val="20"/>
        </w:rPr>
        <w:t xml:space="preserve"> as</w:t>
      </w:r>
      <w:r w:rsidR="0075471A">
        <w:rPr>
          <w:rFonts w:cstheme="minorHAnsi"/>
          <w:szCs w:val="20"/>
        </w:rPr>
        <w:t xml:space="preserve"> </w:t>
      </w:r>
      <w:r>
        <w:rPr>
          <w:rFonts w:cstheme="minorHAnsi"/>
          <w:szCs w:val="20"/>
        </w:rPr>
        <w:t>required under Section 432 of the Energ</w:t>
      </w:r>
      <w:r w:rsidR="007B7542">
        <w:rPr>
          <w:rFonts w:cstheme="minorHAnsi"/>
          <w:szCs w:val="20"/>
        </w:rPr>
        <w:t xml:space="preserve">y Independence and Security Act.  These data sets will be used to reconcile totals reported by the agency in tables 2-1, 2-2, and 2-3 of Tab 4.4 of the </w:t>
      </w:r>
      <w:r w:rsidR="007B7542" w:rsidRPr="007B7542">
        <w:rPr>
          <w:rFonts w:cstheme="minorHAnsi"/>
          <w:i/>
          <w:szCs w:val="20"/>
        </w:rPr>
        <w:t>Annual Energy Management Data Report</w:t>
      </w:r>
      <w:r w:rsidR="007B7542">
        <w:rPr>
          <w:rFonts w:cstheme="minorHAnsi"/>
          <w:szCs w:val="20"/>
        </w:rPr>
        <w:t>.</w:t>
      </w:r>
    </w:p>
    <w:p w14:paraId="54428502" w14:textId="77777777" w:rsidR="00556AD4" w:rsidRPr="00552693" w:rsidRDefault="00556AD4" w:rsidP="00552693">
      <w:pPr>
        <w:pStyle w:val="NoSpacing"/>
        <w:rPr>
          <w:rFonts w:ascii="Arial" w:hAnsi="Arial" w:cs="Arial"/>
          <w:i/>
          <w:sz w:val="18"/>
          <w:szCs w:val="20"/>
        </w:rPr>
      </w:pPr>
    </w:p>
    <w:bookmarkStart w:id="3" w:name="_MON_1629807315"/>
    <w:bookmarkEnd w:id="3"/>
    <w:p w14:paraId="16F57313" w14:textId="77777777" w:rsidR="00AA227C" w:rsidRDefault="0075471A">
      <w:pPr>
        <w:rPr>
          <w:rFonts w:ascii="Arial" w:hAnsi="Arial" w:cs="Arial"/>
        </w:rPr>
      </w:pPr>
      <w:r>
        <w:rPr>
          <w:rFonts w:ascii="Arial" w:hAnsi="Arial" w:cs="Arial"/>
        </w:rPr>
        <w:object w:dxaOrig="14660" w:dyaOrig="8554" w14:anchorId="4C64D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75pt;height:427.5pt" o:ole="">
            <v:imagedata r:id="rId24" o:title=""/>
          </v:shape>
          <o:OLEObject Type="Embed" ProgID="Excel.Sheet.8" ShapeID="_x0000_i1025" DrawAspect="Content" ObjectID="_1631352681" r:id="rId25"/>
        </w:object>
      </w:r>
    </w:p>
    <w:p w14:paraId="614C4F1B" w14:textId="77777777" w:rsidR="00AA227C" w:rsidRPr="00556AD4" w:rsidRDefault="00AA227C" w:rsidP="00556AD4">
      <w:pPr>
        <w:rPr>
          <w:rFonts w:ascii="Arial" w:hAnsi="Arial" w:cs="Arial"/>
        </w:rPr>
        <w:sectPr w:rsidR="00AA227C" w:rsidRPr="00556AD4" w:rsidSect="000A5E92">
          <w:pgSz w:w="15840" w:h="12240" w:orient="landscape"/>
          <w:pgMar w:top="720" w:right="720" w:bottom="720" w:left="720" w:header="0" w:footer="0" w:gutter="0"/>
          <w:cols w:space="720"/>
          <w:docGrid w:linePitch="360"/>
        </w:sectPr>
      </w:pPr>
    </w:p>
    <w:p w14:paraId="4783A948" w14:textId="77777777" w:rsidR="00777F3C" w:rsidRPr="00AA227C" w:rsidRDefault="00777F3C" w:rsidP="00AA227C">
      <w:pPr>
        <w:numPr>
          <w:ilvl w:val="12"/>
          <w:numId w:val="0"/>
        </w:numPr>
        <w:tabs>
          <w:tab w:val="left"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32"/>
          <w:szCs w:val="32"/>
        </w:rPr>
      </w:pPr>
      <w:r>
        <w:rPr>
          <w:rFonts w:ascii="Arial" w:hAnsi="Arial" w:cs="Arial"/>
          <w:b/>
          <w:bCs/>
          <w:sz w:val="32"/>
          <w:szCs w:val="32"/>
        </w:rPr>
        <w:lastRenderedPageBreak/>
        <w:t>ATTACHMENT</w:t>
      </w:r>
      <w:r w:rsidRPr="00805C34">
        <w:rPr>
          <w:rFonts w:ascii="Arial" w:hAnsi="Arial" w:cs="Arial"/>
          <w:b/>
          <w:bCs/>
          <w:sz w:val="32"/>
          <w:szCs w:val="32"/>
        </w:rPr>
        <w:t xml:space="preserve"> </w:t>
      </w:r>
      <w:r w:rsidR="000F1993">
        <w:rPr>
          <w:rFonts w:ascii="Arial" w:hAnsi="Arial" w:cs="Arial"/>
          <w:b/>
          <w:bCs/>
          <w:sz w:val="32"/>
          <w:szCs w:val="32"/>
        </w:rPr>
        <w:t>2</w:t>
      </w:r>
    </w:p>
    <w:p w14:paraId="21020D45" w14:textId="77777777" w:rsidR="00777F3C" w:rsidRPr="00456050" w:rsidRDefault="00777F3C" w:rsidP="00777F3C">
      <w:pPr>
        <w:jc w:val="center"/>
        <w:rPr>
          <w:rFonts w:ascii="Arial" w:hAnsi="Arial" w:cs="Arial"/>
          <w:b/>
          <w:bCs/>
          <w:sz w:val="32"/>
          <w:szCs w:val="32"/>
        </w:rPr>
      </w:pPr>
      <w:r w:rsidRPr="00456050">
        <w:rPr>
          <w:rFonts w:ascii="Arial" w:hAnsi="Arial" w:cs="Arial"/>
          <w:b/>
          <w:bCs/>
          <w:sz w:val="32"/>
          <w:szCs w:val="32"/>
        </w:rPr>
        <w:t xml:space="preserve">Guidance for Receiving Credit on Energy Performance Goals for Projects That Save Source Energy </w:t>
      </w:r>
      <w:r w:rsidR="008A4C55" w:rsidRPr="00456050">
        <w:rPr>
          <w:rFonts w:ascii="Arial" w:hAnsi="Arial" w:cs="Arial"/>
          <w:b/>
          <w:bCs/>
          <w:sz w:val="32"/>
          <w:szCs w:val="32"/>
        </w:rPr>
        <w:t>but</w:t>
      </w:r>
      <w:r w:rsidRPr="00456050">
        <w:rPr>
          <w:rFonts w:ascii="Arial" w:hAnsi="Arial" w:cs="Arial"/>
          <w:b/>
          <w:bCs/>
          <w:sz w:val="32"/>
          <w:szCs w:val="32"/>
        </w:rPr>
        <w:t xml:space="preserve"> Increase Site-Delivered Energy</w:t>
      </w:r>
    </w:p>
    <w:p w14:paraId="66C3C8EF" w14:textId="77777777" w:rsidR="00777F3C" w:rsidRDefault="00777F3C" w:rsidP="00777F3C">
      <w:pPr>
        <w:spacing w:after="0" w:line="240" w:lineRule="auto"/>
        <w:ind w:left="792"/>
        <w:rPr>
          <w:rFonts w:ascii="Times New (W1)" w:hAnsi="Times New (W1)"/>
          <w:highlight w:val="yellow"/>
        </w:rPr>
      </w:pPr>
    </w:p>
    <w:p w14:paraId="000073DC" w14:textId="77777777" w:rsidR="00777F3C" w:rsidRPr="0097503D" w:rsidRDefault="00777F3C" w:rsidP="00777F3C">
      <w:pPr>
        <w:spacing w:after="0" w:line="240" w:lineRule="auto"/>
        <w:ind w:left="792"/>
        <w:rPr>
          <w:rFonts w:ascii="Times New (W1)" w:hAnsi="Times New (W1)"/>
          <w:highlight w:val="yellow"/>
        </w:rPr>
      </w:pPr>
    </w:p>
    <w:p w14:paraId="2C697C24" w14:textId="77777777" w:rsidR="00777F3C" w:rsidRPr="005E20C1" w:rsidRDefault="00777F3C" w:rsidP="00777F3C">
      <w:pPr>
        <w:spacing w:after="0" w:line="240" w:lineRule="auto"/>
        <w:rPr>
          <w:rFonts w:cstheme="minorHAnsi"/>
          <w:sz w:val="24"/>
        </w:rPr>
      </w:pPr>
      <w:r w:rsidRPr="005E20C1">
        <w:rPr>
          <w:rFonts w:cstheme="minorHAnsi"/>
          <w:b/>
          <w:sz w:val="24"/>
        </w:rPr>
        <w:t>Intent</w:t>
      </w:r>
      <w:r w:rsidRPr="005E20C1">
        <w:rPr>
          <w:rFonts w:cstheme="minorHAnsi"/>
          <w:sz w:val="24"/>
        </w:rPr>
        <w:t xml:space="preserve">  </w:t>
      </w:r>
    </w:p>
    <w:p w14:paraId="65CC33EA" w14:textId="77777777" w:rsidR="00777F3C" w:rsidRPr="005E20C1" w:rsidRDefault="00777F3C" w:rsidP="00777F3C">
      <w:pPr>
        <w:spacing w:after="0" w:line="240" w:lineRule="auto"/>
        <w:rPr>
          <w:rFonts w:cstheme="minorHAnsi"/>
        </w:rPr>
      </w:pPr>
    </w:p>
    <w:p w14:paraId="65F08088" w14:textId="55304E09" w:rsidR="00777F3C" w:rsidRPr="005E20C1" w:rsidRDefault="00777F3C" w:rsidP="00D83705">
      <w:pPr>
        <w:pStyle w:val="NoSpacing"/>
      </w:pPr>
      <w:r w:rsidRPr="005E20C1">
        <w:t xml:space="preserve">The </w:t>
      </w:r>
      <w:r w:rsidR="005B3330">
        <w:t xml:space="preserve">purpose of 43 U.S. Code </w:t>
      </w:r>
      <w:r w:rsidR="005B3330" w:rsidRPr="00B223DD">
        <w:rPr>
          <w:smallCaps/>
        </w:rPr>
        <w:t>Part B―Federal Energy Management</w:t>
      </w:r>
      <w:r w:rsidR="005B3330">
        <w:t xml:space="preserve"> is </w:t>
      </w:r>
      <w:r w:rsidR="005B3330" w:rsidRPr="005B3330">
        <w:t>promote the conservation and the efficient use of energy and water, and the use of renewable energy sources, by the Federal</w:t>
      </w:r>
      <w:r w:rsidR="00E45C2B" w:rsidRPr="00B223DD">
        <w:t> Government.</w:t>
      </w:r>
      <w:r w:rsidR="00E45C2B">
        <w:t xml:space="preserve"> </w:t>
      </w:r>
      <w:r w:rsidR="0034206B">
        <w:t>In addition to energy delivered to the site of use, this also includes</w:t>
      </w:r>
      <w:r w:rsidR="00E45C2B">
        <w:t xml:space="preserve"> energy</w:t>
      </w:r>
      <w:r w:rsidRPr="005E20C1">
        <w:t xml:space="preserve"> as measured at the source of generation and including conversion and transmission losses. To that end, agencies shall undertake life-cycle cost-effective projects in which source energy decreases, even if site-delivered energy use increases (as </w:t>
      </w:r>
      <w:r w:rsidR="002A6870">
        <w:t xml:space="preserve">electricity or thermal energy </w:t>
      </w:r>
      <w:r w:rsidRPr="005E20C1">
        <w:t>production is moved on site</w:t>
      </w:r>
      <w:r w:rsidR="00711821">
        <w:t>)</w:t>
      </w:r>
      <w:r w:rsidR="00891EE1">
        <w:t xml:space="preserve">. </w:t>
      </w:r>
      <w:r w:rsidR="002A6870">
        <w:t xml:space="preserve">Since progress toward the </w:t>
      </w:r>
      <w:r w:rsidR="002A6870">
        <w:t>Btu-per-gross-square-foot performance requirements of NECPA (42 U.S.C. 8253)</w:t>
      </w:r>
      <w:r w:rsidR="002A6870">
        <w:t xml:space="preserve"> is measured in terms of site-delivered Btu, a</w:t>
      </w:r>
      <w:r w:rsidR="00205E4F" w:rsidRPr="00205E4F">
        <w:t>gencies may receive a “site/source credit” for projects that save source energy but</w:t>
      </w:r>
      <w:r w:rsidR="00205E4F">
        <w:t xml:space="preserve"> increase site-delivered energy </w:t>
      </w:r>
      <w:r w:rsidR="00205E4F" w:rsidRPr="005E20C1">
        <w:t>(</w:t>
      </w:r>
      <w:r w:rsidR="009533C2">
        <w:t>combined-heat-</w:t>
      </w:r>
      <w:r w:rsidR="002A6870">
        <w:t>and</w:t>
      </w:r>
      <w:r w:rsidR="009533C2">
        <w:t>-</w:t>
      </w:r>
      <w:r w:rsidR="002A6870">
        <w:t>power</w:t>
      </w:r>
      <w:r w:rsidR="009533C2">
        <w:t>-</w:t>
      </w:r>
      <w:r w:rsidR="002A6870">
        <w:t>plant</w:t>
      </w:r>
      <w:r w:rsidR="002A6870" w:rsidRPr="005E20C1">
        <w:t xml:space="preserve"> </w:t>
      </w:r>
      <w:r w:rsidR="00205E4F" w:rsidRPr="005E20C1">
        <w:t>projects</w:t>
      </w:r>
      <w:r w:rsidR="00205E4F">
        <w:t>, for example</w:t>
      </w:r>
      <w:r w:rsidR="00205E4F" w:rsidRPr="005E20C1">
        <w:t xml:space="preserve">).  </w:t>
      </w:r>
    </w:p>
    <w:p w14:paraId="567FCA28" w14:textId="77777777" w:rsidR="00777F3C" w:rsidRPr="005E20C1" w:rsidRDefault="00777F3C" w:rsidP="00777F3C">
      <w:pPr>
        <w:spacing w:after="0" w:line="240" w:lineRule="auto"/>
        <w:ind w:left="1440"/>
        <w:rPr>
          <w:rFonts w:cstheme="minorHAnsi"/>
        </w:rPr>
      </w:pPr>
    </w:p>
    <w:p w14:paraId="7F7B37D2" w14:textId="77777777" w:rsidR="00777F3C" w:rsidRPr="005E20C1" w:rsidRDefault="00777F3C" w:rsidP="00777F3C">
      <w:pPr>
        <w:spacing w:after="0" w:line="240" w:lineRule="auto"/>
        <w:rPr>
          <w:rFonts w:cstheme="minorHAnsi"/>
          <w:b/>
          <w:sz w:val="24"/>
        </w:rPr>
      </w:pPr>
      <w:r w:rsidRPr="005E20C1">
        <w:rPr>
          <w:rFonts w:cstheme="minorHAnsi"/>
          <w:b/>
          <w:sz w:val="24"/>
        </w:rPr>
        <w:t>Background</w:t>
      </w:r>
    </w:p>
    <w:p w14:paraId="35196495" w14:textId="77777777" w:rsidR="00777F3C" w:rsidRPr="0037028A" w:rsidRDefault="00777F3C" w:rsidP="00777F3C">
      <w:pPr>
        <w:spacing w:after="0" w:line="240" w:lineRule="auto"/>
        <w:rPr>
          <w:rFonts w:cstheme="minorHAnsi"/>
          <w:highlight w:val="yellow"/>
        </w:rPr>
      </w:pPr>
    </w:p>
    <w:p w14:paraId="180D66A2" w14:textId="3993CBF7" w:rsidR="008B42E5" w:rsidRDefault="005660A9" w:rsidP="00B223DD">
      <w:pPr>
        <w:spacing w:after="0" w:line="240" w:lineRule="auto"/>
        <w:rPr>
          <w:rFonts w:cstheme="minorHAnsi"/>
        </w:rPr>
      </w:pPr>
      <w:r w:rsidRPr="0037028A">
        <w:rPr>
          <w:rFonts w:cstheme="minorHAnsi"/>
        </w:rPr>
        <w:t xml:space="preserve">In June 1996, the Federal Interagency Energy Policy Committee (656 Committee) </w:t>
      </w:r>
      <w:r>
        <w:rPr>
          <w:rFonts w:cstheme="minorHAnsi"/>
        </w:rPr>
        <w:t xml:space="preserve">(42 U.S.C. 7266) </w:t>
      </w:r>
      <w:r w:rsidRPr="0037028A">
        <w:rPr>
          <w:rFonts w:cstheme="minorHAnsi"/>
        </w:rPr>
        <w:t>unanimously a</w:t>
      </w:r>
      <w:r>
        <w:rPr>
          <w:rFonts w:cstheme="minorHAnsi"/>
        </w:rPr>
        <w:t xml:space="preserve">pproved a policy statement </w:t>
      </w:r>
      <w:r w:rsidRPr="0037028A">
        <w:rPr>
          <w:rFonts w:cstheme="minorHAnsi"/>
        </w:rPr>
        <w:t>encourages cost-effective energy projects that result in reduced energy consumption regardless of whether that consumption is measured on a site basis or source basis.</w:t>
      </w:r>
      <w:r w:rsidR="00A65212" w:rsidRPr="00A65212">
        <w:rPr>
          <w:rFonts w:cstheme="minorHAnsi"/>
        </w:rPr>
        <w:t xml:space="preserve"> </w:t>
      </w:r>
      <w:r w:rsidR="00A65212">
        <w:rPr>
          <w:rFonts w:cstheme="minorHAnsi"/>
        </w:rPr>
        <w:t>This policy statement was utilized by the</w:t>
      </w:r>
      <w:r w:rsidR="00A65212" w:rsidRPr="00A65212">
        <w:rPr>
          <w:rFonts w:cstheme="minorHAnsi"/>
        </w:rPr>
        <w:t xml:space="preserve"> </w:t>
      </w:r>
      <w:r w:rsidR="00A65212" w:rsidRPr="00EB4FB9">
        <w:rPr>
          <w:rFonts w:cstheme="minorHAnsi"/>
        </w:rPr>
        <w:t>Interagency Energy Management Task Force</w:t>
      </w:r>
      <w:r w:rsidR="00A65212">
        <w:rPr>
          <w:rFonts w:cstheme="minorHAnsi"/>
        </w:rPr>
        <w:t xml:space="preserve"> (42 U.S.C. 8257)</w:t>
      </w:r>
      <w:r w:rsidR="00A65212">
        <w:rPr>
          <w:rFonts w:cstheme="minorHAnsi"/>
        </w:rPr>
        <w:t xml:space="preserve"> </w:t>
      </w:r>
      <w:r w:rsidR="00A65212">
        <w:rPr>
          <w:rFonts w:cstheme="minorHAnsi"/>
        </w:rPr>
        <w:t>to develop and issue in April 2000, “Guidance for Providing Credit Toward Energy Efficiency Goals for Cost-Effective Projects Where Source Energy Use Declines but Site Energy Use Increases.”</w:t>
      </w:r>
      <w:r w:rsidR="00A65212" w:rsidRPr="005B2A30">
        <w:t xml:space="preserve"> </w:t>
      </w:r>
      <w:r w:rsidR="00A65212" w:rsidRPr="005E20C1">
        <w:t xml:space="preserve">The reason for the credit is </w:t>
      </w:r>
      <w:r w:rsidR="00A65212">
        <w:t xml:space="preserve">to </w:t>
      </w:r>
      <w:r w:rsidR="00A526CB">
        <w:t xml:space="preserve">prevent the site-delivered Btu performance metric from penalizing agencies for </w:t>
      </w:r>
      <w:r w:rsidR="00A65212">
        <w:t xml:space="preserve">implementing </w:t>
      </w:r>
      <w:r w:rsidR="00A65212" w:rsidRPr="005E20C1">
        <w:t xml:space="preserve">cost-effective projects where source energy decreases but site-delivered energy </w:t>
      </w:r>
      <w:r w:rsidR="00A526CB">
        <w:t>increases</w:t>
      </w:r>
      <w:r w:rsidR="00A65212" w:rsidRPr="005E20C1">
        <w:t>.</w:t>
      </w:r>
    </w:p>
    <w:p w14:paraId="3959F090" w14:textId="77777777" w:rsidR="00777F3C" w:rsidRPr="0037028A" w:rsidRDefault="00777F3C" w:rsidP="00777F3C">
      <w:pPr>
        <w:spacing w:after="0" w:line="240" w:lineRule="auto"/>
        <w:rPr>
          <w:rFonts w:cstheme="minorHAnsi"/>
          <w:highlight w:val="yellow"/>
        </w:rPr>
      </w:pPr>
    </w:p>
    <w:p w14:paraId="4A6E94B6" w14:textId="77777777" w:rsidR="00777F3C" w:rsidRPr="0037028A" w:rsidRDefault="00777F3C" w:rsidP="00777F3C">
      <w:pPr>
        <w:spacing w:after="0" w:line="240" w:lineRule="auto"/>
        <w:rPr>
          <w:rFonts w:cstheme="minorHAnsi"/>
        </w:rPr>
      </w:pPr>
      <w:r w:rsidRPr="0037028A">
        <w:rPr>
          <w:rFonts w:cstheme="minorHAnsi"/>
        </w:rPr>
        <w:t>Energy measured at the point of use is termed “site energy.” Energy measurement that accounts for the generation, transmission and distribution of the energy is called “source energy.”</w:t>
      </w:r>
    </w:p>
    <w:p w14:paraId="0F4BE023" w14:textId="77777777" w:rsidR="00777F3C" w:rsidRPr="0037028A" w:rsidRDefault="00777F3C" w:rsidP="00777F3C">
      <w:pPr>
        <w:spacing w:after="0" w:line="240" w:lineRule="auto"/>
        <w:rPr>
          <w:rFonts w:cstheme="minorHAnsi"/>
        </w:rPr>
      </w:pPr>
    </w:p>
    <w:p w14:paraId="6CE26645" w14:textId="112DB975" w:rsidR="00777F3C" w:rsidRPr="0037028A" w:rsidRDefault="00777F3C" w:rsidP="00777F3C">
      <w:pPr>
        <w:spacing w:after="0" w:line="240" w:lineRule="auto"/>
        <w:rPr>
          <w:rFonts w:cstheme="minorHAnsi"/>
        </w:rPr>
      </w:pPr>
      <w:r w:rsidRPr="0037028A">
        <w:rPr>
          <w:rFonts w:cstheme="minorHAnsi"/>
        </w:rPr>
        <w:t>Whichever way consumption is measured, cost-effectiveness remains the mandated criteria for assessing, selecting, and funding potential Federal energy efficiency projects</w:t>
      </w:r>
      <w:r w:rsidR="00711821">
        <w:rPr>
          <w:rFonts w:cstheme="minorHAnsi"/>
        </w:rPr>
        <w:t xml:space="preserve"> (42 U</w:t>
      </w:r>
      <w:r w:rsidR="005660A9">
        <w:rPr>
          <w:rFonts w:cstheme="minorHAnsi"/>
        </w:rPr>
        <w:t>.</w:t>
      </w:r>
      <w:r w:rsidR="00711821">
        <w:rPr>
          <w:rFonts w:cstheme="minorHAnsi"/>
        </w:rPr>
        <w:t>S</w:t>
      </w:r>
      <w:r w:rsidR="005660A9">
        <w:rPr>
          <w:rFonts w:cstheme="minorHAnsi"/>
        </w:rPr>
        <w:t>.</w:t>
      </w:r>
      <w:r w:rsidR="00711821">
        <w:rPr>
          <w:rFonts w:cstheme="minorHAnsi"/>
        </w:rPr>
        <w:t>C</w:t>
      </w:r>
      <w:r w:rsidR="005660A9">
        <w:rPr>
          <w:rFonts w:cstheme="minorHAnsi"/>
        </w:rPr>
        <w:t>.</w:t>
      </w:r>
      <w:r w:rsidR="00711821">
        <w:rPr>
          <w:rFonts w:cstheme="minorHAnsi"/>
        </w:rPr>
        <w:t xml:space="preserve"> 8254(b)(1))</w:t>
      </w:r>
      <w:r w:rsidRPr="0037028A">
        <w:rPr>
          <w:rFonts w:cstheme="minorHAnsi"/>
        </w:rPr>
        <w:t xml:space="preserve">. </w:t>
      </w:r>
      <w:r>
        <w:rPr>
          <w:rFonts w:cstheme="minorHAnsi"/>
        </w:rPr>
        <w:t xml:space="preserve">Since agency progress toward the NECPA energy performance requirement (30 percent energy reduction in 2015 compared to 2003) is measured in terms of </w:t>
      </w:r>
      <w:r w:rsidRPr="00C31C23">
        <w:rPr>
          <w:rFonts w:cstheme="minorHAnsi"/>
          <w:i/>
        </w:rPr>
        <w:t>site-delivered</w:t>
      </w:r>
      <w:r>
        <w:rPr>
          <w:rFonts w:cstheme="minorHAnsi"/>
        </w:rPr>
        <w:t xml:space="preserve"> Btu per gross square foot, an adjustment to the metric is required for source energy saving projects.</w:t>
      </w:r>
    </w:p>
    <w:p w14:paraId="447A50D0" w14:textId="77777777" w:rsidR="00777F3C" w:rsidRPr="0037028A" w:rsidRDefault="00777F3C" w:rsidP="00777F3C">
      <w:pPr>
        <w:spacing w:after="0" w:line="240" w:lineRule="auto"/>
        <w:rPr>
          <w:rFonts w:cstheme="minorHAnsi"/>
        </w:rPr>
      </w:pPr>
    </w:p>
    <w:p w14:paraId="237B1D32" w14:textId="0CF5F7C3" w:rsidR="00777F3C" w:rsidRPr="0037028A" w:rsidRDefault="00777F3C" w:rsidP="00777F3C">
      <w:pPr>
        <w:spacing w:after="0" w:line="240" w:lineRule="auto"/>
        <w:rPr>
          <w:rFonts w:cstheme="minorHAnsi"/>
        </w:rPr>
      </w:pPr>
      <w:r w:rsidRPr="0037028A">
        <w:rPr>
          <w:rFonts w:cstheme="minorHAnsi"/>
        </w:rPr>
        <w:t>For</w:t>
      </w:r>
      <w:r w:rsidR="000669A4">
        <w:rPr>
          <w:rFonts w:cstheme="minorHAnsi"/>
        </w:rPr>
        <w:t xml:space="preserve"> agencies reporting</w:t>
      </w:r>
      <w:r w:rsidRPr="0037028A">
        <w:rPr>
          <w:rFonts w:cstheme="minorHAnsi"/>
        </w:rPr>
        <w:t xml:space="preserve"> projects that reduce source energy use </w:t>
      </w:r>
      <w:r w:rsidR="000669A4">
        <w:rPr>
          <w:rFonts w:cstheme="minorHAnsi"/>
        </w:rPr>
        <w:t>while increasing</w:t>
      </w:r>
      <w:r w:rsidR="000669A4" w:rsidRPr="0037028A">
        <w:rPr>
          <w:rFonts w:cstheme="minorHAnsi"/>
        </w:rPr>
        <w:t xml:space="preserve"> </w:t>
      </w:r>
      <w:r w:rsidRPr="0037028A">
        <w:rPr>
          <w:rFonts w:cstheme="minorHAnsi"/>
        </w:rPr>
        <w:t>site energy use</w:t>
      </w:r>
      <w:r w:rsidR="000669A4">
        <w:rPr>
          <w:rFonts w:cstheme="minorHAnsi"/>
        </w:rPr>
        <w:t>,</w:t>
      </w:r>
      <w:r w:rsidRPr="0037028A">
        <w:rPr>
          <w:rFonts w:cstheme="minorHAnsi"/>
        </w:rPr>
        <w:t xml:space="preserve"> the source energy savings</w:t>
      </w:r>
      <w:r w:rsidR="000669A4">
        <w:rPr>
          <w:rFonts w:cstheme="minorHAnsi"/>
        </w:rPr>
        <w:t xml:space="preserve"> will be subtracted from</w:t>
      </w:r>
      <w:r w:rsidRPr="0037028A">
        <w:rPr>
          <w:rFonts w:cstheme="minorHAnsi"/>
        </w:rPr>
        <w:t xml:space="preserve"> the agency site energy use before the final calculation of goal performance in terms of site Btu per gross square foot.  </w:t>
      </w:r>
    </w:p>
    <w:p w14:paraId="451BD4A4" w14:textId="77777777" w:rsidR="00777F3C" w:rsidRDefault="00777F3C" w:rsidP="00777F3C">
      <w:pPr>
        <w:spacing w:after="0" w:line="240" w:lineRule="auto"/>
        <w:rPr>
          <w:rFonts w:cstheme="minorHAnsi"/>
          <w:b/>
          <w:sz w:val="24"/>
        </w:rPr>
      </w:pPr>
    </w:p>
    <w:p w14:paraId="7F32B3B2" w14:textId="532E9CC0" w:rsidR="00777F3C" w:rsidRPr="0037028A" w:rsidRDefault="00777F3C" w:rsidP="00FB2EED">
      <w:pPr>
        <w:rPr>
          <w:rFonts w:cstheme="minorHAnsi"/>
          <w:b/>
          <w:sz w:val="24"/>
        </w:rPr>
      </w:pPr>
      <w:r>
        <w:rPr>
          <w:rFonts w:cstheme="minorHAnsi"/>
          <w:b/>
          <w:sz w:val="24"/>
        </w:rPr>
        <w:br w:type="page"/>
      </w:r>
      <w:r w:rsidRPr="0037028A">
        <w:rPr>
          <w:rFonts w:cstheme="minorHAnsi"/>
          <w:b/>
          <w:sz w:val="24"/>
        </w:rPr>
        <w:lastRenderedPageBreak/>
        <w:t>Calculating Project-Specific Source Energy Reductions</w:t>
      </w:r>
    </w:p>
    <w:p w14:paraId="5724B72A" w14:textId="77777777" w:rsidR="00777F3C" w:rsidRDefault="00777F3C" w:rsidP="00777F3C">
      <w:pPr>
        <w:spacing w:after="0" w:line="240" w:lineRule="auto"/>
        <w:rPr>
          <w:rFonts w:cstheme="minorHAnsi"/>
        </w:rPr>
      </w:pPr>
    </w:p>
    <w:p w14:paraId="369397B5" w14:textId="119A6E03" w:rsidR="00777F3C" w:rsidRDefault="00777F3C" w:rsidP="00777F3C">
      <w:pPr>
        <w:spacing w:after="0" w:line="240" w:lineRule="auto"/>
        <w:rPr>
          <w:rFonts w:cstheme="minorHAnsi"/>
        </w:rPr>
      </w:pPr>
      <w:r w:rsidRPr="0037028A">
        <w:rPr>
          <w:rFonts w:cstheme="minorHAnsi"/>
        </w:rPr>
        <w:t xml:space="preserve">Agencies can receive credit for life-cycle cost-effective projects where source energy declines and site energy increases. For each such completed project, agencies should calculate source energy savings for the reported fiscal year. </w:t>
      </w:r>
    </w:p>
    <w:p w14:paraId="572FBF3D" w14:textId="77777777" w:rsidR="00777F3C" w:rsidRDefault="00777F3C" w:rsidP="00777F3C">
      <w:pPr>
        <w:spacing w:after="0" w:line="240" w:lineRule="auto"/>
        <w:rPr>
          <w:rFonts w:cstheme="minorHAnsi"/>
        </w:rPr>
      </w:pPr>
    </w:p>
    <w:p w14:paraId="5DC861BF" w14:textId="77777777" w:rsidR="00777F3C" w:rsidRDefault="00777F3C" w:rsidP="00777F3C">
      <w:pPr>
        <w:spacing w:after="0" w:line="240" w:lineRule="auto"/>
        <w:rPr>
          <w:rFonts w:cstheme="minorHAnsi"/>
        </w:rPr>
      </w:pPr>
      <w:r>
        <w:rPr>
          <w:rFonts w:cstheme="minorHAnsi"/>
        </w:rPr>
        <w:t>Here are the factors that DOE uses to determine site Btu equivalents from native units for energy types not typically reported as Btu:</w:t>
      </w:r>
    </w:p>
    <w:p w14:paraId="6B5ACD60" w14:textId="77777777" w:rsidR="00777F3C" w:rsidRDefault="00777F3C" w:rsidP="00777F3C">
      <w:pPr>
        <w:spacing w:after="0" w:line="240" w:lineRule="auto"/>
        <w:rPr>
          <w:rFonts w:cstheme="minorHAnsi"/>
        </w:rPr>
      </w:pPr>
    </w:p>
    <w:tbl>
      <w:tblPr>
        <w:tblStyle w:val="TableGrid"/>
        <w:tblW w:w="0" w:type="auto"/>
        <w:tblLook w:val="04A0" w:firstRow="1" w:lastRow="0" w:firstColumn="1" w:lastColumn="0" w:noHBand="0" w:noVBand="1"/>
      </w:tblPr>
      <w:tblGrid>
        <w:gridCol w:w="4506"/>
        <w:gridCol w:w="4844"/>
      </w:tblGrid>
      <w:tr w:rsidR="00777F3C" w:rsidRPr="0037028A" w14:paraId="323DC942" w14:textId="77777777" w:rsidTr="00DB7F65">
        <w:tc>
          <w:tcPr>
            <w:tcW w:w="4608" w:type="dxa"/>
            <w:shd w:val="clear" w:color="auto" w:fill="D9D9D9" w:themeFill="background1" w:themeFillShade="D9"/>
          </w:tcPr>
          <w:p w14:paraId="1585D8C9" w14:textId="77777777" w:rsidR="00777F3C" w:rsidRPr="0037028A" w:rsidRDefault="00777F3C" w:rsidP="008A43F4">
            <w:pPr>
              <w:jc w:val="center"/>
              <w:rPr>
                <w:rFonts w:cstheme="minorHAnsi"/>
              </w:rPr>
            </w:pPr>
            <w:r>
              <w:rPr>
                <w:rFonts w:cstheme="minorHAnsi"/>
                <w:b/>
              </w:rPr>
              <w:t>Energy Type</w:t>
            </w:r>
          </w:p>
        </w:tc>
        <w:tc>
          <w:tcPr>
            <w:tcW w:w="4950" w:type="dxa"/>
            <w:shd w:val="clear" w:color="auto" w:fill="D9D9D9" w:themeFill="background1" w:themeFillShade="D9"/>
          </w:tcPr>
          <w:p w14:paraId="4ADA42B4" w14:textId="77777777" w:rsidR="00777F3C" w:rsidRPr="0037028A" w:rsidRDefault="00777F3C" w:rsidP="008A43F4">
            <w:pPr>
              <w:jc w:val="center"/>
              <w:rPr>
                <w:rFonts w:cstheme="minorHAnsi"/>
                <w:b/>
                <w:sz w:val="24"/>
              </w:rPr>
            </w:pPr>
            <w:r>
              <w:rPr>
                <w:rFonts w:cstheme="minorHAnsi"/>
                <w:b/>
                <w:bCs/>
                <w:sz w:val="24"/>
              </w:rPr>
              <w:t>Site Btu Conversion Factor</w:t>
            </w:r>
          </w:p>
        </w:tc>
      </w:tr>
      <w:tr w:rsidR="00777F3C" w:rsidRPr="0037028A" w14:paraId="568CBB01" w14:textId="77777777" w:rsidTr="008A43F4">
        <w:tc>
          <w:tcPr>
            <w:tcW w:w="4608" w:type="dxa"/>
          </w:tcPr>
          <w:p w14:paraId="075EC8F7" w14:textId="77777777" w:rsidR="00777F3C" w:rsidRPr="0037028A" w:rsidRDefault="00777F3C" w:rsidP="008A43F4">
            <w:pPr>
              <w:rPr>
                <w:rFonts w:cstheme="minorHAnsi"/>
              </w:rPr>
            </w:pPr>
            <w:r w:rsidRPr="0037028A">
              <w:rPr>
                <w:rFonts w:cstheme="minorHAnsi"/>
              </w:rPr>
              <w:t xml:space="preserve">Electricity </w:t>
            </w:r>
          </w:p>
        </w:tc>
        <w:tc>
          <w:tcPr>
            <w:tcW w:w="4950" w:type="dxa"/>
          </w:tcPr>
          <w:p w14:paraId="5A5052FE" w14:textId="77777777" w:rsidR="00777F3C" w:rsidRPr="0037028A" w:rsidRDefault="00777F3C" w:rsidP="008A43F4">
            <w:pPr>
              <w:jc w:val="center"/>
              <w:rPr>
                <w:rFonts w:cstheme="minorHAnsi"/>
              </w:rPr>
            </w:pPr>
            <w:r>
              <w:rPr>
                <w:rFonts w:cstheme="minorHAnsi"/>
              </w:rPr>
              <w:t>3,412 Btu/kWh</w:t>
            </w:r>
          </w:p>
        </w:tc>
      </w:tr>
      <w:tr w:rsidR="00777F3C" w:rsidRPr="0037028A" w14:paraId="72F73AE5" w14:textId="77777777" w:rsidTr="008A43F4">
        <w:tc>
          <w:tcPr>
            <w:tcW w:w="4608" w:type="dxa"/>
          </w:tcPr>
          <w:p w14:paraId="6FEF024E" w14:textId="77777777" w:rsidR="00777F3C" w:rsidRPr="0037028A" w:rsidRDefault="00777F3C" w:rsidP="008A43F4">
            <w:pPr>
              <w:rPr>
                <w:rFonts w:cstheme="minorHAnsi"/>
              </w:rPr>
            </w:pPr>
            <w:r w:rsidRPr="0037028A">
              <w:rPr>
                <w:rFonts w:cstheme="minorHAnsi"/>
              </w:rPr>
              <w:t xml:space="preserve">Natural Gas </w:t>
            </w:r>
          </w:p>
        </w:tc>
        <w:tc>
          <w:tcPr>
            <w:tcW w:w="4950" w:type="dxa"/>
          </w:tcPr>
          <w:p w14:paraId="3F386E96" w14:textId="77777777" w:rsidR="00777F3C" w:rsidRPr="0037028A" w:rsidRDefault="00777F3C" w:rsidP="008A43F4">
            <w:pPr>
              <w:jc w:val="center"/>
              <w:rPr>
                <w:rFonts w:cstheme="minorHAnsi"/>
              </w:rPr>
            </w:pPr>
            <w:r w:rsidRPr="00594FC5">
              <w:rPr>
                <w:rFonts w:cstheme="minorHAnsi"/>
              </w:rPr>
              <w:t>1,0</w:t>
            </w:r>
            <w:r>
              <w:rPr>
                <w:rFonts w:cstheme="minorHAnsi"/>
              </w:rPr>
              <w:t>28</w:t>
            </w:r>
            <w:r w:rsidRPr="00594FC5">
              <w:rPr>
                <w:rFonts w:cstheme="minorHAnsi"/>
              </w:rPr>
              <w:t xml:space="preserve"> Btu/cubic foot</w:t>
            </w:r>
          </w:p>
        </w:tc>
      </w:tr>
      <w:tr w:rsidR="00777F3C" w:rsidRPr="0037028A" w14:paraId="5FBA8D7D" w14:textId="77777777" w:rsidTr="008A43F4">
        <w:tc>
          <w:tcPr>
            <w:tcW w:w="4608" w:type="dxa"/>
          </w:tcPr>
          <w:p w14:paraId="119B4B32" w14:textId="77777777" w:rsidR="00777F3C" w:rsidRPr="0037028A" w:rsidRDefault="00777F3C" w:rsidP="008A43F4">
            <w:pPr>
              <w:rPr>
                <w:rFonts w:cstheme="minorHAnsi"/>
              </w:rPr>
            </w:pPr>
            <w:r w:rsidRPr="0037028A">
              <w:rPr>
                <w:rFonts w:cstheme="minorHAnsi"/>
              </w:rPr>
              <w:t>Fuel Oil (</w:t>
            </w:r>
            <w:r>
              <w:rPr>
                <w:rFonts w:cstheme="minorHAnsi"/>
              </w:rPr>
              <w:t>Distillate No. 2</w:t>
            </w:r>
            <w:r w:rsidRPr="0037028A">
              <w:rPr>
                <w:rFonts w:cstheme="minorHAnsi"/>
              </w:rPr>
              <w:t xml:space="preserve">) </w:t>
            </w:r>
          </w:p>
        </w:tc>
        <w:tc>
          <w:tcPr>
            <w:tcW w:w="4950" w:type="dxa"/>
          </w:tcPr>
          <w:p w14:paraId="0DA07524" w14:textId="77777777" w:rsidR="00777F3C" w:rsidRPr="0037028A" w:rsidRDefault="00777F3C" w:rsidP="008A43F4">
            <w:pPr>
              <w:jc w:val="center"/>
              <w:rPr>
                <w:rFonts w:cstheme="minorHAnsi"/>
              </w:rPr>
            </w:pPr>
            <w:r>
              <w:rPr>
                <w:rFonts w:cstheme="minorHAnsi"/>
              </w:rPr>
              <w:t>138,000 Btu/gallon</w:t>
            </w:r>
          </w:p>
        </w:tc>
      </w:tr>
      <w:tr w:rsidR="00777F3C" w:rsidRPr="0037028A" w14:paraId="21D4BABB" w14:textId="77777777" w:rsidTr="008A43F4">
        <w:tc>
          <w:tcPr>
            <w:tcW w:w="4608" w:type="dxa"/>
          </w:tcPr>
          <w:p w14:paraId="12D2E315" w14:textId="77777777" w:rsidR="00777F3C" w:rsidRPr="0037028A" w:rsidRDefault="00777F3C" w:rsidP="008A43F4">
            <w:pPr>
              <w:rPr>
                <w:rFonts w:cstheme="minorHAnsi"/>
              </w:rPr>
            </w:pPr>
            <w:r w:rsidRPr="0037028A">
              <w:rPr>
                <w:rFonts w:cstheme="minorHAnsi"/>
              </w:rPr>
              <w:t xml:space="preserve">Propane &amp; Liquid Propane </w:t>
            </w:r>
          </w:p>
        </w:tc>
        <w:tc>
          <w:tcPr>
            <w:tcW w:w="4950" w:type="dxa"/>
          </w:tcPr>
          <w:p w14:paraId="3F5E5AF8" w14:textId="77777777" w:rsidR="00777F3C" w:rsidRPr="0037028A" w:rsidRDefault="00777F3C" w:rsidP="008A43F4">
            <w:pPr>
              <w:jc w:val="center"/>
              <w:rPr>
                <w:rFonts w:cstheme="minorHAnsi"/>
              </w:rPr>
            </w:pPr>
            <w:r>
              <w:rPr>
                <w:rFonts w:cstheme="minorHAnsi"/>
              </w:rPr>
              <w:t>92,000 Btu/gallon</w:t>
            </w:r>
          </w:p>
        </w:tc>
      </w:tr>
      <w:tr w:rsidR="00777F3C" w:rsidRPr="0037028A" w14:paraId="28888E52" w14:textId="77777777" w:rsidTr="008A43F4">
        <w:tc>
          <w:tcPr>
            <w:tcW w:w="4608" w:type="dxa"/>
          </w:tcPr>
          <w:p w14:paraId="790C5B37" w14:textId="77777777" w:rsidR="00777F3C" w:rsidRPr="0037028A" w:rsidRDefault="00777F3C" w:rsidP="008A43F4">
            <w:pPr>
              <w:rPr>
                <w:rFonts w:cstheme="minorHAnsi"/>
              </w:rPr>
            </w:pPr>
            <w:r w:rsidRPr="0037028A">
              <w:rPr>
                <w:rFonts w:cstheme="minorHAnsi"/>
              </w:rPr>
              <w:t xml:space="preserve">Steam </w:t>
            </w:r>
          </w:p>
        </w:tc>
        <w:tc>
          <w:tcPr>
            <w:tcW w:w="4950" w:type="dxa"/>
          </w:tcPr>
          <w:p w14:paraId="6A145187" w14:textId="77777777" w:rsidR="00777F3C" w:rsidRPr="0037028A" w:rsidRDefault="00777F3C" w:rsidP="008A43F4">
            <w:pPr>
              <w:jc w:val="center"/>
              <w:rPr>
                <w:rFonts w:cstheme="minorHAnsi"/>
              </w:rPr>
            </w:pPr>
            <w:r>
              <w:rPr>
                <w:rFonts w:cstheme="minorHAnsi"/>
              </w:rPr>
              <w:t>1,000 Btu/pound</w:t>
            </w:r>
          </w:p>
        </w:tc>
      </w:tr>
    </w:tbl>
    <w:p w14:paraId="19C8B74F" w14:textId="77777777" w:rsidR="00777F3C" w:rsidRDefault="00777F3C" w:rsidP="00777F3C">
      <w:pPr>
        <w:spacing w:after="0" w:line="240" w:lineRule="auto"/>
        <w:rPr>
          <w:rFonts w:cstheme="minorHAnsi"/>
        </w:rPr>
      </w:pPr>
    </w:p>
    <w:p w14:paraId="442D0B2B" w14:textId="77777777" w:rsidR="00777F3C" w:rsidRPr="0037028A" w:rsidRDefault="00777F3C" w:rsidP="00777F3C">
      <w:pPr>
        <w:spacing w:after="0" w:line="240" w:lineRule="auto"/>
        <w:rPr>
          <w:rFonts w:cstheme="minorHAnsi"/>
        </w:rPr>
      </w:pPr>
      <w:r>
        <w:rPr>
          <w:rFonts w:cstheme="minorHAnsi"/>
        </w:rPr>
        <w:t>To convert site Btu to source Btu, a</w:t>
      </w:r>
      <w:r w:rsidRPr="0037028A">
        <w:rPr>
          <w:rFonts w:cstheme="minorHAnsi"/>
        </w:rPr>
        <w:t xml:space="preserve">gencies may use the </w:t>
      </w:r>
      <w:r>
        <w:rPr>
          <w:rFonts w:cstheme="minorHAnsi"/>
        </w:rPr>
        <w:t xml:space="preserve">one-year national </w:t>
      </w:r>
      <w:r w:rsidRPr="0037028A">
        <w:rPr>
          <w:rFonts w:cstheme="minorHAnsi"/>
        </w:rPr>
        <w:t xml:space="preserve">average source conversion factors </w:t>
      </w:r>
      <w:r>
        <w:rPr>
          <w:rFonts w:cstheme="minorHAnsi"/>
        </w:rPr>
        <w:t>promulgated</w:t>
      </w:r>
      <w:r w:rsidRPr="0037028A">
        <w:rPr>
          <w:rFonts w:cstheme="minorHAnsi"/>
        </w:rPr>
        <w:t xml:space="preserve"> by DOE or may choose </w:t>
      </w:r>
      <w:r>
        <w:rPr>
          <w:rFonts w:cstheme="minorHAnsi"/>
        </w:rPr>
        <w:t xml:space="preserve">the multi-year national average </w:t>
      </w:r>
      <w:r w:rsidRPr="0037028A">
        <w:rPr>
          <w:rFonts w:cstheme="minorHAnsi"/>
        </w:rPr>
        <w:t xml:space="preserve">factors </w:t>
      </w:r>
      <w:r>
        <w:rPr>
          <w:rFonts w:cstheme="minorHAnsi"/>
        </w:rPr>
        <w:t xml:space="preserve">promulgated by EPA’s </w:t>
      </w:r>
      <w:r w:rsidRPr="003F6CB6">
        <w:rPr>
          <w:rFonts w:cstheme="minorHAnsi"/>
          <w:smallCaps/>
        </w:rPr>
        <w:t>Energy Star</w:t>
      </w:r>
      <w:r w:rsidRPr="0037028A">
        <w:rPr>
          <w:rFonts w:cstheme="minorHAnsi"/>
        </w:rPr>
        <w:t xml:space="preserve"> </w:t>
      </w:r>
      <w:r>
        <w:rPr>
          <w:rFonts w:cstheme="minorHAnsi"/>
        </w:rPr>
        <w:t>Program for its Portfolio Manager benchmarking tool.</w:t>
      </w:r>
    </w:p>
    <w:p w14:paraId="0F1256AD" w14:textId="77777777" w:rsidR="00777F3C" w:rsidRPr="0037028A" w:rsidRDefault="00777F3C" w:rsidP="00777F3C">
      <w:pPr>
        <w:spacing w:after="0" w:line="240" w:lineRule="auto"/>
        <w:rPr>
          <w:rFonts w:cstheme="minorHAnsi"/>
        </w:rPr>
      </w:pPr>
    </w:p>
    <w:p w14:paraId="4D93ED75" w14:textId="77777777" w:rsidR="00777F3C" w:rsidRPr="0037028A" w:rsidRDefault="00777F3C" w:rsidP="00934885">
      <w:pPr>
        <w:autoSpaceDE w:val="0"/>
        <w:autoSpaceDN w:val="0"/>
        <w:adjustRightInd w:val="0"/>
        <w:spacing w:after="0" w:line="240" w:lineRule="auto"/>
        <w:jc w:val="center"/>
        <w:rPr>
          <w:rFonts w:cstheme="minorHAnsi"/>
          <w:b/>
          <w:bCs/>
          <w:color w:val="000000"/>
        </w:rPr>
      </w:pPr>
      <w:r w:rsidRPr="0037028A">
        <w:rPr>
          <w:rFonts w:cstheme="minorHAnsi"/>
          <w:b/>
          <w:bCs/>
          <w:color w:val="000000"/>
        </w:rPr>
        <w:t xml:space="preserve">Source-Site </w:t>
      </w:r>
      <w:r>
        <w:rPr>
          <w:rFonts w:cstheme="minorHAnsi"/>
          <w:b/>
          <w:bCs/>
          <w:color w:val="000000"/>
        </w:rPr>
        <w:t xml:space="preserve">Btu </w:t>
      </w:r>
      <w:r w:rsidRPr="0037028A">
        <w:rPr>
          <w:rFonts w:cstheme="minorHAnsi"/>
          <w:b/>
          <w:bCs/>
          <w:color w:val="000000"/>
        </w:rPr>
        <w:t xml:space="preserve">Ratios for </w:t>
      </w:r>
      <w:r w:rsidR="00934885" w:rsidRPr="00934885">
        <w:rPr>
          <w:rFonts w:cstheme="minorHAnsi"/>
          <w:b/>
          <w:bCs/>
          <w:smallCaps/>
          <w:color w:val="000000"/>
        </w:rPr>
        <w:t>Energy Star</w:t>
      </w:r>
      <w:r w:rsidR="00934885">
        <w:rPr>
          <w:rFonts w:cstheme="minorHAnsi"/>
          <w:b/>
          <w:bCs/>
          <w:color w:val="000000"/>
        </w:rPr>
        <w:t xml:space="preserve"> </w:t>
      </w:r>
      <w:r w:rsidRPr="0037028A">
        <w:rPr>
          <w:rFonts w:cstheme="minorHAnsi"/>
          <w:b/>
          <w:bCs/>
          <w:color w:val="000000"/>
        </w:rPr>
        <w:t>Portfolio Manager Fuels</w:t>
      </w:r>
      <w:r w:rsidR="00934885">
        <w:rPr>
          <w:rFonts w:cstheme="minorHAnsi"/>
          <w:b/>
          <w:bCs/>
          <w:color w:val="000000"/>
        </w:rPr>
        <w:t xml:space="preserve"> and</w:t>
      </w:r>
    </w:p>
    <w:p w14:paraId="3F098DB3" w14:textId="77777777" w:rsidR="00777F3C" w:rsidRPr="0037028A" w:rsidRDefault="00777F3C" w:rsidP="00777F3C">
      <w:pPr>
        <w:jc w:val="center"/>
        <w:rPr>
          <w:rFonts w:cstheme="minorHAnsi"/>
        </w:rPr>
      </w:pPr>
      <w:r w:rsidRPr="0037028A">
        <w:rPr>
          <w:rFonts w:cstheme="minorHAnsi"/>
          <w:b/>
          <w:color w:val="000000"/>
        </w:rPr>
        <w:t>§ 433.301 Fossil fuel-generated energy consumption determination</w:t>
      </w:r>
    </w:p>
    <w:tbl>
      <w:tblPr>
        <w:tblStyle w:val="TableGrid"/>
        <w:tblW w:w="0" w:type="auto"/>
        <w:tblLook w:val="04A0" w:firstRow="1" w:lastRow="0" w:firstColumn="1" w:lastColumn="0" w:noHBand="0" w:noVBand="1"/>
      </w:tblPr>
      <w:tblGrid>
        <w:gridCol w:w="4926"/>
        <w:gridCol w:w="2207"/>
        <w:gridCol w:w="2217"/>
      </w:tblGrid>
      <w:tr w:rsidR="00777F3C" w:rsidRPr="0037028A" w14:paraId="16A646B1" w14:textId="77777777" w:rsidTr="00DB7F65">
        <w:tc>
          <w:tcPr>
            <w:tcW w:w="5058" w:type="dxa"/>
            <w:shd w:val="clear" w:color="auto" w:fill="D9D9D9" w:themeFill="background1" w:themeFillShade="D9"/>
          </w:tcPr>
          <w:p w14:paraId="6C8DF0F4" w14:textId="77777777" w:rsidR="00777F3C" w:rsidRPr="0037028A" w:rsidRDefault="00777F3C" w:rsidP="008A43F4">
            <w:pPr>
              <w:jc w:val="center"/>
              <w:rPr>
                <w:rFonts w:cstheme="minorHAnsi"/>
              </w:rPr>
            </w:pPr>
            <w:r w:rsidRPr="0037028A">
              <w:rPr>
                <w:rFonts w:cstheme="minorHAnsi"/>
                <w:b/>
              </w:rPr>
              <w:t>Source-Site Ratio/Multipliers</w:t>
            </w:r>
          </w:p>
        </w:tc>
        <w:tc>
          <w:tcPr>
            <w:tcW w:w="2250" w:type="dxa"/>
            <w:shd w:val="clear" w:color="auto" w:fill="D9D9D9" w:themeFill="background1" w:themeFillShade="D9"/>
          </w:tcPr>
          <w:p w14:paraId="1C61B42F" w14:textId="77777777" w:rsidR="00777F3C" w:rsidRPr="0037028A" w:rsidRDefault="00777F3C" w:rsidP="008A43F4">
            <w:pPr>
              <w:jc w:val="center"/>
              <w:rPr>
                <w:rFonts w:cstheme="minorHAnsi"/>
                <w:b/>
                <w:sz w:val="24"/>
              </w:rPr>
            </w:pPr>
            <w:r>
              <w:rPr>
                <w:rFonts w:cstheme="minorHAnsi"/>
                <w:b/>
                <w:bCs/>
                <w:sz w:val="24"/>
              </w:rPr>
              <w:t xml:space="preserve">EPA </w:t>
            </w:r>
            <w:r w:rsidRPr="00BB22BA">
              <w:rPr>
                <w:rFonts w:cstheme="minorHAnsi"/>
                <w:b/>
                <w:bCs/>
                <w:smallCaps/>
                <w:sz w:val="24"/>
              </w:rPr>
              <w:t>Energy Star</w:t>
            </w:r>
            <w:r>
              <w:rPr>
                <w:rFonts w:cstheme="minorHAnsi"/>
                <w:b/>
                <w:bCs/>
                <w:sz w:val="24"/>
              </w:rPr>
              <w:t xml:space="preserve"> </w:t>
            </w:r>
            <w:r w:rsidRPr="0037028A">
              <w:rPr>
                <w:rFonts w:cstheme="minorHAnsi"/>
                <w:b/>
                <w:bCs/>
                <w:sz w:val="24"/>
              </w:rPr>
              <w:t>calculator Ratios</w:t>
            </w:r>
          </w:p>
        </w:tc>
        <w:tc>
          <w:tcPr>
            <w:tcW w:w="2268" w:type="dxa"/>
            <w:shd w:val="clear" w:color="auto" w:fill="D9D9D9" w:themeFill="background1" w:themeFillShade="D9"/>
          </w:tcPr>
          <w:p w14:paraId="6B4A2625" w14:textId="77777777" w:rsidR="00777F3C" w:rsidRPr="0037028A" w:rsidRDefault="00777F3C" w:rsidP="008A43F4">
            <w:pPr>
              <w:jc w:val="center"/>
              <w:rPr>
                <w:rFonts w:cstheme="minorHAnsi"/>
                <w:b/>
                <w:sz w:val="24"/>
              </w:rPr>
            </w:pPr>
            <w:r w:rsidRPr="0037028A">
              <w:rPr>
                <w:rFonts w:cstheme="minorHAnsi"/>
                <w:b/>
                <w:sz w:val="24"/>
              </w:rPr>
              <w:t>DOE 433.301 Fossil Fuel Ratios</w:t>
            </w:r>
          </w:p>
        </w:tc>
      </w:tr>
      <w:tr w:rsidR="00777F3C" w:rsidRPr="0037028A" w14:paraId="04F8A975" w14:textId="77777777" w:rsidTr="008A43F4">
        <w:tc>
          <w:tcPr>
            <w:tcW w:w="5058" w:type="dxa"/>
          </w:tcPr>
          <w:p w14:paraId="03F2A17D" w14:textId="77777777" w:rsidR="00777F3C" w:rsidRPr="0037028A" w:rsidRDefault="00777F3C" w:rsidP="008A43F4">
            <w:pPr>
              <w:rPr>
                <w:rFonts w:cstheme="minorHAnsi"/>
                <w:b/>
              </w:rPr>
            </w:pPr>
            <w:r w:rsidRPr="0037028A">
              <w:rPr>
                <w:rFonts w:cstheme="minorHAnsi"/>
                <w:b/>
              </w:rPr>
              <w:t xml:space="preserve">Fuel Type </w:t>
            </w:r>
          </w:p>
        </w:tc>
        <w:tc>
          <w:tcPr>
            <w:tcW w:w="2250" w:type="dxa"/>
          </w:tcPr>
          <w:p w14:paraId="0E29D9D5" w14:textId="77777777" w:rsidR="00777F3C" w:rsidRPr="0037028A" w:rsidRDefault="00777F3C" w:rsidP="008A43F4">
            <w:pPr>
              <w:rPr>
                <w:rFonts w:cstheme="minorHAnsi"/>
                <w:b/>
              </w:rPr>
            </w:pPr>
          </w:p>
        </w:tc>
        <w:tc>
          <w:tcPr>
            <w:tcW w:w="2268" w:type="dxa"/>
          </w:tcPr>
          <w:p w14:paraId="7696744D" w14:textId="77777777" w:rsidR="00777F3C" w:rsidRPr="0037028A" w:rsidRDefault="00777F3C" w:rsidP="008A43F4">
            <w:pPr>
              <w:rPr>
                <w:rFonts w:cstheme="minorHAnsi"/>
              </w:rPr>
            </w:pPr>
          </w:p>
        </w:tc>
      </w:tr>
      <w:tr w:rsidR="00777F3C" w:rsidRPr="0037028A" w14:paraId="2FF99C31" w14:textId="77777777" w:rsidTr="008A43F4">
        <w:tc>
          <w:tcPr>
            <w:tcW w:w="5058" w:type="dxa"/>
          </w:tcPr>
          <w:p w14:paraId="5289AE2B" w14:textId="77777777" w:rsidR="00777F3C" w:rsidRPr="0037028A" w:rsidRDefault="00777F3C" w:rsidP="008A43F4">
            <w:pPr>
              <w:rPr>
                <w:rFonts w:cstheme="minorHAnsi"/>
              </w:rPr>
            </w:pPr>
            <w:r w:rsidRPr="0037028A">
              <w:rPr>
                <w:rFonts w:cstheme="minorHAnsi"/>
              </w:rPr>
              <w:t xml:space="preserve">Electricity (Grid Purchase) </w:t>
            </w:r>
          </w:p>
        </w:tc>
        <w:tc>
          <w:tcPr>
            <w:tcW w:w="2250" w:type="dxa"/>
          </w:tcPr>
          <w:p w14:paraId="06EB7819" w14:textId="77777777" w:rsidR="00777F3C" w:rsidRPr="0037028A" w:rsidRDefault="00777F3C" w:rsidP="00DA336B">
            <w:pPr>
              <w:jc w:val="center"/>
              <w:rPr>
                <w:rFonts w:cstheme="minorHAnsi"/>
              </w:rPr>
            </w:pPr>
            <w:r w:rsidRPr="0037028A">
              <w:rPr>
                <w:rFonts w:cstheme="minorHAnsi"/>
              </w:rPr>
              <w:t>3.</w:t>
            </w:r>
            <w:r w:rsidR="00DA336B">
              <w:rPr>
                <w:rFonts w:cstheme="minorHAnsi"/>
              </w:rPr>
              <w:t>14</w:t>
            </w:r>
          </w:p>
        </w:tc>
        <w:tc>
          <w:tcPr>
            <w:tcW w:w="2268" w:type="dxa"/>
          </w:tcPr>
          <w:p w14:paraId="126B0DB5" w14:textId="77777777" w:rsidR="00777F3C" w:rsidRPr="0037028A" w:rsidRDefault="00777F3C" w:rsidP="008A43F4">
            <w:pPr>
              <w:jc w:val="center"/>
              <w:rPr>
                <w:rFonts w:cstheme="minorHAnsi"/>
              </w:rPr>
            </w:pPr>
            <w:r w:rsidRPr="0037028A">
              <w:rPr>
                <w:rFonts w:cstheme="minorHAnsi"/>
              </w:rPr>
              <w:t>3.16</w:t>
            </w:r>
          </w:p>
        </w:tc>
      </w:tr>
      <w:tr w:rsidR="00777F3C" w:rsidRPr="0037028A" w14:paraId="632EB976" w14:textId="77777777" w:rsidTr="008A43F4">
        <w:tc>
          <w:tcPr>
            <w:tcW w:w="5058" w:type="dxa"/>
          </w:tcPr>
          <w:p w14:paraId="15E9C990" w14:textId="77777777" w:rsidR="00777F3C" w:rsidRPr="0037028A" w:rsidRDefault="00777F3C" w:rsidP="008A43F4">
            <w:pPr>
              <w:rPr>
                <w:rFonts w:cstheme="minorHAnsi"/>
              </w:rPr>
            </w:pPr>
            <w:r w:rsidRPr="0037028A">
              <w:rPr>
                <w:rFonts w:cstheme="minorHAnsi"/>
              </w:rPr>
              <w:t xml:space="preserve">Electricity (on-Site Solar or Wind Installation) </w:t>
            </w:r>
          </w:p>
        </w:tc>
        <w:tc>
          <w:tcPr>
            <w:tcW w:w="2250" w:type="dxa"/>
          </w:tcPr>
          <w:p w14:paraId="44E650E9" w14:textId="77777777" w:rsidR="00777F3C" w:rsidRPr="0037028A" w:rsidRDefault="00777F3C" w:rsidP="008A43F4">
            <w:pPr>
              <w:jc w:val="center"/>
              <w:rPr>
                <w:rFonts w:cstheme="minorHAnsi"/>
              </w:rPr>
            </w:pPr>
            <w:r w:rsidRPr="0037028A">
              <w:rPr>
                <w:rFonts w:cstheme="minorHAnsi"/>
              </w:rPr>
              <w:t>1.0</w:t>
            </w:r>
          </w:p>
        </w:tc>
        <w:tc>
          <w:tcPr>
            <w:tcW w:w="2268" w:type="dxa"/>
          </w:tcPr>
          <w:p w14:paraId="52BACBF1" w14:textId="77777777" w:rsidR="00777F3C" w:rsidRPr="0037028A" w:rsidRDefault="00777F3C" w:rsidP="008A43F4">
            <w:pPr>
              <w:jc w:val="center"/>
              <w:rPr>
                <w:rFonts w:cstheme="minorHAnsi"/>
              </w:rPr>
            </w:pPr>
            <w:r w:rsidRPr="0037028A">
              <w:rPr>
                <w:rFonts w:cstheme="minorHAnsi"/>
              </w:rPr>
              <w:t>n/a</w:t>
            </w:r>
          </w:p>
        </w:tc>
      </w:tr>
      <w:tr w:rsidR="00777F3C" w:rsidRPr="0037028A" w14:paraId="531BF077" w14:textId="77777777" w:rsidTr="008A43F4">
        <w:tc>
          <w:tcPr>
            <w:tcW w:w="5058" w:type="dxa"/>
          </w:tcPr>
          <w:p w14:paraId="128DC6B3" w14:textId="77777777" w:rsidR="00777F3C" w:rsidRPr="0037028A" w:rsidRDefault="00777F3C" w:rsidP="008A43F4">
            <w:pPr>
              <w:rPr>
                <w:rFonts w:cstheme="minorHAnsi"/>
              </w:rPr>
            </w:pPr>
            <w:r w:rsidRPr="0037028A">
              <w:rPr>
                <w:rFonts w:cstheme="minorHAnsi"/>
              </w:rPr>
              <w:t xml:space="preserve">Natural Gas </w:t>
            </w:r>
          </w:p>
        </w:tc>
        <w:tc>
          <w:tcPr>
            <w:tcW w:w="2250" w:type="dxa"/>
          </w:tcPr>
          <w:p w14:paraId="640C8AE8" w14:textId="77777777" w:rsidR="00777F3C" w:rsidRPr="0037028A" w:rsidRDefault="00777F3C" w:rsidP="00DA336B">
            <w:pPr>
              <w:jc w:val="center"/>
              <w:rPr>
                <w:rFonts w:cstheme="minorHAnsi"/>
              </w:rPr>
            </w:pPr>
            <w:r w:rsidRPr="0037028A">
              <w:rPr>
                <w:rFonts w:cstheme="minorHAnsi"/>
              </w:rPr>
              <w:t>1.0</w:t>
            </w:r>
            <w:r w:rsidR="00DA336B">
              <w:rPr>
                <w:rFonts w:cstheme="minorHAnsi"/>
              </w:rPr>
              <w:t>5</w:t>
            </w:r>
          </w:p>
        </w:tc>
        <w:tc>
          <w:tcPr>
            <w:tcW w:w="2268" w:type="dxa"/>
          </w:tcPr>
          <w:p w14:paraId="5039C3DE" w14:textId="77777777" w:rsidR="00777F3C" w:rsidRPr="0037028A" w:rsidRDefault="00777F3C" w:rsidP="008A43F4">
            <w:pPr>
              <w:jc w:val="center"/>
              <w:rPr>
                <w:rFonts w:cstheme="minorHAnsi"/>
              </w:rPr>
            </w:pPr>
            <w:r w:rsidRPr="0037028A">
              <w:rPr>
                <w:rFonts w:cstheme="minorHAnsi"/>
              </w:rPr>
              <w:t>1.046</w:t>
            </w:r>
          </w:p>
        </w:tc>
      </w:tr>
      <w:tr w:rsidR="00777F3C" w:rsidRPr="0037028A" w14:paraId="23FA66D8" w14:textId="77777777" w:rsidTr="008A43F4">
        <w:tc>
          <w:tcPr>
            <w:tcW w:w="5058" w:type="dxa"/>
          </w:tcPr>
          <w:p w14:paraId="71E4F6BE" w14:textId="77777777" w:rsidR="00777F3C" w:rsidRPr="0037028A" w:rsidRDefault="00777F3C" w:rsidP="008A43F4">
            <w:pPr>
              <w:rPr>
                <w:rFonts w:cstheme="minorHAnsi"/>
              </w:rPr>
            </w:pPr>
            <w:r w:rsidRPr="0037028A">
              <w:rPr>
                <w:rFonts w:cstheme="minorHAnsi"/>
              </w:rPr>
              <w:t xml:space="preserve">Fuel Oil (1,2,4,5,6,Diesel, Kerosene) </w:t>
            </w:r>
          </w:p>
        </w:tc>
        <w:tc>
          <w:tcPr>
            <w:tcW w:w="2250" w:type="dxa"/>
          </w:tcPr>
          <w:p w14:paraId="77DADE57" w14:textId="77777777" w:rsidR="00777F3C" w:rsidRPr="0037028A" w:rsidRDefault="00777F3C" w:rsidP="008A43F4">
            <w:pPr>
              <w:jc w:val="center"/>
              <w:rPr>
                <w:rFonts w:cstheme="minorHAnsi"/>
              </w:rPr>
            </w:pPr>
            <w:r w:rsidRPr="0037028A">
              <w:rPr>
                <w:rFonts w:cstheme="minorHAnsi"/>
              </w:rPr>
              <w:t>1.01</w:t>
            </w:r>
          </w:p>
        </w:tc>
        <w:tc>
          <w:tcPr>
            <w:tcW w:w="2268" w:type="dxa"/>
          </w:tcPr>
          <w:p w14:paraId="2290B19C" w14:textId="77777777" w:rsidR="00777F3C" w:rsidRPr="0037028A" w:rsidRDefault="00777F3C" w:rsidP="008A43F4">
            <w:pPr>
              <w:jc w:val="center"/>
              <w:rPr>
                <w:rFonts w:cstheme="minorHAnsi"/>
              </w:rPr>
            </w:pPr>
            <w:r w:rsidRPr="0037028A">
              <w:rPr>
                <w:rFonts w:cstheme="minorHAnsi"/>
              </w:rPr>
              <w:t>1.00</w:t>
            </w:r>
          </w:p>
        </w:tc>
      </w:tr>
      <w:tr w:rsidR="00777F3C" w:rsidRPr="0037028A" w14:paraId="7C53D8C3" w14:textId="77777777" w:rsidTr="008A43F4">
        <w:tc>
          <w:tcPr>
            <w:tcW w:w="5058" w:type="dxa"/>
          </w:tcPr>
          <w:p w14:paraId="584836A6" w14:textId="77777777" w:rsidR="00777F3C" w:rsidRPr="0037028A" w:rsidRDefault="00777F3C" w:rsidP="008A43F4">
            <w:pPr>
              <w:rPr>
                <w:rFonts w:cstheme="minorHAnsi"/>
              </w:rPr>
            </w:pPr>
            <w:r w:rsidRPr="0037028A">
              <w:rPr>
                <w:rFonts w:cstheme="minorHAnsi"/>
              </w:rPr>
              <w:t xml:space="preserve">Propane &amp; Liquid Propane </w:t>
            </w:r>
          </w:p>
        </w:tc>
        <w:tc>
          <w:tcPr>
            <w:tcW w:w="2250" w:type="dxa"/>
          </w:tcPr>
          <w:p w14:paraId="65655166" w14:textId="77777777" w:rsidR="00777F3C" w:rsidRPr="0037028A" w:rsidRDefault="00777F3C" w:rsidP="008A43F4">
            <w:pPr>
              <w:jc w:val="center"/>
              <w:rPr>
                <w:rFonts w:cstheme="minorHAnsi"/>
              </w:rPr>
            </w:pPr>
            <w:r w:rsidRPr="0037028A">
              <w:rPr>
                <w:rFonts w:cstheme="minorHAnsi"/>
              </w:rPr>
              <w:t>1.01</w:t>
            </w:r>
          </w:p>
        </w:tc>
        <w:tc>
          <w:tcPr>
            <w:tcW w:w="2268" w:type="dxa"/>
          </w:tcPr>
          <w:p w14:paraId="7AF0A0C0" w14:textId="77777777" w:rsidR="00777F3C" w:rsidRPr="0037028A" w:rsidRDefault="00777F3C" w:rsidP="008A43F4">
            <w:pPr>
              <w:jc w:val="center"/>
              <w:rPr>
                <w:rFonts w:cstheme="minorHAnsi"/>
              </w:rPr>
            </w:pPr>
            <w:r w:rsidRPr="0037028A">
              <w:rPr>
                <w:rFonts w:cstheme="minorHAnsi"/>
              </w:rPr>
              <w:t>1.00</w:t>
            </w:r>
          </w:p>
        </w:tc>
      </w:tr>
      <w:tr w:rsidR="00777F3C" w:rsidRPr="0037028A" w14:paraId="5DD6E00D" w14:textId="77777777" w:rsidTr="008A43F4">
        <w:tc>
          <w:tcPr>
            <w:tcW w:w="5058" w:type="dxa"/>
          </w:tcPr>
          <w:p w14:paraId="37AFAA26" w14:textId="77777777" w:rsidR="00777F3C" w:rsidRPr="0037028A" w:rsidRDefault="00777F3C" w:rsidP="008A43F4">
            <w:pPr>
              <w:rPr>
                <w:rFonts w:cstheme="minorHAnsi"/>
              </w:rPr>
            </w:pPr>
            <w:r w:rsidRPr="0037028A">
              <w:rPr>
                <w:rFonts w:cstheme="minorHAnsi"/>
              </w:rPr>
              <w:t xml:space="preserve">Steam </w:t>
            </w:r>
          </w:p>
        </w:tc>
        <w:tc>
          <w:tcPr>
            <w:tcW w:w="2250" w:type="dxa"/>
          </w:tcPr>
          <w:p w14:paraId="691F50A3" w14:textId="77777777" w:rsidR="00777F3C" w:rsidRPr="0037028A" w:rsidRDefault="00777F3C" w:rsidP="008A43F4">
            <w:pPr>
              <w:jc w:val="center"/>
              <w:rPr>
                <w:rFonts w:cstheme="minorHAnsi"/>
              </w:rPr>
            </w:pPr>
            <w:r w:rsidRPr="0037028A">
              <w:rPr>
                <w:rFonts w:cstheme="minorHAnsi"/>
              </w:rPr>
              <w:t>1.2</w:t>
            </w:r>
            <w:r w:rsidR="00DA336B">
              <w:rPr>
                <w:rFonts w:cstheme="minorHAnsi"/>
              </w:rPr>
              <w:t>0</w:t>
            </w:r>
          </w:p>
        </w:tc>
        <w:tc>
          <w:tcPr>
            <w:tcW w:w="2268" w:type="dxa"/>
          </w:tcPr>
          <w:p w14:paraId="71657F70" w14:textId="77777777" w:rsidR="00777F3C" w:rsidRPr="0037028A" w:rsidRDefault="00777F3C" w:rsidP="008A43F4">
            <w:pPr>
              <w:jc w:val="center"/>
              <w:rPr>
                <w:rFonts w:cstheme="minorHAnsi"/>
              </w:rPr>
            </w:pPr>
            <w:r w:rsidRPr="0037028A">
              <w:rPr>
                <w:rFonts w:cstheme="minorHAnsi"/>
              </w:rPr>
              <w:t>n/a</w:t>
            </w:r>
          </w:p>
        </w:tc>
      </w:tr>
      <w:tr w:rsidR="00777F3C" w:rsidRPr="0037028A" w14:paraId="703B03BD" w14:textId="77777777" w:rsidTr="008A43F4">
        <w:tc>
          <w:tcPr>
            <w:tcW w:w="5058" w:type="dxa"/>
          </w:tcPr>
          <w:p w14:paraId="175E3003" w14:textId="77777777" w:rsidR="00777F3C" w:rsidRPr="0037028A" w:rsidRDefault="00777F3C" w:rsidP="008A43F4">
            <w:pPr>
              <w:rPr>
                <w:rFonts w:cstheme="minorHAnsi"/>
              </w:rPr>
            </w:pPr>
            <w:r w:rsidRPr="0037028A">
              <w:rPr>
                <w:rFonts w:cstheme="minorHAnsi"/>
              </w:rPr>
              <w:t xml:space="preserve">District Steam (non-CHP) </w:t>
            </w:r>
          </w:p>
        </w:tc>
        <w:tc>
          <w:tcPr>
            <w:tcW w:w="2250" w:type="dxa"/>
          </w:tcPr>
          <w:p w14:paraId="13649C0A" w14:textId="77777777" w:rsidR="00777F3C" w:rsidRPr="0037028A" w:rsidRDefault="00777F3C" w:rsidP="008A43F4">
            <w:pPr>
              <w:jc w:val="center"/>
              <w:rPr>
                <w:rFonts w:cstheme="minorHAnsi"/>
              </w:rPr>
            </w:pPr>
            <w:r w:rsidRPr="0037028A">
              <w:rPr>
                <w:rFonts w:cstheme="minorHAnsi"/>
              </w:rPr>
              <w:t>n/a</w:t>
            </w:r>
          </w:p>
        </w:tc>
        <w:tc>
          <w:tcPr>
            <w:tcW w:w="2268" w:type="dxa"/>
          </w:tcPr>
          <w:p w14:paraId="15C2E0E9" w14:textId="77777777" w:rsidR="00777F3C" w:rsidRPr="0037028A" w:rsidRDefault="00777F3C" w:rsidP="008A43F4">
            <w:pPr>
              <w:jc w:val="center"/>
              <w:rPr>
                <w:rFonts w:cstheme="minorHAnsi"/>
              </w:rPr>
            </w:pPr>
            <w:r w:rsidRPr="0037028A">
              <w:rPr>
                <w:rFonts w:cstheme="minorHAnsi"/>
              </w:rPr>
              <w:t>1.35</w:t>
            </w:r>
          </w:p>
        </w:tc>
      </w:tr>
      <w:tr w:rsidR="00777F3C" w:rsidRPr="0037028A" w14:paraId="1781C193" w14:textId="77777777" w:rsidTr="008A43F4">
        <w:tc>
          <w:tcPr>
            <w:tcW w:w="5058" w:type="dxa"/>
          </w:tcPr>
          <w:p w14:paraId="230B533C" w14:textId="77777777" w:rsidR="00777F3C" w:rsidRPr="0037028A" w:rsidRDefault="00777F3C" w:rsidP="008A43F4">
            <w:pPr>
              <w:rPr>
                <w:rFonts w:cstheme="minorHAnsi"/>
              </w:rPr>
            </w:pPr>
            <w:r w:rsidRPr="0037028A">
              <w:rPr>
                <w:rFonts w:cstheme="minorHAnsi"/>
              </w:rPr>
              <w:t xml:space="preserve">District Steam (CHP) </w:t>
            </w:r>
          </w:p>
        </w:tc>
        <w:tc>
          <w:tcPr>
            <w:tcW w:w="2250" w:type="dxa"/>
          </w:tcPr>
          <w:p w14:paraId="0484FC18" w14:textId="77777777" w:rsidR="00777F3C" w:rsidRPr="0037028A" w:rsidRDefault="00777F3C" w:rsidP="008A43F4">
            <w:pPr>
              <w:jc w:val="center"/>
              <w:rPr>
                <w:rFonts w:cstheme="minorHAnsi"/>
              </w:rPr>
            </w:pPr>
            <w:r w:rsidRPr="0037028A">
              <w:rPr>
                <w:rFonts w:cstheme="minorHAnsi"/>
              </w:rPr>
              <w:t>n/a</w:t>
            </w:r>
          </w:p>
        </w:tc>
        <w:tc>
          <w:tcPr>
            <w:tcW w:w="2268" w:type="dxa"/>
          </w:tcPr>
          <w:p w14:paraId="7CC7C948" w14:textId="77777777" w:rsidR="00777F3C" w:rsidRPr="0037028A" w:rsidRDefault="00777F3C" w:rsidP="008A43F4">
            <w:pPr>
              <w:jc w:val="center"/>
              <w:rPr>
                <w:rFonts w:cstheme="minorHAnsi"/>
              </w:rPr>
            </w:pPr>
            <w:r w:rsidRPr="0037028A">
              <w:rPr>
                <w:rFonts w:cstheme="minorHAnsi"/>
              </w:rPr>
              <w:t>2.30</w:t>
            </w:r>
          </w:p>
        </w:tc>
      </w:tr>
      <w:tr w:rsidR="00777F3C" w:rsidRPr="0037028A" w14:paraId="04EE211E" w14:textId="77777777" w:rsidTr="008A43F4">
        <w:tc>
          <w:tcPr>
            <w:tcW w:w="5058" w:type="dxa"/>
          </w:tcPr>
          <w:p w14:paraId="67EBE5F6" w14:textId="77777777" w:rsidR="00777F3C" w:rsidRPr="0037028A" w:rsidRDefault="00777F3C" w:rsidP="008A43F4">
            <w:pPr>
              <w:rPr>
                <w:rFonts w:cstheme="minorHAnsi"/>
              </w:rPr>
            </w:pPr>
            <w:r w:rsidRPr="0037028A">
              <w:rPr>
                <w:rFonts w:cstheme="minorHAnsi"/>
              </w:rPr>
              <w:t xml:space="preserve">Hot Water </w:t>
            </w:r>
          </w:p>
        </w:tc>
        <w:tc>
          <w:tcPr>
            <w:tcW w:w="2250" w:type="dxa"/>
          </w:tcPr>
          <w:p w14:paraId="5FE20C18" w14:textId="77777777" w:rsidR="00777F3C" w:rsidRPr="0037028A" w:rsidRDefault="00777F3C" w:rsidP="008A43F4">
            <w:pPr>
              <w:jc w:val="center"/>
              <w:rPr>
                <w:rFonts w:cstheme="minorHAnsi"/>
              </w:rPr>
            </w:pPr>
            <w:r w:rsidRPr="0037028A">
              <w:rPr>
                <w:rFonts w:cstheme="minorHAnsi"/>
              </w:rPr>
              <w:t>1.2</w:t>
            </w:r>
            <w:r w:rsidR="00DA336B">
              <w:rPr>
                <w:rFonts w:cstheme="minorHAnsi"/>
              </w:rPr>
              <w:t>0</w:t>
            </w:r>
          </w:p>
        </w:tc>
        <w:tc>
          <w:tcPr>
            <w:tcW w:w="2268" w:type="dxa"/>
          </w:tcPr>
          <w:p w14:paraId="7DF6ECFA" w14:textId="77777777" w:rsidR="00777F3C" w:rsidRPr="0037028A" w:rsidRDefault="00777F3C" w:rsidP="008A43F4">
            <w:pPr>
              <w:jc w:val="center"/>
              <w:rPr>
                <w:rFonts w:cstheme="minorHAnsi"/>
              </w:rPr>
            </w:pPr>
            <w:r w:rsidRPr="0037028A">
              <w:rPr>
                <w:rFonts w:cstheme="minorHAnsi"/>
              </w:rPr>
              <w:t>1.28</w:t>
            </w:r>
          </w:p>
        </w:tc>
      </w:tr>
      <w:tr w:rsidR="00777F3C" w:rsidRPr="0037028A" w14:paraId="40EA4F68" w14:textId="77777777" w:rsidTr="008A43F4">
        <w:tc>
          <w:tcPr>
            <w:tcW w:w="5058" w:type="dxa"/>
          </w:tcPr>
          <w:p w14:paraId="3E793DC3" w14:textId="77777777" w:rsidR="00777F3C" w:rsidRPr="0037028A" w:rsidRDefault="00777F3C" w:rsidP="008A43F4">
            <w:pPr>
              <w:rPr>
                <w:rFonts w:cstheme="minorHAnsi"/>
              </w:rPr>
            </w:pPr>
            <w:r w:rsidRPr="0037028A">
              <w:rPr>
                <w:rFonts w:cstheme="minorHAnsi"/>
              </w:rPr>
              <w:t xml:space="preserve">Chilled Water </w:t>
            </w:r>
          </w:p>
        </w:tc>
        <w:tc>
          <w:tcPr>
            <w:tcW w:w="2250" w:type="dxa"/>
          </w:tcPr>
          <w:p w14:paraId="4C432EB7" w14:textId="77777777" w:rsidR="00777F3C" w:rsidRPr="0037028A" w:rsidRDefault="00777F3C" w:rsidP="008A43F4">
            <w:pPr>
              <w:jc w:val="center"/>
              <w:rPr>
                <w:rFonts w:cstheme="minorHAnsi"/>
              </w:rPr>
            </w:pPr>
            <w:r w:rsidRPr="0037028A">
              <w:rPr>
                <w:rFonts w:cstheme="minorHAnsi"/>
              </w:rPr>
              <w:t>1.0</w:t>
            </w:r>
          </w:p>
        </w:tc>
        <w:tc>
          <w:tcPr>
            <w:tcW w:w="2268" w:type="dxa"/>
          </w:tcPr>
          <w:p w14:paraId="48640A42" w14:textId="77777777" w:rsidR="00777F3C" w:rsidRPr="0037028A" w:rsidRDefault="00777F3C" w:rsidP="008A43F4">
            <w:pPr>
              <w:jc w:val="center"/>
              <w:rPr>
                <w:rFonts w:cstheme="minorHAnsi"/>
              </w:rPr>
            </w:pPr>
            <w:r w:rsidRPr="0037028A">
              <w:rPr>
                <w:rFonts w:cstheme="minorHAnsi"/>
              </w:rPr>
              <w:t>1.28</w:t>
            </w:r>
          </w:p>
        </w:tc>
      </w:tr>
      <w:tr w:rsidR="00777F3C" w:rsidRPr="0037028A" w14:paraId="3B472142" w14:textId="77777777" w:rsidTr="008A43F4">
        <w:tc>
          <w:tcPr>
            <w:tcW w:w="5058" w:type="dxa"/>
          </w:tcPr>
          <w:p w14:paraId="77F522EB" w14:textId="77777777" w:rsidR="00777F3C" w:rsidRPr="0037028A" w:rsidRDefault="00777F3C" w:rsidP="008A43F4">
            <w:pPr>
              <w:rPr>
                <w:rFonts w:cstheme="minorHAnsi"/>
              </w:rPr>
            </w:pPr>
            <w:r w:rsidRPr="0037028A">
              <w:rPr>
                <w:rFonts w:cstheme="minorHAnsi"/>
              </w:rPr>
              <w:t xml:space="preserve">Wood </w:t>
            </w:r>
          </w:p>
        </w:tc>
        <w:tc>
          <w:tcPr>
            <w:tcW w:w="2250" w:type="dxa"/>
          </w:tcPr>
          <w:p w14:paraId="12497EEB" w14:textId="77777777" w:rsidR="00777F3C" w:rsidRPr="0037028A" w:rsidRDefault="00777F3C" w:rsidP="008A43F4">
            <w:pPr>
              <w:jc w:val="center"/>
              <w:rPr>
                <w:rFonts w:cstheme="minorHAnsi"/>
              </w:rPr>
            </w:pPr>
            <w:r w:rsidRPr="0037028A">
              <w:rPr>
                <w:rFonts w:cstheme="minorHAnsi"/>
              </w:rPr>
              <w:t>1.0</w:t>
            </w:r>
          </w:p>
        </w:tc>
        <w:tc>
          <w:tcPr>
            <w:tcW w:w="2268" w:type="dxa"/>
          </w:tcPr>
          <w:p w14:paraId="2896C66E" w14:textId="77777777" w:rsidR="00777F3C" w:rsidRPr="0037028A" w:rsidRDefault="00777F3C" w:rsidP="008A43F4">
            <w:pPr>
              <w:jc w:val="center"/>
              <w:rPr>
                <w:rFonts w:cstheme="minorHAnsi"/>
              </w:rPr>
            </w:pPr>
            <w:r w:rsidRPr="0037028A">
              <w:rPr>
                <w:rFonts w:cstheme="minorHAnsi"/>
              </w:rPr>
              <w:t>n/a</w:t>
            </w:r>
          </w:p>
        </w:tc>
      </w:tr>
      <w:tr w:rsidR="00777F3C" w:rsidRPr="0037028A" w14:paraId="5A464F07" w14:textId="77777777" w:rsidTr="008A43F4">
        <w:tc>
          <w:tcPr>
            <w:tcW w:w="5058" w:type="dxa"/>
          </w:tcPr>
          <w:p w14:paraId="32D3BCC4" w14:textId="77777777" w:rsidR="00777F3C" w:rsidRPr="0037028A" w:rsidRDefault="00777F3C" w:rsidP="008A43F4">
            <w:pPr>
              <w:rPr>
                <w:rFonts w:cstheme="minorHAnsi"/>
              </w:rPr>
            </w:pPr>
            <w:r w:rsidRPr="0037028A">
              <w:rPr>
                <w:rFonts w:cstheme="minorHAnsi"/>
              </w:rPr>
              <w:t xml:space="preserve">Coal/Coke </w:t>
            </w:r>
          </w:p>
        </w:tc>
        <w:tc>
          <w:tcPr>
            <w:tcW w:w="2250" w:type="dxa"/>
          </w:tcPr>
          <w:p w14:paraId="7FFD723B" w14:textId="77777777" w:rsidR="00777F3C" w:rsidRPr="0037028A" w:rsidRDefault="00777F3C" w:rsidP="008A43F4">
            <w:pPr>
              <w:jc w:val="center"/>
              <w:rPr>
                <w:rFonts w:cstheme="minorHAnsi"/>
              </w:rPr>
            </w:pPr>
            <w:r w:rsidRPr="0037028A">
              <w:rPr>
                <w:rFonts w:cstheme="minorHAnsi"/>
              </w:rPr>
              <w:t>1.0</w:t>
            </w:r>
          </w:p>
        </w:tc>
        <w:tc>
          <w:tcPr>
            <w:tcW w:w="2268" w:type="dxa"/>
          </w:tcPr>
          <w:p w14:paraId="39144921" w14:textId="77777777" w:rsidR="00777F3C" w:rsidRPr="0037028A" w:rsidRDefault="00777F3C" w:rsidP="008A43F4">
            <w:pPr>
              <w:jc w:val="center"/>
              <w:rPr>
                <w:rFonts w:cstheme="minorHAnsi"/>
              </w:rPr>
            </w:pPr>
            <w:r w:rsidRPr="0037028A">
              <w:rPr>
                <w:rFonts w:cstheme="minorHAnsi"/>
              </w:rPr>
              <w:t>1.00</w:t>
            </w:r>
          </w:p>
        </w:tc>
      </w:tr>
      <w:tr w:rsidR="00777F3C" w:rsidRPr="0037028A" w14:paraId="63AD66EB" w14:textId="77777777" w:rsidTr="008A43F4">
        <w:tc>
          <w:tcPr>
            <w:tcW w:w="5058" w:type="dxa"/>
          </w:tcPr>
          <w:p w14:paraId="5652A9CA" w14:textId="77777777" w:rsidR="00777F3C" w:rsidRPr="0037028A" w:rsidRDefault="00777F3C" w:rsidP="008A43F4">
            <w:pPr>
              <w:rPr>
                <w:rFonts w:cstheme="minorHAnsi"/>
              </w:rPr>
            </w:pPr>
            <w:r w:rsidRPr="0037028A">
              <w:rPr>
                <w:rFonts w:cstheme="minorHAnsi"/>
              </w:rPr>
              <w:t xml:space="preserve">Other </w:t>
            </w:r>
          </w:p>
        </w:tc>
        <w:tc>
          <w:tcPr>
            <w:tcW w:w="2250" w:type="dxa"/>
          </w:tcPr>
          <w:p w14:paraId="3C4899F4" w14:textId="77777777" w:rsidR="00777F3C" w:rsidRPr="0037028A" w:rsidRDefault="00777F3C" w:rsidP="008A43F4">
            <w:pPr>
              <w:jc w:val="center"/>
              <w:rPr>
                <w:rFonts w:cstheme="minorHAnsi"/>
              </w:rPr>
            </w:pPr>
            <w:r w:rsidRPr="0037028A">
              <w:rPr>
                <w:rFonts w:cstheme="minorHAnsi"/>
              </w:rPr>
              <w:t>1.0</w:t>
            </w:r>
          </w:p>
        </w:tc>
        <w:tc>
          <w:tcPr>
            <w:tcW w:w="2268" w:type="dxa"/>
          </w:tcPr>
          <w:p w14:paraId="4846EAE0" w14:textId="77777777" w:rsidR="00777F3C" w:rsidRPr="0037028A" w:rsidRDefault="00777F3C" w:rsidP="008A43F4">
            <w:pPr>
              <w:jc w:val="center"/>
              <w:rPr>
                <w:rFonts w:cstheme="minorHAnsi"/>
              </w:rPr>
            </w:pPr>
            <w:r w:rsidRPr="0037028A">
              <w:rPr>
                <w:rFonts w:cstheme="minorHAnsi"/>
              </w:rPr>
              <w:t>n/a</w:t>
            </w:r>
          </w:p>
        </w:tc>
      </w:tr>
    </w:tbl>
    <w:p w14:paraId="0E523385" w14:textId="77777777" w:rsidR="00403B1E" w:rsidRDefault="00777F3C" w:rsidP="00403B1E">
      <w:pPr>
        <w:spacing w:after="0"/>
      </w:pPr>
      <w:r w:rsidRPr="006A0266">
        <w:rPr>
          <w:rFonts w:cstheme="minorHAnsi"/>
        </w:rPr>
        <w:t xml:space="preserve">Sources:  </w:t>
      </w:r>
      <w:hyperlink r:id="rId26" w:history="1">
        <w:r w:rsidR="0075471A" w:rsidRPr="00DA336B">
          <w:rPr>
            <w:rStyle w:val="Hyperlink"/>
            <w:rFonts w:cstheme="minorHAnsi"/>
          </w:rPr>
          <w:t>https://www.energystar.gov/sites/default/files/tools/QuickConverter_v2014.xl</w:t>
        </w:r>
        <w:r w:rsidR="00DA336B" w:rsidRPr="00DA336B">
          <w:rPr>
            <w:rStyle w:val="Hyperlink"/>
            <w:rFonts w:cstheme="minorHAnsi"/>
          </w:rPr>
          <w:t>s</w:t>
        </w:r>
      </w:hyperlink>
    </w:p>
    <w:p w14:paraId="028F293F" w14:textId="77777777" w:rsidR="00777F3C" w:rsidRPr="00403B1E" w:rsidRDefault="00403B1E" w:rsidP="00403B1E">
      <w:pPr>
        <w:spacing w:after="0"/>
        <w:ind w:firstLine="720"/>
      </w:pPr>
      <w:r>
        <w:t xml:space="preserve">   </w:t>
      </w:r>
      <w:hyperlink r:id="rId27" w:history="1">
        <w:r w:rsidR="00797127" w:rsidRPr="00115B7C">
          <w:rPr>
            <w:rStyle w:val="Hyperlink"/>
          </w:rPr>
          <w:t>http://www.regulations.gov/document?D=EERE-2010-BT-STD-0031-0034</w:t>
        </w:r>
      </w:hyperlink>
      <w:r w:rsidR="00797127">
        <w:t xml:space="preserve"> (Sec 433.201)</w:t>
      </w:r>
    </w:p>
    <w:p w14:paraId="492E04A4" w14:textId="77777777" w:rsidR="006A0266" w:rsidRDefault="006A0266" w:rsidP="00777F3C">
      <w:pPr>
        <w:rPr>
          <w:rFonts w:cstheme="minorHAnsi"/>
        </w:rPr>
      </w:pPr>
    </w:p>
    <w:p w14:paraId="0574EE9C" w14:textId="77777777" w:rsidR="00777F3C" w:rsidRDefault="00777F3C" w:rsidP="00777F3C">
      <w:pPr>
        <w:rPr>
          <w:rFonts w:cstheme="minorHAnsi"/>
        </w:rPr>
      </w:pPr>
      <w:r>
        <w:rPr>
          <w:rFonts w:cstheme="minorHAnsi"/>
        </w:rPr>
        <w:br w:type="page"/>
      </w:r>
    </w:p>
    <w:p w14:paraId="71F297C8" w14:textId="77777777" w:rsidR="00777F3C" w:rsidRPr="0037028A" w:rsidRDefault="00777F3C" w:rsidP="00777F3C">
      <w:pPr>
        <w:spacing w:after="0" w:line="240" w:lineRule="auto"/>
        <w:rPr>
          <w:rFonts w:cstheme="minorHAnsi"/>
        </w:rPr>
      </w:pPr>
      <w:r w:rsidRPr="0037028A">
        <w:rPr>
          <w:rFonts w:cstheme="minorHAnsi"/>
        </w:rPr>
        <w:lastRenderedPageBreak/>
        <w:t xml:space="preserve">Agencies should use the following worksheet to calculate the annual site energy increase and </w:t>
      </w:r>
      <w:r>
        <w:rPr>
          <w:rFonts w:cstheme="minorHAnsi"/>
        </w:rPr>
        <w:t xml:space="preserve">energy </w:t>
      </w:r>
      <w:r w:rsidRPr="0037028A">
        <w:rPr>
          <w:rFonts w:cstheme="minorHAnsi"/>
        </w:rPr>
        <w:t>saved with the project</w:t>
      </w:r>
      <w:r>
        <w:rPr>
          <w:rFonts w:cstheme="minorHAnsi"/>
        </w:rPr>
        <w:t>s</w:t>
      </w:r>
      <w:r w:rsidRPr="0037028A">
        <w:rPr>
          <w:rFonts w:cstheme="minorHAnsi"/>
        </w:rPr>
        <w:t>, for each applicable project for which source energy is reduced but site energy increases.</w:t>
      </w:r>
    </w:p>
    <w:p w14:paraId="02B5CDF1" w14:textId="77777777" w:rsidR="00777F3C" w:rsidRPr="0037028A" w:rsidRDefault="00777F3C" w:rsidP="00777F3C">
      <w:pPr>
        <w:spacing w:after="0" w:line="240" w:lineRule="auto"/>
        <w:rPr>
          <w:rFonts w:cstheme="minorHAnsi"/>
        </w:rPr>
      </w:pPr>
    </w:p>
    <w:tbl>
      <w:tblPr>
        <w:tblStyle w:val="TableGrid"/>
        <w:tblW w:w="0" w:type="auto"/>
        <w:tblLayout w:type="fixed"/>
        <w:tblLook w:val="04A0" w:firstRow="1" w:lastRow="0" w:firstColumn="1" w:lastColumn="0" w:noHBand="0" w:noVBand="1"/>
      </w:tblPr>
      <w:tblGrid>
        <w:gridCol w:w="828"/>
        <w:gridCol w:w="4140"/>
        <w:gridCol w:w="1440"/>
        <w:gridCol w:w="990"/>
        <w:gridCol w:w="1170"/>
        <w:gridCol w:w="1008"/>
      </w:tblGrid>
      <w:tr w:rsidR="00777F3C" w:rsidRPr="0037028A" w14:paraId="5B0595E1" w14:textId="77777777" w:rsidTr="008A43F4">
        <w:tc>
          <w:tcPr>
            <w:tcW w:w="7398" w:type="dxa"/>
            <w:gridSpan w:val="4"/>
          </w:tcPr>
          <w:p w14:paraId="13AA5AD0" w14:textId="77777777" w:rsidR="00777F3C" w:rsidRPr="0037028A" w:rsidRDefault="00777F3C" w:rsidP="008A43F4">
            <w:pPr>
              <w:jc w:val="center"/>
              <w:rPr>
                <w:rFonts w:cstheme="minorHAnsi"/>
                <w:b/>
                <w:sz w:val="26"/>
              </w:rPr>
            </w:pPr>
            <w:r w:rsidRPr="0037028A">
              <w:rPr>
                <w:rFonts w:cstheme="minorHAnsi"/>
                <w:b/>
                <w:sz w:val="26"/>
              </w:rPr>
              <w:t>Project Worksheet</w:t>
            </w:r>
          </w:p>
        </w:tc>
        <w:tc>
          <w:tcPr>
            <w:tcW w:w="2178" w:type="dxa"/>
            <w:gridSpan w:val="2"/>
            <w:shd w:val="clear" w:color="auto" w:fill="D9D9D9" w:themeFill="background1" w:themeFillShade="D9"/>
          </w:tcPr>
          <w:p w14:paraId="096AA340" w14:textId="77777777" w:rsidR="00777F3C" w:rsidRPr="003F6CB6" w:rsidRDefault="00777F3C" w:rsidP="008A43F4">
            <w:pPr>
              <w:rPr>
                <w:rFonts w:cstheme="minorHAnsi"/>
                <w:b/>
              </w:rPr>
            </w:pPr>
            <w:r w:rsidRPr="003F6CB6">
              <w:rPr>
                <w:rFonts w:cstheme="minorHAnsi"/>
                <w:b/>
              </w:rPr>
              <w:t>Example: XYZ</w:t>
            </w:r>
          </w:p>
        </w:tc>
      </w:tr>
      <w:tr w:rsidR="00777F3C" w:rsidRPr="0037028A" w14:paraId="06205AC8" w14:textId="77777777" w:rsidTr="008A43F4">
        <w:tc>
          <w:tcPr>
            <w:tcW w:w="7398" w:type="dxa"/>
            <w:gridSpan w:val="4"/>
            <w:shd w:val="clear" w:color="auto" w:fill="D9D9D9" w:themeFill="background1" w:themeFillShade="D9"/>
          </w:tcPr>
          <w:p w14:paraId="0053CB75" w14:textId="77777777" w:rsidR="00777F3C" w:rsidRPr="0037028A" w:rsidRDefault="00777F3C" w:rsidP="008A43F4">
            <w:pPr>
              <w:rPr>
                <w:rFonts w:cstheme="minorHAnsi"/>
                <w:b/>
              </w:rPr>
            </w:pPr>
            <w:r w:rsidRPr="0037028A">
              <w:rPr>
                <w:rFonts w:cstheme="minorHAnsi"/>
                <w:b/>
              </w:rPr>
              <w:t>Base Case (without Project)</w:t>
            </w:r>
          </w:p>
        </w:tc>
        <w:tc>
          <w:tcPr>
            <w:tcW w:w="2178" w:type="dxa"/>
            <w:gridSpan w:val="2"/>
            <w:shd w:val="clear" w:color="auto" w:fill="D9D9D9" w:themeFill="background1" w:themeFillShade="D9"/>
          </w:tcPr>
          <w:p w14:paraId="29B0FE81" w14:textId="77777777" w:rsidR="00777F3C" w:rsidRPr="003F6CB6" w:rsidRDefault="00777F3C" w:rsidP="008A43F4">
            <w:pPr>
              <w:rPr>
                <w:rFonts w:cstheme="minorHAnsi"/>
                <w:b/>
              </w:rPr>
            </w:pPr>
          </w:p>
        </w:tc>
      </w:tr>
      <w:tr w:rsidR="00777F3C" w:rsidRPr="0037028A" w14:paraId="67B324D0" w14:textId="77777777" w:rsidTr="008A43F4">
        <w:trPr>
          <w:trHeight w:val="557"/>
        </w:trPr>
        <w:tc>
          <w:tcPr>
            <w:tcW w:w="828" w:type="dxa"/>
            <w:shd w:val="clear" w:color="auto" w:fill="F2F2F2" w:themeFill="background1" w:themeFillShade="F2"/>
          </w:tcPr>
          <w:p w14:paraId="22476A33" w14:textId="77777777" w:rsidR="00777F3C" w:rsidRPr="0037028A" w:rsidRDefault="00777F3C" w:rsidP="008A43F4">
            <w:pPr>
              <w:rPr>
                <w:rFonts w:cstheme="minorHAnsi"/>
              </w:rPr>
            </w:pPr>
            <w:r w:rsidRPr="0037028A">
              <w:rPr>
                <w:rFonts w:cstheme="minorHAnsi"/>
              </w:rPr>
              <w:t xml:space="preserve">Line 1 </w:t>
            </w:r>
          </w:p>
        </w:tc>
        <w:tc>
          <w:tcPr>
            <w:tcW w:w="4140" w:type="dxa"/>
            <w:shd w:val="clear" w:color="auto" w:fill="F2F2F2" w:themeFill="background1" w:themeFillShade="F2"/>
          </w:tcPr>
          <w:p w14:paraId="28C1DB34" w14:textId="77777777" w:rsidR="00777F3C" w:rsidRPr="0037028A" w:rsidRDefault="00777F3C" w:rsidP="008A43F4">
            <w:pPr>
              <w:rPr>
                <w:rFonts w:cstheme="minorHAnsi"/>
              </w:rPr>
            </w:pPr>
            <w:r w:rsidRPr="0037028A">
              <w:rPr>
                <w:rFonts w:cstheme="minorHAnsi"/>
              </w:rPr>
              <w:t xml:space="preserve">Annual Source Energy Used </w:t>
            </w:r>
          </w:p>
          <w:p w14:paraId="300327F8" w14:textId="77777777" w:rsidR="00777F3C" w:rsidRPr="0037028A" w:rsidRDefault="00777F3C" w:rsidP="008A43F4">
            <w:pPr>
              <w:rPr>
                <w:rFonts w:cstheme="minorHAnsi"/>
              </w:rPr>
            </w:pPr>
            <w:r w:rsidRPr="0037028A">
              <w:rPr>
                <w:rFonts w:cstheme="minorHAnsi"/>
                <w:sz w:val="18"/>
              </w:rPr>
              <w:t>(if using conversion factors; multiple Site Energy by Ratio amount)</w:t>
            </w:r>
          </w:p>
        </w:tc>
        <w:tc>
          <w:tcPr>
            <w:tcW w:w="1440" w:type="dxa"/>
          </w:tcPr>
          <w:p w14:paraId="042112EA" w14:textId="77777777" w:rsidR="00777F3C" w:rsidRPr="0037028A" w:rsidRDefault="00777F3C" w:rsidP="008A43F4">
            <w:pPr>
              <w:rPr>
                <w:rFonts w:cstheme="minorHAnsi"/>
              </w:rPr>
            </w:pPr>
          </w:p>
        </w:tc>
        <w:tc>
          <w:tcPr>
            <w:tcW w:w="990" w:type="dxa"/>
          </w:tcPr>
          <w:p w14:paraId="03DF48DE" w14:textId="77777777" w:rsidR="00777F3C" w:rsidRPr="0037028A" w:rsidRDefault="00777F3C" w:rsidP="008A43F4">
            <w:pPr>
              <w:rPr>
                <w:rFonts w:cstheme="minorHAnsi"/>
              </w:rPr>
            </w:pPr>
            <w:r w:rsidRPr="0037028A">
              <w:rPr>
                <w:rFonts w:cstheme="minorHAnsi"/>
              </w:rPr>
              <w:t>MMBtu</w:t>
            </w:r>
          </w:p>
        </w:tc>
        <w:tc>
          <w:tcPr>
            <w:tcW w:w="1170" w:type="dxa"/>
            <w:shd w:val="clear" w:color="auto" w:fill="D9D9D9" w:themeFill="background1" w:themeFillShade="D9"/>
          </w:tcPr>
          <w:p w14:paraId="27FB266C" w14:textId="77777777" w:rsidR="00777F3C" w:rsidRPr="003F6CB6" w:rsidRDefault="00777F3C" w:rsidP="008A43F4">
            <w:pPr>
              <w:rPr>
                <w:rFonts w:cstheme="minorHAnsi"/>
                <w:i/>
              </w:rPr>
            </w:pPr>
            <w:r w:rsidRPr="003F6CB6">
              <w:rPr>
                <w:rFonts w:cstheme="minorHAnsi"/>
                <w:i/>
              </w:rPr>
              <w:t>225,900</w:t>
            </w:r>
          </w:p>
        </w:tc>
        <w:tc>
          <w:tcPr>
            <w:tcW w:w="1008" w:type="dxa"/>
            <w:shd w:val="clear" w:color="auto" w:fill="D9D9D9" w:themeFill="background1" w:themeFillShade="D9"/>
          </w:tcPr>
          <w:p w14:paraId="68FDB26E" w14:textId="77777777" w:rsidR="00777F3C" w:rsidRPr="003F6CB6" w:rsidRDefault="00777F3C" w:rsidP="008A43F4">
            <w:pPr>
              <w:rPr>
                <w:rFonts w:cstheme="minorHAnsi"/>
              </w:rPr>
            </w:pPr>
            <w:r w:rsidRPr="003F6CB6">
              <w:rPr>
                <w:rFonts w:cstheme="minorHAnsi"/>
              </w:rPr>
              <w:t>MMBtu</w:t>
            </w:r>
          </w:p>
        </w:tc>
      </w:tr>
      <w:tr w:rsidR="00777F3C" w:rsidRPr="0037028A" w14:paraId="2C4F1C50" w14:textId="77777777" w:rsidTr="008A43F4">
        <w:tc>
          <w:tcPr>
            <w:tcW w:w="828" w:type="dxa"/>
            <w:shd w:val="clear" w:color="auto" w:fill="F2F2F2" w:themeFill="background1" w:themeFillShade="F2"/>
          </w:tcPr>
          <w:p w14:paraId="5E982D42" w14:textId="77777777" w:rsidR="00777F3C" w:rsidRPr="0037028A" w:rsidRDefault="00777F3C" w:rsidP="008A43F4">
            <w:pPr>
              <w:rPr>
                <w:rFonts w:cstheme="minorHAnsi"/>
              </w:rPr>
            </w:pPr>
            <w:r w:rsidRPr="0037028A">
              <w:rPr>
                <w:rFonts w:cstheme="minorHAnsi"/>
              </w:rPr>
              <w:t xml:space="preserve">Line 2 </w:t>
            </w:r>
          </w:p>
        </w:tc>
        <w:tc>
          <w:tcPr>
            <w:tcW w:w="4140" w:type="dxa"/>
            <w:shd w:val="clear" w:color="auto" w:fill="F2F2F2" w:themeFill="background1" w:themeFillShade="F2"/>
          </w:tcPr>
          <w:p w14:paraId="0F0D13D2" w14:textId="77777777" w:rsidR="00777F3C" w:rsidRPr="0037028A" w:rsidRDefault="00777F3C" w:rsidP="008A43F4">
            <w:pPr>
              <w:rPr>
                <w:rFonts w:cstheme="minorHAnsi"/>
              </w:rPr>
            </w:pPr>
            <w:r w:rsidRPr="0037028A">
              <w:rPr>
                <w:rFonts w:cstheme="minorHAnsi"/>
              </w:rPr>
              <w:t xml:space="preserve">Annual Site Energy Used </w:t>
            </w:r>
          </w:p>
        </w:tc>
        <w:tc>
          <w:tcPr>
            <w:tcW w:w="1440" w:type="dxa"/>
          </w:tcPr>
          <w:p w14:paraId="03BE26C6" w14:textId="77777777" w:rsidR="00777F3C" w:rsidRPr="0037028A" w:rsidRDefault="00777F3C" w:rsidP="008A43F4">
            <w:pPr>
              <w:rPr>
                <w:rFonts w:cstheme="minorHAnsi"/>
              </w:rPr>
            </w:pPr>
          </w:p>
        </w:tc>
        <w:tc>
          <w:tcPr>
            <w:tcW w:w="990" w:type="dxa"/>
          </w:tcPr>
          <w:p w14:paraId="30E23859" w14:textId="77777777" w:rsidR="00777F3C" w:rsidRPr="0037028A" w:rsidRDefault="00777F3C" w:rsidP="008A43F4">
            <w:pPr>
              <w:rPr>
                <w:rFonts w:cstheme="minorHAnsi"/>
              </w:rPr>
            </w:pPr>
            <w:r w:rsidRPr="0037028A">
              <w:rPr>
                <w:rFonts w:cstheme="minorHAnsi"/>
              </w:rPr>
              <w:t>MMBtu</w:t>
            </w:r>
          </w:p>
        </w:tc>
        <w:tc>
          <w:tcPr>
            <w:tcW w:w="1170" w:type="dxa"/>
            <w:shd w:val="clear" w:color="auto" w:fill="D9D9D9" w:themeFill="background1" w:themeFillShade="D9"/>
          </w:tcPr>
          <w:p w14:paraId="71986D92" w14:textId="77777777" w:rsidR="00777F3C" w:rsidRPr="003F6CB6" w:rsidRDefault="00777F3C" w:rsidP="008A43F4">
            <w:pPr>
              <w:rPr>
                <w:rFonts w:cstheme="minorHAnsi"/>
                <w:i/>
              </w:rPr>
            </w:pPr>
            <w:r w:rsidRPr="003F6CB6">
              <w:rPr>
                <w:rFonts w:cstheme="minorHAnsi"/>
                <w:i/>
              </w:rPr>
              <w:t>107,770</w:t>
            </w:r>
          </w:p>
        </w:tc>
        <w:tc>
          <w:tcPr>
            <w:tcW w:w="1008" w:type="dxa"/>
            <w:shd w:val="clear" w:color="auto" w:fill="D9D9D9" w:themeFill="background1" w:themeFillShade="D9"/>
          </w:tcPr>
          <w:p w14:paraId="7FB05F90" w14:textId="77777777" w:rsidR="00777F3C" w:rsidRPr="003F6CB6" w:rsidRDefault="00777F3C" w:rsidP="008A43F4">
            <w:pPr>
              <w:rPr>
                <w:rFonts w:cstheme="minorHAnsi"/>
              </w:rPr>
            </w:pPr>
            <w:r w:rsidRPr="003F6CB6">
              <w:rPr>
                <w:rFonts w:cstheme="minorHAnsi"/>
              </w:rPr>
              <w:t>MMBtu</w:t>
            </w:r>
          </w:p>
        </w:tc>
      </w:tr>
      <w:tr w:rsidR="00777F3C" w:rsidRPr="0037028A" w14:paraId="513E4832" w14:textId="77777777" w:rsidTr="008A43F4">
        <w:tc>
          <w:tcPr>
            <w:tcW w:w="7398" w:type="dxa"/>
            <w:gridSpan w:val="4"/>
            <w:shd w:val="clear" w:color="auto" w:fill="D9D9D9" w:themeFill="background1" w:themeFillShade="D9"/>
          </w:tcPr>
          <w:p w14:paraId="71FDEC6C" w14:textId="77777777" w:rsidR="00777F3C" w:rsidRPr="0037028A" w:rsidRDefault="00777F3C" w:rsidP="008A43F4">
            <w:pPr>
              <w:rPr>
                <w:rFonts w:cstheme="minorHAnsi"/>
                <w:b/>
              </w:rPr>
            </w:pPr>
            <w:r w:rsidRPr="0037028A">
              <w:rPr>
                <w:rFonts w:cstheme="minorHAnsi"/>
                <w:b/>
              </w:rPr>
              <w:t>With Project</w:t>
            </w:r>
          </w:p>
        </w:tc>
        <w:tc>
          <w:tcPr>
            <w:tcW w:w="2178" w:type="dxa"/>
            <w:gridSpan w:val="2"/>
            <w:shd w:val="clear" w:color="auto" w:fill="D9D9D9" w:themeFill="background1" w:themeFillShade="D9"/>
          </w:tcPr>
          <w:p w14:paraId="3563D063" w14:textId="77777777" w:rsidR="00777F3C" w:rsidRPr="003F6CB6" w:rsidRDefault="00777F3C" w:rsidP="008A43F4">
            <w:pPr>
              <w:rPr>
                <w:rFonts w:cstheme="minorHAnsi"/>
                <w:b/>
              </w:rPr>
            </w:pPr>
          </w:p>
        </w:tc>
      </w:tr>
      <w:tr w:rsidR="00777F3C" w:rsidRPr="0037028A" w14:paraId="7597A2B0" w14:textId="77777777" w:rsidTr="008A43F4">
        <w:tc>
          <w:tcPr>
            <w:tcW w:w="828" w:type="dxa"/>
            <w:shd w:val="clear" w:color="auto" w:fill="F2F2F2" w:themeFill="background1" w:themeFillShade="F2"/>
          </w:tcPr>
          <w:p w14:paraId="5D648506" w14:textId="77777777" w:rsidR="00777F3C" w:rsidRPr="0037028A" w:rsidRDefault="00777F3C" w:rsidP="008A43F4">
            <w:pPr>
              <w:rPr>
                <w:rFonts w:cstheme="minorHAnsi"/>
              </w:rPr>
            </w:pPr>
            <w:r w:rsidRPr="0037028A">
              <w:rPr>
                <w:rFonts w:cstheme="minorHAnsi"/>
              </w:rPr>
              <w:t xml:space="preserve">Line 3 </w:t>
            </w:r>
          </w:p>
        </w:tc>
        <w:tc>
          <w:tcPr>
            <w:tcW w:w="4140" w:type="dxa"/>
            <w:shd w:val="clear" w:color="auto" w:fill="F2F2F2" w:themeFill="background1" w:themeFillShade="F2"/>
          </w:tcPr>
          <w:p w14:paraId="74500F5E" w14:textId="77777777" w:rsidR="00777F3C" w:rsidRPr="0037028A" w:rsidRDefault="00777F3C" w:rsidP="008A43F4">
            <w:pPr>
              <w:rPr>
                <w:rFonts w:cstheme="minorHAnsi"/>
              </w:rPr>
            </w:pPr>
            <w:r w:rsidRPr="0037028A">
              <w:rPr>
                <w:rFonts w:cstheme="minorHAnsi"/>
              </w:rPr>
              <w:t xml:space="preserve">Annual Source Energy Used </w:t>
            </w:r>
          </w:p>
        </w:tc>
        <w:tc>
          <w:tcPr>
            <w:tcW w:w="1440" w:type="dxa"/>
          </w:tcPr>
          <w:p w14:paraId="3E6A8155" w14:textId="77777777" w:rsidR="00777F3C" w:rsidRPr="0037028A" w:rsidRDefault="00777F3C" w:rsidP="008A43F4">
            <w:pPr>
              <w:rPr>
                <w:rFonts w:cstheme="minorHAnsi"/>
              </w:rPr>
            </w:pPr>
          </w:p>
        </w:tc>
        <w:tc>
          <w:tcPr>
            <w:tcW w:w="990" w:type="dxa"/>
          </w:tcPr>
          <w:p w14:paraId="16F08135" w14:textId="77777777" w:rsidR="00777F3C" w:rsidRPr="0037028A" w:rsidRDefault="00777F3C" w:rsidP="008A43F4">
            <w:pPr>
              <w:rPr>
                <w:rFonts w:cstheme="minorHAnsi"/>
              </w:rPr>
            </w:pPr>
            <w:r w:rsidRPr="0037028A">
              <w:rPr>
                <w:rFonts w:cstheme="minorHAnsi"/>
              </w:rPr>
              <w:t xml:space="preserve">MMBtu </w:t>
            </w:r>
          </w:p>
        </w:tc>
        <w:tc>
          <w:tcPr>
            <w:tcW w:w="1170" w:type="dxa"/>
            <w:shd w:val="clear" w:color="auto" w:fill="D9D9D9" w:themeFill="background1" w:themeFillShade="D9"/>
          </w:tcPr>
          <w:p w14:paraId="2399943D" w14:textId="77777777" w:rsidR="00777F3C" w:rsidRPr="003F6CB6" w:rsidRDefault="00777F3C" w:rsidP="008A43F4">
            <w:pPr>
              <w:rPr>
                <w:rFonts w:cstheme="minorHAnsi"/>
                <w:i/>
              </w:rPr>
            </w:pPr>
            <w:r w:rsidRPr="003F6CB6">
              <w:rPr>
                <w:rFonts w:cstheme="minorHAnsi"/>
                <w:i/>
              </w:rPr>
              <w:t>178,800</w:t>
            </w:r>
          </w:p>
        </w:tc>
        <w:tc>
          <w:tcPr>
            <w:tcW w:w="1008" w:type="dxa"/>
            <w:shd w:val="clear" w:color="auto" w:fill="D9D9D9" w:themeFill="background1" w:themeFillShade="D9"/>
          </w:tcPr>
          <w:p w14:paraId="55D8B4A9" w14:textId="77777777" w:rsidR="00777F3C" w:rsidRPr="003F6CB6" w:rsidRDefault="00777F3C" w:rsidP="008A43F4">
            <w:pPr>
              <w:rPr>
                <w:rFonts w:cstheme="minorHAnsi"/>
              </w:rPr>
            </w:pPr>
            <w:r w:rsidRPr="003F6CB6">
              <w:rPr>
                <w:rFonts w:cstheme="minorHAnsi"/>
              </w:rPr>
              <w:t>MMBtu</w:t>
            </w:r>
          </w:p>
        </w:tc>
      </w:tr>
      <w:tr w:rsidR="00777F3C" w:rsidRPr="0037028A" w14:paraId="1F79A177" w14:textId="77777777" w:rsidTr="008A43F4">
        <w:tc>
          <w:tcPr>
            <w:tcW w:w="828" w:type="dxa"/>
            <w:shd w:val="clear" w:color="auto" w:fill="F2F2F2" w:themeFill="background1" w:themeFillShade="F2"/>
          </w:tcPr>
          <w:p w14:paraId="55493E56" w14:textId="77777777" w:rsidR="00777F3C" w:rsidRPr="0037028A" w:rsidRDefault="00777F3C" w:rsidP="008A43F4">
            <w:pPr>
              <w:rPr>
                <w:rFonts w:cstheme="minorHAnsi"/>
              </w:rPr>
            </w:pPr>
            <w:r w:rsidRPr="0037028A">
              <w:rPr>
                <w:rFonts w:cstheme="minorHAnsi"/>
              </w:rPr>
              <w:t xml:space="preserve">Line 4 </w:t>
            </w:r>
          </w:p>
        </w:tc>
        <w:tc>
          <w:tcPr>
            <w:tcW w:w="4140" w:type="dxa"/>
            <w:shd w:val="clear" w:color="auto" w:fill="F2F2F2" w:themeFill="background1" w:themeFillShade="F2"/>
          </w:tcPr>
          <w:p w14:paraId="75E94194" w14:textId="77777777" w:rsidR="00777F3C" w:rsidRPr="0037028A" w:rsidRDefault="00777F3C" w:rsidP="008A43F4">
            <w:pPr>
              <w:rPr>
                <w:rFonts w:cstheme="minorHAnsi"/>
              </w:rPr>
            </w:pPr>
            <w:r w:rsidRPr="0037028A">
              <w:rPr>
                <w:rFonts w:cstheme="minorHAnsi"/>
              </w:rPr>
              <w:t>Annual Site Energy Used After Project</w:t>
            </w:r>
          </w:p>
        </w:tc>
        <w:tc>
          <w:tcPr>
            <w:tcW w:w="1440" w:type="dxa"/>
          </w:tcPr>
          <w:p w14:paraId="1085D0E4" w14:textId="77777777" w:rsidR="00777F3C" w:rsidRPr="0037028A" w:rsidRDefault="00777F3C" w:rsidP="008A43F4">
            <w:pPr>
              <w:rPr>
                <w:rFonts w:cstheme="minorHAnsi"/>
              </w:rPr>
            </w:pPr>
          </w:p>
        </w:tc>
        <w:tc>
          <w:tcPr>
            <w:tcW w:w="990" w:type="dxa"/>
          </w:tcPr>
          <w:p w14:paraId="78AB73B2" w14:textId="77777777" w:rsidR="00777F3C" w:rsidRPr="0037028A" w:rsidRDefault="00777F3C" w:rsidP="008A43F4">
            <w:pPr>
              <w:rPr>
                <w:rFonts w:cstheme="minorHAnsi"/>
              </w:rPr>
            </w:pPr>
            <w:r w:rsidRPr="0037028A">
              <w:rPr>
                <w:rFonts w:cstheme="minorHAnsi"/>
              </w:rPr>
              <w:t>MMBtu</w:t>
            </w:r>
          </w:p>
        </w:tc>
        <w:tc>
          <w:tcPr>
            <w:tcW w:w="1170" w:type="dxa"/>
            <w:shd w:val="clear" w:color="auto" w:fill="D9D9D9" w:themeFill="background1" w:themeFillShade="D9"/>
          </w:tcPr>
          <w:p w14:paraId="64826EB2" w14:textId="77777777" w:rsidR="00777F3C" w:rsidRPr="003F6CB6" w:rsidRDefault="00777F3C" w:rsidP="008A43F4">
            <w:pPr>
              <w:rPr>
                <w:rFonts w:cstheme="minorHAnsi"/>
                <w:i/>
              </w:rPr>
            </w:pPr>
            <w:r w:rsidRPr="003F6CB6">
              <w:rPr>
                <w:rFonts w:cstheme="minorHAnsi"/>
                <w:i/>
              </w:rPr>
              <w:t>128,170</w:t>
            </w:r>
          </w:p>
        </w:tc>
        <w:tc>
          <w:tcPr>
            <w:tcW w:w="1008" w:type="dxa"/>
            <w:shd w:val="clear" w:color="auto" w:fill="D9D9D9" w:themeFill="background1" w:themeFillShade="D9"/>
          </w:tcPr>
          <w:p w14:paraId="7ADD8664" w14:textId="77777777" w:rsidR="00777F3C" w:rsidRPr="003F6CB6" w:rsidRDefault="00777F3C" w:rsidP="008A43F4">
            <w:pPr>
              <w:rPr>
                <w:rFonts w:cstheme="minorHAnsi"/>
              </w:rPr>
            </w:pPr>
            <w:r w:rsidRPr="003F6CB6">
              <w:rPr>
                <w:rFonts w:cstheme="minorHAnsi"/>
              </w:rPr>
              <w:t>MMBtu</w:t>
            </w:r>
          </w:p>
        </w:tc>
      </w:tr>
      <w:tr w:rsidR="00777F3C" w:rsidRPr="0037028A" w14:paraId="2336EA4F" w14:textId="77777777" w:rsidTr="008A43F4">
        <w:tc>
          <w:tcPr>
            <w:tcW w:w="828" w:type="dxa"/>
            <w:shd w:val="clear" w:color="auto" w:fill="FFFF00"/>
          </w:tcPr>
          <w:p w14:paraId="183424E1" w14:textId="77777777" w:rsidR="00777F3C" w:rsidRPr="0037028A" w:rsidRDefault="00777F3C" w:rsidP="008A43F4">
            <w:pPr>
              <w:rPr>
                <w:rFonts w:cstheme="minorHAnsi"/>
              </w:rPr>
            </w:pPr>
            <w:r w:rsidRPr="0037028A">
              <w:rPr>
                <w:rFonts w:cstheme="minorHAnsi"/>
              </w:rPr>
              <w:t>Line 5</w:t>
            </w:r>
          </w:p>
        </w:tc>
        <w:tc>
          <w:tcPr>
            <w:tcW w:w="4140" w:type="dxa"/>
            <w:shd w:val="clear" w:color="auto" w:fill="FFFF00"/>
          </w:tcPr>
          <w:p w14:paraId="23778CA1" w14:textId="77777777" w:rsidR="00777F3C" w:rsidRPr="0037028A" w:rsidRDefault="00777F3C" w:rsidP="008A43F4">
            <w:pPr>
              <w:rPr>
                <w:rFonts w:cstheme="minorHAnsi"/>
              </w:rPr>
            </w:pPr>
            <w:r w:rsidRPr="0037028A">
              <w:rPr>
                <w:rFonts w:cstheme="minorHAnsi"/>
              </w:rPr>
              <w:t>Annual Source Energy Saved After Project</w:t>
            </w:r>
          </w:p>
          <w:p w14:paraId="3C5ABB81" w14:textId="77777777" w:rsidR="00777F3C" w:rsidRPr="0037028A" w:rsidRDefault="0050137A" w:rsidP="008A43F4">
            <w:pPr>
              <w:rPr>
                <w:rFonts w:cstheme="minorHAnsi"/>
              </w:rPr>
            </w:pPr>
            <w:r w:rsidRPr="0037028A">
              <w:rPr>
                <w:rFonts w:cstheme="minorHAnsi"/>
                <w:sz w:val="18"/>
              </w:rPr>
              <w:t>(subtract Line 3 from Line 1, this is:)</w:t>
            </w:r>
          </w:p>
        </w:tc>
        <w:tc>
          <w:tcPr>
            <w:tcW w:w="1440" w:type="dxa"/>
            <w:shd w:val="clear" w:color="auto" w:fill="FFFF00"/>
          </w:tcPr>
          <w:p w14:paraId="7FD8147C" w14:textId="77777777" w:rsidR="00777F3C" w:rsidRPr="0037028A" w:rsidRDefault="00777F3C" w:rsidP="008A43F4">
            <w:pPr>
              <w:rPr>
                <w:rFonts w:cstheme="minorHAnsi"/>
              </w:rPr>
            </w:pPr>
          </w:p>
        </w:tc>
        <w:tc>
          <w:tcPr>
            <w:tcW w:w="990" w:type="dxa"/>
            <w:shd w:val="clear" w:color="auto" w:fill="FFFF00"/>
          </w:tcPr>
          <w:p w14:paraId="1F96C3F9" w14:textId="77777777" w:rsidR="00777F3C" w:rsidRPr="0037028A" w:rsidRDefault="00777F3C" w:rsidP="008A43F4">
            <w:pPr>
              <w:rPr>
                <w:rFonts w:cstheme="minorHAnsi"/>
              </w:rPr>
            </w:pPr>
            <w:r w:rsidRPr="0037028A">
              <w:rPr>
                <w:rFonts w:cstheme="minorHAnsi"/>
              </w:rPr>
              <w:t xml:space="preserve">MMBtu </w:t>
            </w:r>
          </w:p>
        </w:tc>
        <w:tc>
          <w:tcPr>
            <w:tcW w:w="1170" w:type="dxa"/>
            <w:shd w:val="clear" w:color="auto" w:fill="FFFF00"/>
          </w:tcPr>
          <w:p w14:paraId="75E8E2B9" w14:textId="77777777" w:rsidR="00777F3C" w:rsidRPr="003F6CB6" w:rsidRDefault="00777F3C" w:rsidP="008A43F4">
            <w:pPr>
              <w:rPr>
                <w:rFonts w:cstheme="minorHAnsi"/>
                <w:i/>
              </w:rPr>
            </w:pPr>
            <w:r w:rsidRPr="003F6CB6">
              <w:rPr>
                <w:rFonts w:cstheme="minorHAnsi"/>
                <w:i/>
              </w:rPr>
              <w:t xml:space="preserve">47,100 </w:t>
            </w:r>
          </w:p>
        </w:tc>
        <w:tc>
          <w:tcPr>
            <w:tcW w:w="1008" w:type="dxa"/>
            <w:shd w:val="clear" w:color="auto" w:fill="FFFF00"/>
          </w:tcPr>
          <w:p w14:paraId="024EC70D" w14:textId="77777777" w:rsidR="00777F3C" w:rsidRPr="003F6CB6" w:rsidRDefault="00777F3C" w:rsidP="008A43F4">
            <w:pPr>
              <w:rPr>
                <w:rFonts w:cstheme="minorHAnsi"/>
              </w:rPr>
            </w:pPr>
            <w:r w:rsidRPr="003F6CB6">
              <w:rPr>
                <w:rFonts w:cstheme="minorHAnsi"/>
              </w:rPr>
              <w:t>MMBtu</w:t>
            </w:r>
          </w:p>
        </w:tc>
      </w:tr>
      <w:tr w:rsidR="00777F3C" w:rsidRPr="0037028A" w14:paraId="55EEF7FF" w14:textId="77777777" w:rsidTr="008A43F4">
        <w:tc>
          <w:tcPr>
            <w:tcW w:w="828" w:type="dxa"/>
            <w:shd w:val="clear" w:color="auto" w:fill="F2F2F2" w:themeFill="background1" w:themeFillShade="F2"/>
          </w:tcPr>
          <w:p w14:paraId="0CC78F1A" w14:textId="77777777" w:rsidR="00777F3C" w:rsidRPr="0037028A" w:rsidRDefault="00777F3C" w:rsidP="008A43F4">
            <w:pPr>
              <w:rPr>
                <w:rFonts w:cstheme="minorHAnsi"/>
              </w:rPr>
            </w:pPr>
            <w:r w:rsidRPr="0037028A">
              <w:rPr>
                <w:rFonts w:cstheme="minorHAnsi"/>
              </w:rPr>
              <w:t>Line 6</w:t>
            </w:r>
          </w:p>
        </w:tc>
        <w:tc>
          <w:tcPr>
            <w:tcW w:w="4140" w:type="dxa"/>
            <w:shd w:val="clear" w:color="auto" w:fill="F2F2F2" w:themeFill="background1" w:themeFillShade="F2"/>
          </w:tcPr>
          <w:p w14:paraId="5EC99DFA" w14:textId="77777777" w:rsidR="00777F3C" w:rsidRDefault="00777F3C" w:rsidP="008A43F4">
            <w:pPr>
              <w:rPr>
                <w:rFonts w:cstheme="minorHAnsi"/>
              </w:rPr>
            </w:pPr>
            <w:r w:rsidRPr="0037028A">
              <w:rPr>
                <w:rFonts w:cstheme="minorHAnsi"/>
              </w:rPr>
              <w:t>Annual Site Energy Increase After Project</w:t>
            </w:r>
          </w:p>
          <w:p w14:paraId="77BE6F3C" w14:textId="77777777" w:rsidR="0050137A" w:rsidRPr="0037028A" w:rsidRDefault="0050137A" w:rsidP="008A43F4">
            <w:pPr>
              <w:rPr>
                <w:rFonts w:cstheme="minorHAnsi"/>
              </w:rPr>
            </w:pPr>
            <w:r w:rsidRPr="0037028A">
              <w:rPr>
                <w:rFonts w:cstheme="minorHAnsi"/>
                <w:sz w:val="18"/>
              </w:rPr>
              <w:t>(subtract Line 2 from Line 4, this is:)</w:t>
            </w:r>
          </w:p>
        </w:tc>
        <w:tc>
          <w:tcPr>
            <w:tcW w:w="1440" w:type="dxa"/>
          </w:tcPr>
          <w:p w14:paraId="5FBE54D2" w14:textId="77777777" w:rsidR="00777F3C" w:rsidRPr="0037028A" w:rsidRDefault="00777F3C" w:rsidP="008A43F4">
            <w:pPr>
              <w:rPr>
                <w:rFonts w:cstheme="minorHAnsi"/>
              </w:rPr>
            </w:pPr>
          </w:p>
        </w:tc>
        <w:tc>
          <w:tcPr>
            <w:tcW w:w="990" w:type="dxa"/>
          </w:tcPr>
          <w:p w14:paraId="23C8D83A" w14:textId="77777777" w:rsidR="00777F3C" w:rsidRPr="0037028A" w:rsidRDefault="00777F3C" w:rsidP="008A43F4">
            <w:pPr>
              <w:rPr>
                <w:rFonts w:cstheme="minorHAnsi"/>
              </w:rPr>
            </w:pPr>
            <w:r w:rsidRPr="0037028A">
              <w:rPr>
                <w:rFonts w:cstheme="minorHAnsi"/>
              </w:rPr>
              <w:t xml:space="preserve">MMBtu </w:t>
            </w:r>
          </w:p>
        </w:tc>
        <w:tc>
          <w:tcPr>
            <w:tcW w:w="1170" w:type="dxa"/>
            <w:shd w:val="clear" w:color="auto" w:fill="D9D9D9" w:themeFill="background1" w:themeFillShade="D9"/>
          </w:tcPr>
          <w:p w14:paraId="6B1BFE09" w14:textId="77777777" w:rsidR="00777F3C" w:rsidRPr="003F6CB6" w:rsidRDefault="00777F3C" w:rsidP="008A43F4">
            <w:pPr>
              <w:rPr>
                <w:rFonts w:cstheme="minorHAnsi"/>
                <w:i/>
              </w:rPr>
            </w:pPr>
            <w:r w:rsidRPr="003F6CB6">
              <w:rPr>
                <w:rFonts w:cstheme="minorHAnsi"/>
                <w:i/>
              </w:rPr>
              <w:t xml:space="preserve">20,400 </w:t>
            </w:r>
          </w:p>
        </w:tc>
        <w:tc>
          <w:tcPr>
            <w:tcW w:w="1008" w:type="dxa"/>
            <w:shd w:val="clear" w:color="auto" w:fill="D9D9D9" w:themeFill="background1" w:themeFillShade="D9"/>
          </w:tcPr>
          <w:p w14:paraId="2BED9EB9" w14:textId="77777777" w:rsidR="00777F3C" w:rsidRPr="003F6CB6" w:rsidRDefault="00777F3C" w:rsidP="008A43F4">
            <w:pPr>
              <w:rPr>
                <w:rFonts w:cstheme="minorHAnsi"/>
              </w:rPr>
            </w:pPr>
            <w:r w:rsidRPr="003F6CB6">
              <w:rPr>
                <w:rFonts w:cstheme="minorHAnsi"/>
              </w:rPr>
              <w:t>MMBtu</w:t>
            </w:r>
          </w:p>
        </w:tc>
      </w:tr>
    </w:tbl>
    <w:p w14:paraId="4BACD4D7" w14:textId="77777777" w:rsidR="00777F3C" w:rsidRPr="0037028A" w:rsidRDefault="00777F3C" w:rsidP="00777F3C">
      <w:pPr>
        <w:spacing w:after="0" w:line="240" w:lineRule="auto"/>
        <w:rPr>
          <w:rFonts w:cstheme="minorHAnsi"/>
        </w:rPr>
      </w:pPr>
    </w:p>
    <w:p w14:paraId="406E28D4" w14:textId="258B67EA" w:rsidR="00777F3C" w:rsidRDefault="00777F3C" w:rsidP="00777F3C">
      <w:pPr>
        <w:spacing w:after="0" w:line="240" w:lineRule="auto"/>
        <w:rPr>
          <w:rFonts w:cstheme="minorHAnsi"/>
        </w:rPr>
      </w:pPr>
      <w:r w:rsidRPr="0037028A">
        <w:rPr>
          <w:rFonts w:cstheme="minorHAnsi"/>
        </w:rPr>
        <w:t>Qualifying projects receive a credit in the amount of the annual source energy savings (line 5 above), which is used to adjust downward the agency site energy use before the final calculation of goal performance in terms of site Btu per gross square foot.</w:t>
      </w:r>
      <w:r w:rsidR="00E6014A">
        <w:rPr>
          <w:rFonts w:cstheme="minorHAnsi"/>
        </w:rPr>
        <w:t xml:space="preserve"> </w:t>
      </w:r>
      <w:r w:rsidR="00E6014A">
        <w:t xml:space="preserve">An agency’s existing site </w:t>
      </w:r>
      <w:r w:rsidR="00E6014A" w:rsidRPr="00494908">
        <w:t>tracking system may automatically recognize part of the credit</w:t>
      </w:r>
      <w:r w:rsidR="00E6014A">
        <w:t xml:space="preserve"> as</w:t>
      </w:r>
      <w:r w:rsidR="00E6014A" w:rsidRPr="00494908">
        <w:t xml:space="preserve"> ma</w:t>
      </w:r>
      <w:r w:rsidR="00E6014A">
        <w:t xml:space="preserve">ny qualifying projects report similar </w:t>
      </w:r>
      <w:r w:rsidR="00E6014A" w:rsidRPr="00494908">
        <w:t>characteristic</w:t>
      </w:r>
      <w:r w:rsidR="00E6014A">
        <w:t>s</w:t>
      </w:r>
      <w:r w:rsidR="00E6014A" w:rsidRPr="00494908">
        <w:t xml:space="preserve"> that </w:t>
      </w:r>
      <w:r w:rsidR="00E6014A">
        <w:t xml:space="preserve">the </w:t>
      </w:r>
      <w:r w:rsidR="00E6014A" w:rsidRPr="00494908">
        <w:t xml:space="preserve">utilization of </w:t>
      </w:r>
      <w:r w:rsidR="00E6014A">
        <w:t xml:space="preserve">on-site </w:t>
      </w:r>
      <w:r w:rsidR="00E6014A" w:rsidRPr="00494908">
        <w:t>energy</w:t>
      </w:r>
      <w:r w:rsidR="00E6014A">
        <w:t xml:space="preserve"> produces while also reducing purchases </w:t>
      </w:r>
      <w:r w:rsidR="00E6014A" w:rsidRPr="00494908">
        <w:t>o</w:t>
      </w:r>
      <w:r w:rsidR="00E6014A">
        <w:t>f electricity from the grid</w:t>
      </w:r>
      <w:r w:rsidR="00E6014A">
        <w:t xml:space="preserve">. </w:t>
      </w:r>
      <w:r w:rsidRPr="0037028A">
        <w:rPr>
          <w:rFonts w:cstheme="minorHAnsi"/>
        </w:rPr>
        <w:t>The purpose of the adjustment is to account for the rest of the source energy savings credit.</w:t>
      </w:r>
    </w:p>
    <w:p w14:paraId="5D2115FF" w14:textId="77777777" w:rsidR="00777F3C" w:rsidRDefault="00777F3C" w:rsidP="00777F3C">
      <w:pPr>
        <w:spacing w:after="0" w:line="240" w:lineRule="auto"/>
        <w:rPr>
          <w:rFonts w:cstheme="minorHAnsi"/>
        </w:rPr>
      </w:pPr>
    </w:p>
    <w:p w14:paraId="5955AE54" w14:textId="77777777" w:rsidR="00777F3C" w:rsidRPr="0037028A" w:rsidRDefault="00777F3C" w:rsidP="00777F3C">
      <w:pPr>
        <w:spacing w:after="0" w:line="240" w:lineRule="auto"/>
        <w:rPr>
          <w:rFonts w:cstheme="minorHAnsi"/>
        </w:rPr>
      </w:pPr>
      <w:r w:rsidRPr="0084505F">
        <w:rPr>
          <w:rFonts w:cstheme="minorHAnsi"/>
        </w:rPr>
        <w:t>For example, consider a large cogeneration (combined heat and po</w:t>
      </w:r>
      <w:r>
        <w:rPr>
          <w:rFonts w:cstheme="minorHAnsi"/>
        </w:rPr>
        <w:t xml:space="preserve">wer or CHP) project. </w:t>
      </w:r>
      <w:r w:rsidRPr="0084505F">
        <w:rPr>
          <w:rFonts w:cstheme="minorHAnsi"/>
        </w:rPr>
        <w:t>Electricity is generated on-site with natural gas backed up with liq</w:t>
      </w:r>
      <w:r>
        <w:rPr>
          <w:rFonts w:cstheme="minorHAnsi"/>
        </w:rPr>
        <w:t xml:space="preserve">uid fuel, and heat is recovered </w:t>
      </w:r>
      <w:r w:rsidRPr="0084505F">
        <w:rPr>
          <w:rFonts w:cstheme="minorHAnsi"/>
        </w:rPr>
        <w:t>from the generation process and recycled to reduce purchases of b</w:t>
      </w:r>
      <w:r>
        <w:rPr>
          <w:rFonts w:cstheme="minorHAnsi"/>
        </w:rPr>
        <w:t xml:space="preserve">oiler fuels, and/or to generate </w:t>
      </w:r>
      <w:r w:rsidRPr="0084505F">
        <w:rPr>
          <w:rFonts w:cstheme="minorHAnsi"/>
        </w:rPr>
        <w:t>chilled water, further reducing grid electricity purchases. As a resu</w:t>
      </w:r>
      <w:r>
        <w:rPr>
          <w:rFonts w:cstheme="minorHAnsi"/>
        </w:rPr>
        <w:t xml:space="preserve">lt of the project, fuel use for </w:t>
      </w:r>
      <w:r w:rsidRPr="0084505F">
        <w:rPr>
          <w:rFonts w:cstheme="minorHAnsi"/>
        </w:rPr>
        <w:t>on-site power generation increases, fuel use for boilers decreases,</w:t>
      </w:r>
      <w:r>
        <w:rPr>
          <w:rFonts w:cstheme="minorHAnsi"/>
        </w:rPr>
        <w:t xml:space="preserve"> and grid electricity purchases </w:t>
      </w:r>
      <w:r w:rsidRPr="0084505F">
        <w:rPr>
          <w:rFonts w:cstheme="minorHAnsi"/>
        </w:rPr>
        <w:t>decrease. Site Btu and source Btu are substantially identical for all energy forms impacted by</w:t>
      </w:r>
      <w:r>
        <w:rPr>
          <w:rFonts w:cstheme="minorHAnsi"/>
        </w:rPr>
        <w:t xml:space="preserve"> the </w:t>
      </w:r>
      <w:r w:rsidRPr="0084505F">
        <w:rPr>
          <w:rFonts w:cstheme="minorHAnsi"/>
        </w:rPr>
        <w:t>project except for grid electri</w:t>
      </w:r>
      <w:r>
        <w:rPr>
          <w:rFonts w:cstheme="minorHAnsi"/>
        </w:rPr>
        <w:t xml:space="preserve">city, where 1 kWh equals 11,396 </w:t>
      </w:r>
      <w:r w:rsidRPr="0084505F">
        <w:rPr>
          <w:rFonts w:cstheme="minorHAnsi"/>
        </w:rPr>
        <w:t>so</w:t>
      </w:r>
      <w:r>
        <w:rPr>
          <w:rFonts w:cstheme="minorHAnsi"/>
        </w:rPr>
        <w:t xml:space="preserve">urce Btu (using the </w:t>
      </w:r>
      <w:r w:rsidRPr="00BB22BA">
        <w:rPr>
          <w:rFonts w:cstheme="minorHAnsi"/>
          <w:smallCaps/>
        </w:rPr>
        <w:t>Energy Star</w:t>
      </w:r>
      <w:r>
        <w:rPr>
          <w:rFonts w:cstheme="minorHAnsi"/>
        </w:rPr>
        <w:t xml:space="preserve"> ratio) but </w:t>
      </w:r>
      <w:r w:rsidRPr="0084505F">
        <w:rPr>
          <w:rFonts w:cstheme="minorHAnsi"/>
        </w:rPr>
        <w:t xml:space="preserve">only 3,412 site Btu. With the exception of grid electricity, all </w:t>
      </w:r>
      <w:r>
        <w:rPr>
          <w:rFonts w:cstheme="minorHAnsi"/>
        </w:rPr>
        <w:t xml:space="preserve">forms of energy affected by the </w:t>
      </w:r>
      <w:r w:rsidRPr="0084505F">
        <w:rPr>
          <w:rFonts w:cstheme="minorHAnsi"/>
        </w:rPr>
        <w:t xml:space="preserve">project have </w:t>
      </w:r>
      <w:r>
        <w:rPr>
          <w:rFonts w:cstheme="minorHAnsi"/>
        </w:rPr>
        <w:t xml:space="preserve">essentially </w:t>
      </w:r>
      <w:r w:rsidRPr="0084505F">
        <w:rPr>
          <w:rFonts w:cstheme="minorHAnsi"/>
        </w:rPr>
        <w:t>the same Btu value whether site or source. T</w:t>
      </w:r>
      <w:r>
        <w:rPr>
          <w:rFonts w:cstheme="minorHAnsi"/>
        </w:rPr>
        <w:t xml:space="preserve">herefore, backing out the grid </w:t>
      </w:r>
      <w:r w:rsidRPr="0084505F">
        <w:rPr>
          <w:rFonts w:cstheme="minorHAnsi"/>
        </w:rPr>
        <w:t>electricity displaced by the project (self-generation, electric ch</w:t>
      </w:r>
      <w:r>
        <w:rPr>
          <w:rFonts w:cstheme="minorHAnsi"/>
        </w:rPr>
        <w:t xml:space="preserve">iller load displaced by chilled </w:t>
      </w:r>
      <w:r w:rsidRPr="0084505F">
        <w:rPr>
          <w:rFonts w:cstheme="minorHAnsi"/>
        </w:rPr>
        <w:t>water from recycled heat, etc.), on a source-Btu basis, is all that</w:t>
      </w:r>
      <w:r>
        <w:rPr>
          <w:rFonts w:cstheme="minorHAnsi"/>
        </w:rPr>
        <w:t xml:space="preserve"> needs to be done. The agency’s </w:t>
      </w:r>
      <w:r w:rsidRPr="0084505F">
        <w:rPr>
          <w:rFonts w:cstheme="minorHAnsi"/>
        </w:rPr>
        <w:t>site energy tracking system will already have backed out displaced</w:t>
      </w:r>
      <w:r>
        <w:rPr>
          <w:rFonts w:cstheme="minorHAnsi"/>
        </w:rPr>
        <w:t xml:space="preserve"> grid electricity because it no </w:t>
      </w:r>
      <w:r w:rsidRPr="0084505F">
        <w:rPr>
          <w:rFonts w:cstheme="minorHAnsi"/>
        </w:rPr>
        <w:t>longer appears on the utility meter, but only at a rate of 3,41</w:t>
      </w:r>
      <w:r>
        <w:rPr>
          <w:rFonts w:cstheme="minorHAnsi"/>
        </w:rPr>
        <w:t xml:space="preserve">2 Btu per kWh. An adjustment is </w:t>
      </w:r>
      <w:r w:rsidRPr="0084505F">
        <w:rPr>
          <w:rFonts w:cstheme="minorHAnsi"/>
        </w:rPr>
        <w:t xml:space="preserve">needed to account for the rest of the source energy savings, at a rate of </w:t>
      </w:r>
      <w:r>
        <w:rPr>
          <w:rFonts w:cstheme="minorHAnsi"/>
        </w:rPr>
        <w:t>7,984</w:t>
      </w:r>
      <w:r w:rsidRPr="0084505F">
        <w:rPr>
          <w:rFonts w:cstheme="minorHAnsi"/>
        </w:rPr>
        <w:t xml:space="preserve"> Btu per kWh</w:t>
      </w:r>
      <w:r>
        <w:rPr>
          <w:rFonts w:cstheme="minorHAnsi"/>
        </w:rPr>
        <w:t xml:space="preserve"> </w:t>
      </w:r>
      <w:r w:rsidRPr="0084505F">
        <w:rPr>
          <w:rFonts w:cstheme="minorHAnsi"/>
        </w:rPr>
        <w:t>(11,</w:t>
      </w:r>
      <w:r>
        <w:rPr>
          <w:rFonts w:cstheme="minorHAnsi"/>
        </w:rPr>
        <w:t>396</w:t>
      </w:r>
      <w:r w:rsidRPr="0084505F">
        <w:rPr>
          <w:rFonts w:cstheme="minorHAnsi"/>
        </w:rPr>
        <w:t xml:space="preserve"> minus 3,412). The adjustment for the cogenerati</w:t>
      </w:r>
      <w:r>
        <w:rPr>
          <w:rFonts w:cstheme="minorHAnsi"/>
        </w:rPr>
        <w:t xml:space="preserve">on project equals the displaced grid electricity in </w:t>
      </w:r>
      <w:r w:rsidRPr="0084505F">
        <w:rPr>
          <w:rFonts w:cstheme="minorHAnsi"/>
        </w:rPr>
        <w:t>kWh per year m</w:t>
      </w:r>
      <w:r>
        <w:rPr>
          <w:rFonts w:cstheme="minorHAnsi"/>
        </w:rPr>
        <w:t xml:space="preserve">ultiplied by 7,984 Btu per kWh. </w:t>
      </w:r>
    </w:p>
    <w:p w14:paraId="470DAC6C" w14:textId="77777777" w:rsidR="00777F3C" w:rsidRPr="0037028A" w:rsidRDefault="00777F3C" w:rsidP="00777F3C">
      <w:pPr>
        <w:spacing w:after="0" w:line="240" w:lineRule="auto"/>
        <w:rPr>
          <w:rFonts w:cstheme="minorHAnsi"/>
        </w:rPr>
      </w:pPr>
    </w:p>
    <w:p w14:paraId="729C9841" w14:textId="77777777" w:rsidR="00777F3C" w:rsidRPr="0037028A" w:rsidRDefault="00777F3C" w:rsidP="00777F3C">
      <w:pPr>
        <w:spacing w:after="0" w:line="240" w:lineRule="auto"/>
        <w:rPr>
          <w:rFonts w:cstheme="minorHAnsi"/>
        </w:rPr>
      </w:pPr>
      <w:r w:rsidRPr="0037028A">
        <w:rPr>
          <w:rFonts w:cstheme="minorHAnsi"/>
        </w:rPr>
        <w:t>After calculating adjustments for each qualifying project, compile the data into the</w:t>
      </w:r>
      <w:r>
        <w:rPr>
          <w:rFonts w:cstheme="minorHAnsi"/>
        </w:rPr>
        <w:t xml:space="preserve"> worksheet listed in </w:t>
      </w:r>
      <w:r w:rsidRPr="0037028A">
        <w:rPr>
          <w:rFonts w:cstheme="minorHAnsi"/>
        </w:rPr>
        <w:t xml:space="preserve">the </w:t>
      </w:r>
      <w:r w:rsidRPr="003F6CB6">
        <w:rPr>
          <w:rFonts w:cstheme="minorHAnsi"/>
          <w:i/>
        </w:rPr>
        <w:t xml:space="preserve">FEMP </w:t>
      </w:r>
      <w:r w:rsidR="00E63532">
        <w:rPr>
          <w:rFonts w:cstheme="minorHAnsi"/>
          <w:i/>
        </w:rPr>
        <w:t>Annual Energy</w:t>
      </w:r>
      <w:r w:rsidR="001F3F4B">
        <w:rPr>
          <w:rFonts w:cstheme="minorHAnsi"/>
          <w:i/>
        </w:rPr>
        <w:t xml:space="preserve"> Management</w:t>
      </w:r>
      <w:r w:rsidRPr="003F6CB6">
        <w:rPr>
          <w:rFonts w:cstheme="minorHAnsi"/>
          <w:i/>
        </w:rPr>
        <w:t xml:space="preserve"> Data Report</w:t>
      </w:r>
      <w:r>
        <w:rPr>
          <w:rFonts w:cstheme="minorHAnsi"/>
        </w:rPr>
        <w:t xml:space="preserve">, </w:t>
      </w:r>
      <w:r w:rsidR="0011076C">
        <w:rPr>
          <w:rFonts w:cstheme="minorHAnsi"/>
        </w:rPr>
        <w:t>Tab 4.3</w:t>
      </w:r>
      <w:r>
        <w:rPr>
          <w:rFonts w:cstheme="minorHAnsi"/>
        </w:rPr>
        <w:t xml:space="preserve">, as illustrated below and located at: </w:t>
      </w:r>
      <w:r w:rsidRPr="005E20C1">
        <w:t xml:space="preserve"> </w:t>
      </w:r>
    </w:p>
    <w:p w14:paraId="7C89DA77" w14:textId="77777777" w:rsidR="00777F3C" w:rsidRPr="00485387" w:rsidRDefault="00775BD0" w:rsidP="00777F3C">
      <w:pPr>
        <w:spacing w:after="0" w:line="240" w:lineRule="auto"/>
        <w:rPr>
          <w:rFonts w:cstheme="minorHAnsi"/>
          <w:i/>
        </w:rPr>
      </w:pPr>
      <w:hyperlink r:id="rId28" w:history="1">
        <w:r w:rsidR="0073614F" w:rsidRPr="00A33E69">
          <w:rPr>
            <w:rStyle w:val="Hyperlink"/>
          </w:rPr>
          <w:t>http://energy.gov/eere/femp/downloads/annual-energy-data-report</w:t>
        </w:r>
      </w:hyperlink>
      <w:r w:rsidR="00CB7A92">
        <w:t xml:space="preserve">. </w:t>
      </w:r>
      <w:r w:rsidR="00777F3C" w:rsidRPr="00485387">
        <w:rPr>
          <w:rFonts w:cstheme="minorHAnsi"/>
          <w:i/>
        </w:rPr>
        <w:t xml:space="preserve"> </w:t>
      </w:r>
    </w:p>
    <w:p w14:paraId="4F8EF3F3" w14:textId="77777777" w:rsidR="00777F3C" w:rsidRDefault="00777F3C" w:rsidP="00777F3C">
      <w:pPr>
        <w:spacing w:after="0" w:line="240" w:lineRule="auto"/>
        <w:rPr>
          <w:rFonts w:cstheme="minorHAnsi"/>
          <w:b/>
          <w:sz w:val="24"/>
        </w:rPr>
      </w:pPr>
    </w:p>
    <w:p w14:paraId="3A31A0B2" w14:textId="701E3540" w:rsidR="00E6014A" w:rsidRDefault="00E6014A">
      <w:pPr>
        <w:rPr>
          <w:rFonts w:cstheme="minorHAnsi"/>
          <w:b/>
          <w:sz w:val="24"/>
        </w:rPr>
      </w:pPr>
      <w:r>
        <w:rPr>
          <w:rFonts w:cstheme="minorHAnsi"/>
          <w:b/>
          <w:sz w:val="24"/>
        </w:rPr>
        <w:br w:type="page"/>
      </w:r>
    </w:p>
    <w:tbl>
      <w:tblPr>
        <w:tblW w:w="9180" w:type="dxa"/>
        <w:tblInd w:w="108" w:type="dxa"/>
        <w:tblLook w:val="04A0" w:firstRow="1" w:lastRow="0" w:firstColumn="1" w:lastColumn="0" w:noHBand="0" w:noVBand="1"/>
      </w:tblPr>
      <w:tblGrid>
        <w:gridCol w:w="3400"/>
        <w:gridCol w:w="1440"/>
        <w:gridCol w:w="1550"/>
        <w:gridCol w:w="2790"/>
      </w:tblGrid>
      <w:tr w:rsidR="00777F3C" w:rsidRPr="007B38A8" w14:paraId="0B090DF1" w14:textId="77777777" w:rsidTr="008A43F4">
        <w:trPr>
          <w:trHeight w:val="510"/>
        </w:trPr>
        <w:tc>
          <w:tcPr>
            <w:tcW w:w="9180" w:type="dxa"/>
            <w:gridSpan w:val="4"/>
            <w:tcBorders>
              <w:top w:val="nil"/>
              <w:left w:val="nil"/>
              <w:bottom w:val="nil"/>
              <w:right w:val="nil"/>
            </w:tcBorders>
            <w:shd w:val="clear" w:color="auto" w:fill="auto"/>
            <w:hideMark/>
          </w:tcPr>
          <w:p w14:paraId="1CEEAA54" w14:textId="77777777" w:rsidR="00777F3C" w:rsidRPr="007B38A8" w:rsidRDefault="00777F3C" w:rsidP="008A43F4">
            <w:pPr>
              <w:spacing w:after="0" w:line="240" w:lineRule="auto"/>
              <w:rPr>
                <w:rFonts w:ascii="Arial" w:eastAsia="Times New Roman" w:hAnsi="Arial" w:cs="Arial"/>
                <w:b/>
                <w:bCs/>
                <w:sz w:val="20"/>
                <w:szCs w:val="20"/>
              </w:rPr>
            </w:pPr>
            <w:bookmarkStart w:id="4" w:name="RANGE!A1"/>
            <w:r w:rsidRPr="007B38A8">
              <w:rPr>
                <w:rFonts w:ascii="Arial" w:eastAsia="Times New Roman" w:hAnsi="Arial" w:cs="Arial"/>
                <w:b/>
                <w:bCs/>
                <w:sz w:val="20"/>
                <w:szCs w:val="20"/>
              </w:rPr>
              <w:lastRenderedPageBreak/>
              <w:t>AGENCY COMPILATION WORKSHEET FOR CREDIT FOR PROJECTS THAT INCREASE SITE ENERGY USE BUT SAVE SOURCE ENERGY</w:t>
            </w:r>
            <w:bookmarkEnd w:id="4"/>
          </w:p>
        </w:tc>
      </w:tr>
      <w:tr w:rsidR="00777F3C" w:rsidRPr="007B38A8" w14:paraId="41A30A88" w14:textId="77777777" w:rsidTr="008A43F4">
        <w:trPr>
          <w:trHeight w:val="255"/>
        </w:trPr>
        <w:tc>
          <w:tcPr>
            <w:tcW w:w="4840" w:type="dxa"/>
            <w:gridSpan w:val="2"/>
            <w:tcBorders>
              <w:top w:val="nil"/>
              <w:left w:val="nil"/>
              <w:bottom w:val="nil"/>
              <w:right w:val="nil"/>
            </w:tcBorders>
            <w:shd w:val="clear" w:color="auto" w:fill="auto"/>
            <w:noWrap/>
            <w:hideMark/>
          </w:tcPr>
          <w:p w14:paraId="75689D94" w14:textId="77777777" w:rsidR="00777F3C" w:rsidRPr="007B38A8" w:rsidRDefault="00777F3C" w:rsidP="008A43F4">
            <w:pPr>
              <w:spacing w:after="0" w:line="240" w:lineRule="auto"/>
              <w:rPr>
                <w:rFonts w:ascii="Arial" w:eastAsia="Times New Roman" w:hAnsi="Arial" w:cs="Arial"/>
                <w:sz w:val="20"/>
                <w:szCs w:val="20"/>
              </w:rPr>
            </w:pPr>
          </w:p>
        </w:tc>
        <w:tc>
          <w:tcPr>
            <w:tcW w:w="1550" w:type="dxa"/>
            <w:tcBorders>
              <w:top w:val="nil"/>
              <w:left w:val="nil"/>
              <w:bottom w:val="nil"/>
              <w:right w:val="nil"/>
            </w:tcBorders>
            <w:shd w:val="clear" w:color="auto" w:fill="auto"/>
            <w:hideMark/>
          </w:tcPr>
          <w:p w14:paraId="49723E76" w14:textId="77777777" w:rsidR="00777F3C" w:rsidRPr="007B38A8" w:rsidRDefault="00777F3C" w:rsidP="008A43F4">
            <w:pPr>
              <w:spacing w:after="0" w:line="240" w:lineRule="auto"/>
              <w:rPr>
                <w:rFonts w:ascii="Arial" w:eastAsia="Times New Roman" w:hAnsi="Arial" w:cs="Arial"/>
                <w:sz w:val="20"/>
                <w:szCs w:val="20"/>
              </w:rPr>
            </w:pPr>
          </w:p>
        </w:tc>
        <w:tc>
          <w:tcPr>
            <w:tcW w:w="2790" w:type="dxa"/>
            <w:tcBorders>
              <w:top w:val="nil"/>
              <w:left w:val="nil"/>
              <w:bottom w:val="nil"/>
              <w:right w:val="nil"/>
            </w:tcBorders>
            <w:shd w:val="clear" w:color="auto" w:fill="auto"/>
            <w:hideMark/>
          </w:tcPr>
          <w:p w14:paraId="3ED30CE9" w14:textId="77777777" w:rsidR="00777F3C" w:rsidRPr="007B38A8" w:rsidRDefault="00777F3C" w:rsidP="008A43F4">
            <w:pPr>
              <w:spacing w:after="0" w:line="240" w:lineRule="auto"/>
              <w:rPr>
                <w:rFonts w:ascii="Arial" w:eastAsia="Times New Roman" w:hAnsi="Arial" w:cs="Arial"/>
                <w:sz w:val="20"/>
                <w:szCs w:val="20"/>
              </w:rPr>
            </w:pPr>
          </w:p>
        </w:tc>
      </w:tr>
      <w:tr w:rsidR="00777F3C" w:rsidRPr="007B38A8" w14:paraId="20798437" w14:textId="77777777" w:rsidTr="008A43F4">
        <w:trPr>
          <w:trHeight w:val="255"/>
        </w:trPr>
        <w:tc>
          <w:tcPr>
            <w:tcW w:w="3400" w:type="dxa"/>
            <w:tcBorders>
              <w:top w:val="nil"/>
              <w:left w:val="nil"/>
              <w:bottom w:val="nil"/>
              <w:right w:val="nil"/>
            </w:tcBorders>
            <w:shd w:val="clear" w:color="auto" w:fill="auto"/>
            <w:noWrap/>
            <w:vAlign w:val="bottom"/>
            <w:hideMark/>
          </w:tcPr>
          <w:p w14:paraId="26D7CC9D" w14:textId="77777777" w:rsidR="00777F3C" w:rsidRPr="007B38A8" w:rsidRDefault="00777F3C" w:rsidP="008A43F4">
            <w:pPr>
              <w:spacing w:after="0" w:line="240" w:lineRule="auto"/>
              <w:rPr>
                <w:rFonts w:ascii="Arial" w:eastAsia="Times New Roman" w:hAnsi="Arial" w:cs="Arial"/>
                <w:b/>
                <w:bCs/>
                <w:sz w:val="20"/>
                <w:szCs w:val="20"/>
              </w:rPr>
            </w:pPr>
            <w:r>
              <w:rPr>
                <w:rFonts w:ascii="Arial" w:eastAsia="Times New Roman" w:hAnsi="Arial" w:cs="Arial"/>
                <w:b/>
                <w:bCs/>
                <w:sz w:val="20"/>
                <w:szCs w:val="20"/>
              </w:rPr>
              <w:t>NECPA</w:t>
            </w:r>
            <w:r w:rsidRPr="007B38A8">
              <w:rPr>
                <w:rFonts w:ascii="Arial" w:eastAsia="Times New Roman" w:hAnsi="Arial" w:cs="Arial"/>
                <w:b/>
                <w:bCs/>
                <w:sz w:val="20"/>
                <w:szCs w:val="20"/>
              </w:rPr>
              <w:t xml:space="preserve"> Goal Subject Buildings</w:t>
            </w:r>
          </w:p>
        </w:tc>
        <w:tc>
          <w:tcPr>
            <w:tcW w:w="1440" w:type="dxa"/>
            <w:tcBorders>
              <w:top w:val="nil"/>
              <w:left w:val="nil"/>
              <w:bottom w:val="nil"/>
              <w:right w:val="nil"/>
            </w:tcBorders>
            <w:shd w:val="clear" w:color="auto" w:fill="auto"/>
            <w:hideMark/>
          </w:tcPr>
          <w:p w14:paraId="3FD16845" w14:textId="77777777" w:rsidR="00777F3C" w:rsidRPr="007B38A8" w:rsidRDefault="00777F3C" w:rsidP="008A43F4">
            <w:pPr>
              <w:spacing w:after="0" w:line="240" w:lineRule="auto"/>
              <w:rPr>
                <w:rFonts w:ascii="Arial" w:eastAsia="Times New Roman" w:hAnsi="Arial" w:cs="Arial"/>
                <w:sz w:val="20"/>
                <w:szCs w:val="20"/>
              </w:rPr>
            </w:pPr>
          </w:p>
        </w:tc>
        <w:tc>
          <w:tcPr>
            <w:tcW w:w="1550" w:type="dxa"/>
            <w:tcBorders>
              <w:top w:val="nil"/>
              <w:left w:val="nil"/>
              <w:bottom w:val="nil"/>
              <w:right w:val="nil"/>
            </w:tcBorders>
            <w:shd w:val="clear" w:color="auto" w:fill="auto"/>
            <w:hideMark/>
          </w:tcPr>
          <w:p w14:paraId="5F99F29C" w14:textId="77777777" w:rsidR="00777F3C" w:rsidRPr="007B38A8" w:rsidRDefault="00777F3C" w:rsidP="008A43F4">
            <w:pPr>
              <w:spacing w:after="0" w:line="240" w:lineRule="auto"/>
              <w:rPr>
                <w:rFonts w:ascii="Arial" w:eastAsia="Times New Roman" w:hAnsi="Arial" w:cs="Arial"/>
                <w:sz w:val="20"/>
                <w:szCs w:val="20"/>
              </w:rPr>
            </w:pPr>
          </w:p>
        </w:tc>
        <w:tc>
          <w:tcPr>
            <w:tcW w:w="2790" w:type="dxa"/>
            <w:tcBorders>
              <w:top w:val="nil"/>
              <w:left w:val="nil"/>
              <w:bottom w:val="nil"/>
              <w:right w:val="nil"/>
            </w:tcBorders>
            <w:shd w:val="clear" w:color="auto" w:fill="auto"/>
            <w:hideMark/>
          </w:tcPr>
          <w:p w14:paraId="2FFD38D1" w14:textId="77777777" w:rsidR="00777F3C" w:rsidRPr="007B38A8" w:rsidRDefault="00777F3C" w:rsidP="008A43F4">
            <w:pPr>
              <w:spacing w:after="0" w:line="240" w:lineRule="auto"/>
              <w:rPr>
                <w:rFonts w:ascii="Arial" w:eastAsia="Times New Roman" w:hAnsi="Arial" w:cs="Arial"/>
                <w:sz w:val="20"/>
                <w:szCs w:val="20"/>
              </w:rPr>
            </w:pPr>
          </w:p>
        </w:tc>
      </w:tr>
      <w:tr w:rsidR="00777F3C" w:rsidRPr="007B38A8" w14:paraId="475BA862" w14:textId="77777777" w:rsidTr="00DB7F65">
        <w:trPr>
          <w:trHeight w:val="1020"/>
        </w:trPr>
        <w:tc>
          <w:tcPr>
            <w:tcW w:w="34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0D20719" w14:textId="77777777" w:rsidR="00777F3C" w:rsidRPr="007B38A8" w:rsidRDefault="00777F3C" w:rsidP="008A43F4">
            <w:pPr>
              <w:spacing w:after="0" w:line="240" w:lineRule="auto"/>
              <w:rPr>
                <w:rFonts w:ascii="Arial" w:eastAsia="Times New Roman" w:hAnsi="Arial" w:cs="Arial"/>
                <w:sz w:val="20"/>
                <w:szCs w:val="20"/>
              </w:rPr>
            </w:pPr>
            <w:r w:rsidRPr="007B38A8">
              <w:rPr>
                <w:rFonts w:ascii="Arial" w:eastAsia="Times New Roman" w:hAnsi="Arial" w:cs="Arial"/>
                <w:sz w:val="20"/>
                <w:szCs w:val="20"/>
              </w:rPr>
              <w:t>Name of Project Saving Source Energy in Current Fiscal Year (insert additional rows as necessary)</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4467311C" w14:textId="77777777" w:rsidR="00777F3C" w:rsidRPr="007B38A8" w:rsidRDefault="00777F3C" w:rsidP="008A43F4">
            <w:pPr>
              <w:spacing w:after="0" w:line="240" w:lineRule="auto"/>
              <w:jc w:val="center"/>
              <w:rPr>
                <w:rFonts w:ascii="Arial" w:eastAsia="Times New Roman" w:hAnsi="Arial" w:cs="Arial"/>
                <w:sz w:val="16"/>
                <w:szCs w:val="16"/>
              </w:rPr>
            </w:pPr>
            <w:r w:rsidRPr="007B38A8">
              <w:rPr>
                <w:rFonts w:ascii="Arial" w:eastAsia="Times New Roman" w:hAnsi="Arial" w:cs="Arial"/>
                <w:sz w:val="16"/>
                <w:szCs w:val="16"/>
              </w:rPr>
              <w:t>Annual Site Energy Increase with the Project</w:t>
            </w:r>
            <w:r>
              <w:rPr>
                <w:rFonts w:ascii="Arial" w:eastAsia="Times New Roman" w:hAnsi="Arial" w:cs="Arial"/>
                <w:sz w:val="16"/>
                <w:szCs w:val="16"/>
              </w:rPr>
              <w:t xml:space="preserve"> (line 6 from worksheet)</w:t>
            </w:r>
          </w:p>
        </w:tc>
        <w:tc>
          <w:tcPr>
            <w:tcW w:w="155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45D3CFB8" w14:textId="77777777" w:rsidR="00777F3C" w:rsidRDefault="00777F3C" w:rsidP="008A43F4">
            <w:pPr>
              <w:spacing w:after="0" w:line="240" w:lineRule="auto"/>
              <w:jc w:val="center"/>
              <w:rPr>
                <w:rFonts w:ascii="Arial" w:eastAsia="Times New Roman" w:hAnsi="Arial" w:cs="Arial"/>
                <w:sz w:val="16"/>
                <w:szCs w:val="16"/>
              </w:rPr>
            </w:pPr>
            <w:r w:rsidRPr="007B38A8">
              <w:rPr>
                <w:rFonts w:ascii="Arial" w:eastAsia="Times New Roman" w:hAnsi="Arial" w:cs="Arial"/>
                <w:sz w:val="16"/>
                <w:szCs w:val="16"/>
              </w:rPr>
              <w:t>Annual Source Energy Saved with the Project</w:t>
            </w:r>
          </w:p>
          <w:p w14:paraId="69D4A9CC" w14:textId="77777777" w:rsidR="00777F3C" w:rsidRPr="007B38A8" w:rsidRDefault="00777F3C" w:rsidP="008A43F4">
            <w:pPr>
              <w:spacing w:after="0" w:line="240" w:lineRule="auto"/>
              <w:jc w:val="center"/>
              <w:rPr>
                <w:rFonts w:ascii="Arial" w:eastAsia="Times New Roman" w:hAnsi="Arial" w:cs="Arial"/>
                <w:sz w:val="16"/>
                <w:szCs w:val="16"/>
              </w:rPr>
            </w:pPr>
            <w:r>
              <w:rPr>
                <w:rFonts w:ascii="Arial" w:eastAsia="Times New Roman" w:hAnsi="Arial" w:cs="Arial"/>
                <w:sz w:val="16"/>
                <w:szCs w:val="16"/>
              </w:rPr>
              <w:t>(line 5 from worksheet)</w:t>
            </w:r>
          </w:p>
        </w:tc>
        <w:tc>
          <w:tcPr>
            <w:tcW w:w="279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1E82DCCA" w14:textId="77777777" w:rsidR="00777F3C" w:rsidRDefault="00777F3C" w:rsidP="008A43F4">
            <w:pPr>
              <w:spacing w:after="0" w:line="240" w:lineRule="auto"/>
              <w:jc w:val="center"/>
              <w:rPr>
                <w:rFonts w:ascii="Arial" w:eastAsia="Times New Roman" w:hAnsi="Arial" w:cs="Arial"/>
                <w:sz w:val="16"/>
                <w:szCs w:val="16"/>
              </w:rPr>
            </w:pPr>
            <w:r>
              <w:rPr>
                <w:rFonts w:ascii="Arial" w:eastAsia="Times New Roman" w:hAnsi="Arial" w:cs="Arial"/>
                <w:sz w:val="16"/>
                <w:szCs w:val="16"/>
              </w:rPr>
              <w:t>Adjustment to Annual</w:t>
            </w:r>
            <w:r>
              <w:rPr>
                <w:rFonts w:ascii="Arial" w:eastAsia="Times New Roman" w:hAnsi="Arial" w:cs="Arial"/>
                <w:sz w:val="16"/>
                <w:szCs w:val="16"/>
              </w:rPr>
              <w:br/>
            </w:r>
            <w:r w:rsidRPr="007B38A8">
              <w:rPr>
                <w:rFonts w:ascii="Arial" w:eastAsia="Times New Roman" w:hAnsi="Arial" w:cs="Arial"/>
                <w:sz w:val="16"/>
                <w:szCs w:val="16"/>
              </w:rPr>
              <w:t xml:space="preserve"> Site Energy</w:t>
            </w:r>
            <w:r>
              <w:rPr>
                <w:rFonts w:ascii="Arial" w:eastAsia="Times New Roman" w:hAnsi="Arial" w:cs="Arial"/>
                <w:sz w:val="16"/>
                <w:szCs w:val="16"/>
              </w:rPr>
              <w:t xml:space="preserve"> </w:t>
            </w:r>
          </w:p>
          <w:p w14:paraId="1D5CF785" w14:textId="77777777" w:rsidR="00777F3C" w:rsidRDefault="00777F3C" w:rsidP="008A43F4">
            <w:pPr>
              <w:spacing w:after="0" w:line="240" w:lineRule="auto"/>
              <w:jc w:val="center"/>
              <w:rPr>
                <w:rFonts w:ascii="Arial" w:eastAsia="Times New Roman" w:hAnsi="Arial" w:cs="Arial"/>
                <w:sz w:val="16"/>
                <w:szCs w:val="16"/>
              </w:rPr>
            </w:pPr>
            <w:r>
              <w:rPr>
                <w:rFonts w:ascii="Arial" w:eastAsia="Times New Roman" w:hAnsi="Arial" w:cs="Arial"/>
                <w:sz w:val="16"/>
                <w:szCs w:val="16"/>
              </w:rPr>
              <w:t>(If CHP project,</w:t>
            </w:r>
            <w:r>
              <w:t xml:space="preserve"> </w:t>
            </w:r>
            <w:r>
              <w:rPr>
                <w:rFonts w:ascii="Arial" w:eastAsia="Times New Roman" w:hAnsi="Arial" w:cs="Arial"/>
                <w:sz w:val="16"/>
                <w:szCs w:val="16"/>
              </w:rPr>
              <w:t>typically kWh of grid e</w:t>
            </w:r>
            <w:r w:rsidRPr="007B38A8">
              <w:rPr>
                <w:rFonts w:ascii="Arial" w:eastAsia="Times New Roman" w:hAnsi="Arial" w:cs="Arial"/>
                <w:sz w:val="16"/>
                <w:szCs w:val="16"/>
              </w:rPr>
              <w:t xml:space="preserve">lectricity </w:t>
            </w:r>
            <w:r>
              <w:rPr>
                <w:rFonts w:ascii="Arial" w:eastAsia="Times New Roman" w:hAnsi="Arial" w:cs="Arial"/>
                <w:sz w:val="16"/>
                <w:szCs w:val="16"/>
              </w:rPr>
              <w:t xml:space="preserve">displaced </w:t>
            </w:r>
          </w:p>
          <w:p w14:paraId="12905D65" w14:textId="77777777" w:rsidR="00777F3C" w:rsidRPr="007B38A8" w:rsidRDefault="00777F3C" w:rsidP="008A43F4">
            <w:pPr>
              <w:spacing w:after="0" w:line="240" w:lineRule="auto"/>
              <w:jc w:val="center"/>
              <w:rPr>
                <w:rFonts w:ascii="Arial" w:eastAsia="Times New Roman" w:hAnsi="Arial" w:cs="Arial"/>
                <w:sz w:val="16"/>
                <w:szCs w:val="16"/>
              </w:rPr>
            </w:pPr>
            <w:r>
              <w:rPr>
                <w:rFonts w:ascii="Arial" w:eastAsia="Times New Roman" w:hAnsi="Arial" w:cs="Arial"/>
                <w:sz w:val="16"/>
                <w:szCs w:val="16"/>
              </w:rPr>
              <w:t>x</w:t>
            </w:r>
            <w:r w:rsidRPr="007B38A8">
              <w:rPr>
                <w:rFonts w:ascii="Arial" w:eastAsia="Times New Roman" w:hAnsi="Arial" w:cs="Arial"/>
                <w:sz w:val="16"/>
                <w:szCs w:val="16"/>
              </w:rPr>
              <w:t xml:space="preserve"> </w:t>
            </w:r>
            <w:r>
              <w:rPr>
                <w:rFonts w:ascii="Arial" w:eastAsia="Times New Roman" w:hAnsi="Arial" w:cs="Arial"/>
                <w:sz w:val="16"/>
                <w:szCs w:val="16"/>
              </w:rPr>
              <w:t xml:space="preserve">7,984 </w:t>
            </w:r>
            <w:r w:rsidRPr="007B38A8">
              <w:rPr>
                <w:rFonts w:ascii="Arial" w:eastAsia="Times New Roman" w:hAnsi="Arial" w:cs="Arial"/>
                <w:sz w:val="16"/>
                <w:szCs w:val="16"/>
              </w:rPr>
              <w:t>Btu/kWh)</w:t>
            </w:r>
          </w:p>
        </w:tc>
      </w:tr>
      <w:tr w:rsidR="00777F3C" w:rsidRPr="007B38A8" w14:paraId="196E094F" w14:textId="77777777" w:rsidTr="00DB7F65">
        <w:trPr>
          <w:trHeight w:val="255"/>
        </w:trPr>
        <w:tc>
          <w:tcPr>
            <w:tcW w:w="34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579663" w14:textId="77777777" w:rsidR="00777F3C" w:rsidRPr="007B38A8" w:rsidRDefault="00777F3C" w:rsidP="008A43F4">
            <w:pPr>
              <w:spacing w:after="0" w:line="240" w:lineRule="auto"/>
              <w:rPr>
                <w:rFonts w:ascii="Arial" w:eastAsia="Times New Roman" w:hAnsi="Arial" w:cs="Arial"/>
                <w:sz w:val="20"/>
                <w:szCs w:val="20"/>
              </w:rPr>
            </w:pPr>
          </w:p>
        </w:tc>
        <w:tc>
          <w:tcPr>
            <w:tcW w:w="1440" w:type="dxa"/>
            <w:tcBorders>
              <w:top w:val="nil"/>
              <w:left w:val="nil"/>
              <w:bottom w:val="single" w:sz="4" w:space="0" w:color="auto"/>
              <w:right w:val="single" w:sz="4" w:space="0" w:color="auto"/>
            </w:tcBorders>
            <w:shd w:val="clear" w:color="auto" w:fill="F2F2F2" w:themeFill="background1" w:themeFillShade="F2"/>
            <w:vAlign w:val="bottom"/>
            <w:hideMark/>
          </w:tcPr>
          <w:p w14:paraId="15312531" w14:textId="77777777" w:rsidR="00777F3C" w:rsidRPr="007B38A8" w:rsidRDefault="00777F3C" w:rsidP="008A43F4">
            <w:pPr>
              <w:spacing w:after="0" w:line="240" w:lineRule="auto"/>
              <w:jc w:val="center"/>
              <w:rPr>
                <w:rFonts w:ascii="Arial" w:eastAsia="Times New Roman" w:hAnsi="Arial" w:cs="Arial"/>
                <w:sz w:val="20"/>
                <w:szCs w:val="20"/>
              </w:rPr>
            </w:pPr>
            <w:r w:rsidRPr="007B38A8">
              <w:rPr>
                <w:rFonts w:ascii="Arial" w:eastAsia="Times New Roman" w:hAnsi="Arial" w:cs="Arial"/>
                <w:sz w:val="20"/>
                <w:szCs w:val="20"/>
              </w:rPr>
              <w:t>(Million Btu)</w:t>
            </w:r>
          </w:p>
        </w:tc>
        <w:tc>
          <w:tcPr>
            <w:tcW w:w="1550" w:type="dxa"/>
            <w:tcBorders>
              <w:top w:val="nil"/>
              <w:left w:val="nil"/>
              <w:bottom w:val="single" w:sz="4" w:space="0" w:color="auto"/>
              <w:right w:val="single" w:sz="4" w:space="0" w:color="auto"/>
            </w:tcBorders>
            <w:shd w:val="clear" w:color="auto" w:fill="F2F2F2" w:themeFill="background1" w:themeFillShade="F2"/>
            <w:vAlign w:val="bottom"/>
            <w:hideMark/>
          </w:tcPr>
          <w:p w14:paraId="196C7862" w14:textId="77777777" w:rsidR="00777F3C" w:rsidRPr="007B38A8" w:rsidRDefault="00777F3C" w:rsidP="008A43F4">
            <w:pPr>
              <w:spacing w:after="0" w:line="240" w:lineRule="auto"/>
              <w:jc w:val="center"/>
              <w:rPr>
                <w:rFonts w:ascii="Arial" w:eastAsia="Times New Roman" w:hAnsi="Arial" w:cs="Arial"/>
                <w:sz w:val="20"/>
                <w:szCs w:val="20"/>
              </w:rPr>
            </w:pPr>
            <w:r w:rsidRPr="007B38A8">
              <w:rPr>
                <w:rFonts w:ascii="Arial" w:eastAsia="Times New Roman" w:hAnsi="Arial" w:cs="Arial"/>
                <w:sz w:val="20"/>
                <w:szCs w:val="20"/>
              </w:rPr>
              <w:t>(Million Btu)</w:t>
            </w:r>
          </w:p>
        </w:tc>
        <w:tc>
          <w:tcPr>
            <w:tcW w:w="2790" w:type="dxa"/>
            <w:tcBorders>
              <w:top w:val="nil"/>
              <w:left w:val="nil"/>
              <w:bottom w:val="single" w:sz="4" w:space="0" w:color="auto"/>
              <w:right w:val="single" w:sz="4" w:space="0" w:color="auto"/>
            </w:tcBorders>
            <w:shd w:val="clear" w:color="auto" w:fill="F2F2F2" w:themeFill="background1" w:themeFillShade="F2"/>
            <w:vAlign w:val="bottom"/>
            <w:hideMark/>
          </w:tcPr>
          <w:p w14:paraId="71530830" w14:textId="77777777" w:rsidR="00777F3C" w:rsidRPr="007B38A8" w:rsidRDefault="00777F3C" w:rsidP="008A43F4">
            <w:pPr>
              <w:spacing w:after="0" w:line="240" w:lineRule="auto"/>
              <w:jc w:val="center"/>
              <w:rPr>
                <w:rFonts w:ascii="Arial" w:eastAsia="Times New Roman" w:hAnsi="Arial" w:cs="Arial"/>
                <w:sz w:val="20"/>
                <w:szCs w:val="20"/>
              </w:rPr>
            </w:pPr>
            <w:r w:rsidRPr="007B38A8">
              <w:rPr>
                <w:rFonts w:ascii="Arial" w:eastAsia="Times New Roman" w:hAnsi="Arial" w:cs="Arial"/>
                <w:sz w:val="20"/>
                <w:szCs w:val="20"/>
              </w:rPr>
              <w:t>(Million Btu)</w:t>
            </w:r>
          </w:p>
        </w:tc>
      </w:tr>
      <w:tr w:rsidR="00777F3C" w:rsidRPr="007B38A8" w14:paraId="3421FF99" w14:textId="77777777" w:rsidTr="008A43F4">
        <w:trPr>
          <w:trHeight w:val="255"/>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2D67D685" w14:textId="77777777" w:rsidR="00777F3C" w:rsidRPr="007B38A8" w:rsidRDefault="00777F3C" w:rsidP="008A43F4">
            <w:pPr>
              <w:spacing w:after="0" w:line="240" w:lineRule="auto"/>
              <w:jc w:val="both"/>
              <w:rPr>
                <w:rFonts w:ascii="Arial" w:eastAsia="Times New Roman" w:hAnsi="Arial" w:cs="Arial"/>
                <w:sz w:val="20"/>
                <w:szCs w:val="20"/>
              </w:rPr>
            </w:pPr>
            <w:r w:rsidRPr="007B38A8">
              <w:rPr>
                <w:rFonts w:ascii="Arial" w:eastAsia="Times New Roman" w:hAnsi="Arial" w:cs="Arial"/>
                <w:sz w:val="20"/>
                <w:szCs w:val="20"/>
              </w:rPr>
              <w:t>Project No. 1</w:t>
            </w:r>
          </w:p>
        </w:tc>
        <w:tc>
          <w:tcPr>
            <w:tcW w:w="1440" w:type="dxa"/>
            <w:tcBorders>
              <w:top w:val="nil"/>
              <w:left w:val="nil"/>
              <w:bottom w:val="single" w:sz="4" w:space="0" w:color="auto"/>
              <w:right w:val="single" w:sz="4" w:space="0" w:color="auto"/>
            </w:tcBorders>
            <w:shd w:val="clear" w:color="auto" w:fill="auto"/>
            <w:vAlign w:val="bottom"/>
            <w:hideMark/>
          </w:tcPr>
          <w:p w14:paraId="039D7659" w14:textId="77777777" w:rsidR="00777F3C" w:rsidRPr="007B38A8" w:rsidRDefault="00777F3C" w:rsidP="008A43F4">
            <w:pPr>
              <w:spacing w:after="0" w:line="240" w:lineRule="auto"/>
              <w:jc w:val="right"/>
              <w:rPr>
                <w:rFonts w:ascii="Arial" w:eastAsia="Times New Roman" w:hAnsi="Arial" w:cs="Arial"/>
                <w:color w:val="0000FF"/>
                <w:sz w:val="20"/>
                <w:szCs w:val="20"/>
              </w:rPr>
            </w:pPr>
            <w:r w:rsidRPr="007B38A8">
              <w:rPr>
                <w:rFonts w:ascii="Arial" w:eastAsia="Times New Roman" w:hAnsi="Arial" w:cs="Arial"/>
                <w:color w:val="0000FF"/>
                <w:sz w:val="20"/>
                <w:szCs w:val="20"/>
              </w:rPr>
              <w:t>0.0</w:t>
            </w:r>
          </w:p>
        </w:tc>
        <w:tc>
          <w:tcPr>
            <w:tcW w:w="1550" w:type="dxa"/>
            <w:tcBorders>
              <w:top w:val="nil"/>
              <w:left w:val="nil"/>
              <w:bottom w:val="single" w:sz="4" w:space="0" w:color="auto"/>
              <w:right w:val="single" w:sz="4" w:space="0" w:color="auto"/>
            </w:tcBorders>
            <w:shd w:val="clear" w:color="auto" w:fill="auto"/>
            <w:vAlign w:val="bottom"/>
            <w:hideMark/>
          </w:tcPr>
          <w:p w14:paraId="4AD1F97E" w14:textId="77777777" w:rsidR="00777F3C" w:rsidRPr="007B38A8" w:rsidRDefault="00777F3C" w:rsidP="008A43F4">
            <w:pPr>
              <w:spacing w:after="0" w:line="240" w:lineRule="auto"/>
              <w:jc w:val="right"/>
              <w:rPr>
                <w:rFonts w:ascii="Arial" w:eastAsia="Times New Roman" w:hAnsi="Arial" w:cs="Arial"/>
                <w:color w:val="0000FF"/>
                <w:sz w:val="20"/>
                <w:szCs w:val="20"/>
              </w:rPr>
            </w:pPr>
            <w:r w:rsidRPr="007B38A8">
              <w:rPr>
                <w:rFonts w:ascii="Arial" w:eastAsia="Times New Roman" w:hAnsi="Arial" w:cs="Arial"/>
                <w:color w:val="0000FF"/>
                <w:sz w:val="20"/>
                <w:szCs w:val="20"/>
              </w:rPr>
              <w:t>0.0</w:t>
            </w:r>
          </w:p>
        </w:tc>
        <w:tc>
          <w:tcPr>
            <w:tcW w:w="2790" w:type="dxa"/>
            <w:tcBorders>
              <w:top w:val="nil"/>
              <w:left w:val="nil"/>
              <w:bottom w:val="single" w:sz="4" w:space="0" w:color="auto"/>
              <w:right w:val="single" w:sz="4" w:space="0" w:color="auto"/>
            </w:tcBorders>
            <w:shd w:val="clear" w:color="auto" w:fill="auto"/>
            <w:vAlign w:val="bottom"/>
            <w:hideMark/>
          </w:tcPr>
          <w:p w14:paraId="745D2359" w14:textId="77777777" w:rsidR="00777F3C" w:rsidRPr="007B38A8" w:rsidRDefault="0050137A" w:rsidP="008A43F4">
            <w:pPr>
              <w:spacing w:after="0" w:line="240" w:lineRule="auto"/>
              <w:jc w:val="right"/>
              <w:rPr>
                <w:rFonts w:ascii="Arial" w:eastAsia="Times New Roman" w:hAnsi="Arial" w:cs="Arial"/>
                <w:color w:val="0000FF"/>
                <w:sz w:val="20"/>
                <w:szCs w:val="20"/>
              </w:rPr>
            </w:pPr>
            <w:r>
              <w:rPr>
                <w:rFonts w:ascii="Arial" w:eastAsia="Times New Roman" w:hAnsi="Arial" w:cs="Arial"/>
                <w:color w:val="0000FF"/>
                <w:sz w:val="20"/>
                <w:szCs w:val="20"/>
              </w:rPr>
              <w:t>2</w:t>
            </w:r>
            <w:r w:rsidR="00777F3C" w:rsidRPr="007B38A8">
              <w:rPr>
                <w:rFonts w:ascii="Arial" w:eastAsia="Times New Roman" w:hAnsi="Arial" w:cs="Arial"/>
                <w:color w:val="0000FF"/>
                <w:sz w:val="20"/>
                <w:szCs w:val="20"/>
              </w:rPr>
              <w:t>0.0</w:t>
            </w:r>
          </w:p>
        </w:tc>
      </w:tr>
      <w:tr w:rsidR="00777F3C" w:rsidRPr="007B38A8" w14:paraId="0B45539C" w14:textId="77777777" w:rsidTr="008A43F4">
        <w:trPr>
          <w:trHeight w:val="255"/>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17576A93" w14:textId="77777777" w:rsidR="00777F3C" w:rsidRPr="007B38A8" w:rsidRDefault="00777F3C" w:rsidP="008A43F4">
            <w:pPr>
              <w:spacing w:after="0" w:line="240" w:lineRule="auto"/>
              <w:jc w:val="both"/>
              <w:rPr>
                <w:rFonts w:ascii="Arial" w:eastAsia="Times New Roman" w:hAnsi="Arial" w:cs="Arial"/>
                <w:sz w:val="20"/>
                <w:szCs w:val="20"/>
              </w:rPr>
            </w:pPr>
            <w:r w:rsidRPr="007B38A8">
              <w:rPr>
                <w:rFonts w:ascii="Arial" w:eastAsia="Times New Roman" w:hAnsi="Arial" w:cs="Arial"/>
                <w:sz w:val="20"/>
                <w:szCs w:val="20"/>
              </w:rPr>
              <w:t>Project No. 2</w:t>
            </w:r>
          </w:p>
        </w:tc>
        <w:tc>
          <w:tcPr>
            <w:tcW w:w="1440" w:type="dxa"/>
            <w:tcBorders>
              <w:top w:val="nil"/>
              <w:left w:val="nil"/>
              <w:bottom w:val="single" w:sz="4" w:space="0" w:color="auto"/>
              <w:right w:val="single" w:sz="4" w:space="0" w:color="auto"/>
            </w:tcBorders>
            <w:shd w:val="clear" w:color="auto" w:fill="auto"/>
            <w:vAlign w:val="bottom"/>
            <w:hideMark/>
          </w:tcPr>
          <w:p w14:paraId="0FA042A7" w14:textId="77777777" w:rsidR="00777F3C" w:rsidRPr="007B38A8" w:rsidRDefault="00777F3C" w:rsidP="008A43F4">
            <w:pPr>
              <w:spacing w:after="0" w:line="240" w:lineRule="auto"/>
              <w:jc w:val="right"/>
              <w:rPr>
                <w:rFonts w:ascii="Arial" w:eastAsia="Times New Roman" w:hAnsi="Arial" w:cs="Arial"/>
                <w:color w:val="0000FF"/>
                <w:sz w:val="20"/>
                <w:szCs w:val="20"/>
              </w:rPr>
            </w:pPr>
            <w:r w:rsidRPr="007B38A8">
              <w:rPr>
                <w:rFonts w:ascii="Arial" w:eastAsia="Times New Roman" w:hAnsi="Arial" w:cs="Arial"/>
                <w:color w:val="0000FF"/>
                <w:sz w:val="20"/>
                <w:szCs w:val="20"/>
              </w:rPr>
              <w:t>0.0</w:t>
            </w:r>
          </w:p>
        </w:tc>
        <w:tc>
          <w:tcPr>
            <w:tcW w:w="1550" w:type="dxa"/>
            <w:tcBorders>
              <w:top w:val="nil"/>
              <w:left w:val="nil"/>
              <w:bottom w:val="single" w:sz="4" w:space="0" w:color="auto"/>
              <w:right w:val="single" w:sz="4" w:space="0" w:color="auto"/>
            </w:tcBorders>
            <w:shd w:val="clear" w:color="auto" w:fill="auto"/>
            <w:vAlign w:val="bottom"/>
            <w:hideMark/>
          </w:tcPr>
          <w:p w14:paraId="1229AB75" w14:textId="77777777" w:rsidR="00777F3C" w:rsidRPr="007B38A8" w:rsidRDefault="00777F3C" w:rsidP="008A43F4">
            <w:pPr>
              <w:spacing w:after="0" w:line="240" w:lineRule="auto"/>
              <w:jc w:val="right"/>
              <w:rPr>
                <w:rFonts w:ascii="Arial" w:eastAsia="Times New Roman" w:hAnsi="Arial" w:cs="Arial"/>
                <w:color w:val="0000FF"/>
                <w:sz w:val="20"/>
                <w:szCs w:val="20"/>
              </w:rPr>
            </w:pPr>
            <w:r w:rsidRPr="007B38A8">
              <w:rPr>
                <w:rFonts w:ascii="Arial" w:eastAsia="Times New Roman" w:hAnsi="Arial" w:cs="Arial"/>
                <w:color w:val="0000FF"/>
                <w:sz w:val="20"/>
                <w:szCs w:val="20"/>
              </w:rPr>
              <w:t>0.0</w:t>
            </w:r>
          </w:p>
        </w:tc>
        <w:tc>
          <w:tcPr>
            <w:tcW w:w="2790" w:type="dxa"/>
            <w:tcBorders>
              <w:top w:val="nil"/>
              <w:left w:val="nil"/>
              <w:bottom w:val="single" w:sz="4" w:space="0" w:color="auto"/>
              <w:right w:val="single" w:sz="4" w:space="0" w:color="auto"/>
            </w:tcBorders>
            <w:shd w:val="clear" w:color="auto" w:fill="auto"/>
            <w:vAlign w:val="bottom"/>
            <w:hideMark/>
          </w:tcPr>
          <w:p w14:paraId="63A3501D" w14:textId="77777777" w:rsidR="00777F3C" w:rsidRPr="007B38A8" w:rsidRDefault="00777F3C" w:rsidP="008A43F4">
            <w:pPr>
              <w:spacing w:after="0" w:line="240" w:lineRule="auto"/>
              <w:jc w:val="right"/>
              <w:rPr>
                <w:rFonts w:ascii="Arial" w:eastAsia="Times New Roman" w:hAnsi="Arial" w:cs="Arial"/>
                <w:color w:val="0000FF"/>
                <w:sz w:val="20"/>
                <w:szCs w:val="20"/>
              </w:rPr>
            </w:pPr>
            <w:r w:rsidRPr="007B38A8">
              <w:rPr>
                <w:rFonts w:ascii="Arial" w:eastAsia="Times New Roman" w:hAnsi="Arial" w:cs="Arial"/>
                <w:color w:val="0000FF"/>
                <w:sz w:val="20"/>
                <w:szCs w:val="20"/>
              </w:rPr>
              <w:t>0.0</w:t>
            </w:r>
          </w:p>
        </w:tc>
      </w:tr>
      <w:tr w:rsidR="00777F3C" w:rsidRPr="007B38A8" w14:paraId="209F6E41" w14:textId="77777777" w:rsidTr="008A43F4">
        <w:trPr>
          <w:trHeight w:val="255"/>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7DA550CC" w14:textId="77777777" w:rsidR="00777F3C" w:rsidRPr="007B38A8" w:rsidRDefault="00777F3C" w:rsidP="008A43F4">
            <w:pPr>
              <w:spacing w:after="0" w:line="240" w:lineRule="auto"/>
              <w:jc w:val="both"/>
              <w:rPr>
                <w:rFonts w:ascii="Arial" w:eastAsia="Times New Roman" w:hAnsi="Arial" w:cs="Arial"/>
                <w:sz w:val="20"/>
                <w:szCs w:val="20"/>
              </w:rPr>
            </w:pPr>
            <w:r w:rsidRPr="007B38A8">
              <w:rPr>
                <w:rFonts w:ascii="Arial" w:eastAsia="Times New Roman" w:hAnsi="Arial" w:cs="Arial"/>
                <w:sz w:val="20"/>
                <w:szCs w:val="20"/>
              </w:rPr>
              <w:t>Project No. 3</w:t>
            </w:r>
          </w:p>
        </w:tc>
        <w:tc>
          <w:tcPr>
            <w:tcW w:w="1440" w:type="dxa"/>
            <w:tcBorders>
              <w:top w:val="nil"/>
              <w:left w:val="nil"/>
              <w:bottom w:val="single" w:sz="4" w:space="0" w:color="auto"/>
              <w:right w:val="single" w:sz="4" w:space="0" w:color="auto"/>
            </w:tcBorders>
            <w:shd w:val="clear" w:color="auto" w:fill="auto"/>
            <w:vAlign w:val="bottom"/>
            <w:hideMark/>
          </w:tcPr>
          <w:p w14:paraId="4A19AD1A" w14:textId="77777777" w:rsidR="00777F3C" w:rsidRPr="007B38A8" w:rsidRDefault="00777F3C" w:rsidP="008A43F4">
            <w:pPr>
              <w:spacing w:after="0" w:line="240" w:lineRule="auto"/>
              <w:jc w:val="right"/>
              <w:rPr>
                <w:rFonts w:ascii="Arial" w:eastAsia="Times New Roman" w:hAnsi="Arial" w:cs="Arial"/>
                <w:color w:val="0000FF"/>
                <w:sz w:val="20"/>
                <w:szCs w:val="20"/>
              </w:rPr>
            </w:pPr>
            <w:r w:rsidRPr="007B38A8">
              <w:rPr>
                <w:rFonts w:ascii="Arial" w:eastAsia="Times New Roman" w:hAnsi="Arial" w:cs="Arial"/>
                <w:color w:val="0000FF"/>
                <w:sz w:val="20"/>
                <w:szCs w:val="20"/>
              </w:rPr>
              <w:t>0.0</w:t>
            </w:r>
          </w:p>
        </w:tc>
        <w:tc>
          <w:tcPr>
            <w:tcW w:w="1550" w:type="dxa"/>
            <w:tcBorders>
              <w:top w:val="nil"/>
              <w:left w:val="nil"/>
              <w:bottom w:val="single" w:sz="4" w:space="0" w:color="auto"/>
              <w:right w:val="single" w:sz="4" w:space="0" w:color="auto"/>
            </w:tcBorders>
            <w:shd w:val="clear" w:color="auto" w:fill="auto"/>
            <w:vAlign w:val="bottom"/>
            <w:hideMark/>
          </w:tcPr>
          <w:p w14:paraId="5612962F" w14:textId="77777777" w:rsidR="00777F3C" w:rsidRPr="007B38A8" w:rsidRDefault="00777F3C" w:rsidP="008A43F4">
            <w:pPr>
              <w:spacing w:after="0" w:line="240" w:lineRule="auto"/>
              <w:jc w:val="right"/>
              <w:rPr>
                <w:rFonts w:ascii="Arial" w:eastAsia="Times New Roman" w:hAnsi="Arial" w:cs="Arial"/>
                <w:color w:val="0000FF"/>
                <w:sz w:val="20"/>
                <w:szCs w:val="20"/>
              </w:rPr>
            </w:pPr>
            <w:r w:rsidRPr="007B38A8">
              <w:rPr>
                <w:rFonts w:ascii="Arial" w:eastAsia="Times New Roman" w:hAnsi="Arial" w:cs="Arial"/>
                <w:color w:val="0000FF"/>
                <w:sz w:val="20"/>
                <w:szCs w:val="20"/>
              </w:rPr>
              <w:t>0.0</w:t>
            </w:r>
          </w:p>
        </w:tc>
        <w:tc>
          <w:tcPr>
            <w:tcW w:w="2790" w:type="dxa"/>
            <w:tcBorders>
              <w:top w:val="nil"/>
              <w:left w:val="nil"/>
              <w:bottom w:val="single" w:sz="4" w:space="0" w:color="auto"/>
              <w:right w:val="single" w:sz="4" w:space="0" w:color="auto"/>
            </w:tcBorders>
            <w:shd w:val="clear" w:color="auto" w:fill="auto"/>
            <w:vAlign w:val="bottom"/>
            <w:hideMark/>
          </w:tcPr>
          <w:p w14:paraId="22187DD1" w14:textId="77777777" w:rsidR="00777F3C" w:rsidRPr="007B38A8" w:rsidRDefault="00777F3C" w:rsidP="008A43F4">
            <w:pPr>
              <w:spacing w:after="0" w:line="240" w:lineRule="auto"/>
              <w:jc w:val="right"/>
              <w:rPr>
                <w:rFonts w:ascii="Arial" w:eastAsia="Times New Roman" w:hAnsi="Arial" w:cs="Arial"/>
                <w:color w:val="0000FF"/>
                <w:sz w:val="20"/>
                <w:szCs w:val="20"/>
              </w:rPr>
            </w:pPr>
            <w:r w:rsidRPr="007B38A8">
              <w:rPr>
                <w:rFonts w:ascii="Arial" w:eastAsia="Times New Roman" w:hAnsi="Arial" w:cs="Arial"/>
                <w:color w:val="0000FF"/>
                <w:sz w:val="20"/>
                <w:szCs w:val="20"/>
              </w:rPr>
              <w:t>0.0</w:t>
            </w:r>
          </w:p>
        </w:tc>
      </w:tr>
      <w:tr w:rsidR="00777F3C" w:rsidRPr="007B38A8" w14:paraId="463E488C" w14:textId="77777777" w:rsidTr="008A43F4">
        <w:trPr>
          <w:trHeight w:val="255"/>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1F55775A" w14:textId="77777777" w:rsidR="00777F3C" w:rsidRPr="007B38A8" w:rsidRDefault="00777F3C" w:rsidP="008A43F4">
            <w:pPr>
              <w:spacing w:after="0" w:line="240" w:lineRule="auto"/>
              <w:jc w:val="right"/>
              <w:rPr>
                <w:rFonts w:ascii="Arial" w:eastAsia="Times New Roman" w:hAnsi="Arial" w:cs="Arial"/>
                <w:sz w:val="20"/>
                <w:szCs w:val="20"/>
              </w:rPr>
            </w:pPr>
            <w:r w:rsidRPr="007B38A8">
              <w:rPr>
                <w:rFonts w:ascii="Arial" w:eastAsia="Times New Roman" w:hAnsi="Arial" w:cs="Arial"/>
                <w:sz w:val="20"/>
                <w:szCs w:val="20"/>
              </w:rPr>
              <w:t>Totals</w:t>
            </w:r>
          </w:p>
        </w:tc>
        <w:tc>
          <w:tcPr>
            <w:tcW w:w="1440" w:type="dxa"/>
            <w:tcBorders>
              <w:top w:val="nil"/>
              <w:left w:val="nil"/>
              <w:bottom w:val="single" w:sz="4" w:space="0" w:color="auto"/>
              <w:right w:val="single" w:sz="4" w:space="0" w:color="auto"/>
            </w:tcBorders>
            <w:shd w:val="clear" w:color="auto" w:fill="auto"/>
            <w:vAlign w:val="bottom"/>
            <w:hideMark/>
          </w:tcPr>
          <w:p w14:paraId="2CD072F7" w14:textId="77777777" w:rsidR="00777F3C" w:rsidRPr="007B38A8" w:rsidRDefault="00777F3C" w:rsidP="008A43F4">
            <w:pPr>
              <w:spacing w:after="0" w:line="240" w:lineRule="auto"/>
              <w:jc w:val="right"/>
              <w:rPr>
                <w:rFonts w:ascii="Arial" w:eastAsia="Times New Roman" w:hAnsi="Arial" w:cs="Arial"/>
                <w:sz w:val="20"/>
                <w:szCs w:val="20"/>
              </w:rPr>
            </w:pPr>
            <w:r w:rsidRPr="007B38A8">
              <w:rPr>
                <w:rFonts w:ascii="Arial" w:eastAsia="Times New Roman" w:hAnsi="Arial" w:cs="Arial"/>
                <w:sz w:val="20"/>
                <w:szCs w:val="20"/>
              </w:rPr>
              <w:t>0.0</w:t>
            </w:r>
          </w:p>
        </w:tc>
        <w:tc>
          <w:tcPr>
            <w:tcW w:w="1550" w:type="dxa"/>
            <w:tcBorders>
              <w:top w:val="nil"/>
              <w:left w:val="nil"/>
              <w:bottom w:val="single" w:sz="4" w:space="0" w:color="auto"/>
              <w:right w:val="single" w:sz="4" w:space="0" w:color="auto"/>
            </w:tcBorders>
            <w:shd w:val="clear" w:color="auto" w:fill="auto"/>
            <w:vAlign w:val="bottom"/>
            <w:hideMark/>
          </w:tcPr>
          <w:p w14:paraId="53D73B35" w14:textId="77777777" w:rsidR="00777F3C" w:rsidRPr="007B38A8" w:rsidRDefault="00777F3C" w:rsidP="008A43F4">
            <w:pPr>
              <w:spacing w:after="0" w:line="240" w:lineRule="auto"/>
              <w:jc w:val="right"/>
              <w:rPr>
                <w:rFonts w:ascii="Arial" w:eastAsia="Times New Roman" w:hAnsi="Arial" w:cs="Arial"/>
                <w:sz w:val="20"/>
                <w:szCs w:val="20"/>
              </w:rPr>
            </w:pPr>
            <w:r w:rsidRPr="007B38A8">
              <w:rPr>
                <w:rFonts w:ascii="Arial" w:eastAsia="Times New Roman" w:hAnsi="Arial" w:cs="Arial"/>
                <w:sz w:val="20"/>
                <w:szCs w:val="20"/>
              </w:rPr>
              <w:t>0.0</w:t>
            </w:r>
          </w:p>
        </w:tc>
        <w:tc>
          <w:tcPr>
            <w:tcW w:w="2790" w:type="dxa"/>
            <w:tcBorders>
              <w:top w:val="nil"/>
              <w:left w:val="nil"/>
              <w:bottom w:val="single" w:sz="4" w:space="0" w:color="auto"/>
              <w:right w:val="single" w:sz="4" w:space="0" w:color="auto"/>
            </w:tcBorders>
            <w:shd w:val="clear" w:color="auto" w:fill="auto"/>
            <w:vAlign w:val="bottom"/>
            <w:hideMark/>
          </w:tcPr>
          <w:p w14:paraId="0307330E" w14:textId="77777777" w:rsidR="00777F3C" w:rsidRPr="007B38A8" w:rsidRDefault="00777F3C" w:rsidP="008A43F4">
            <w:pPr>
              <w:spacing w:after="0" w:line="240" w:lineRule="auto"/>
              <w:jc w:val="right"/>
              <w:rPr>
                <w:rFonts w:ascii="Arial" w:eastAsia="Times New Roman" w:hAnsi="Arial" w:cs="Arial"/>
                <w:sz w:val="20"/>
                <w:szCs w:val="20"/>
              </w:rPr>
            </w:pPr>
            <w:r w:rsidRPr="007B38A8">
              <w:rPr>
                <w:rFonts w:ascii="Arial" w:eastAsia="Times New Roman" w:hAnsi="Arial" w:cs="Arial"/>
                <w:sz w:val="20"/>
                <w:szCs w:val="20"/>
              </w:rPr>
              <w:t>0.0</w:t>
            </w:r>
          </w:p>
        </w:tc>
      </w:tr>
      <w:tr w:rsidR="00777F3C" w:rsidRPr="007B38A8" w14:paraId="6818D451" w14:textId="77777777" w:rsidTr="008A43F4">
        <w:trPr>
          <w:trHeight w:val="255"/>
        </w:trPr>
        <w:tc>
          <w:tcPr>
            <w:tcW w:w="3400" w:type="dxa"/>
            <w:tcBorders>
              <w:top w:val="nil"/>
              <w:left w:val="nil"/>
              <w:bottom w:val="nil"/>
              <w:right w:val="nil"/>
            </w:tcBorders>
            <w:shd w:val="clear" w:color="auto" w:fill="auto"/>
            <w:noWrap/>
            <w:vAlign w:val="bottom"/>
            <w:hideMark/>
          </w:tcPr>
          <w:p w14:paraId="5E71FFFF" w14:textId="77777777" w:rsidR="00777F3C" w:rsidRPr="007B38A8" w:rsidRDefault="00777F3C" w:rsidP="008A43F4">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14:paraId="5676C203" w14:textId="77777777" w:rsidR="00777F3C" w:rsidRPr="007B38A8" w:rsidRDefault="00777F3C" w:rsidP="008A43F4">
            <w:pPr>
              <w:spacing w:after="0" w:line="240" w:lineRule="auto"/>
              <w:rPr>
                <w:rFonts w:ascii="Arial" w:eastAsia="Times New Roman" w:hAnsi="Arial" w:cs="Arial"/>
                <w:sz w:val="20"/>
                <w:szCs w:val="20"/>
              </w:rPr>
            </w:pPr>
          </w:p>
        </w:tc>
        <w:tc>
          <w:tcPr>
            <w:tcW w:w="1550" w:type="dxa"/>
            <w:tcBorders>
              <w:top w:val="nil"/>
              <w:left w:val="nil"/>
              <w:bottom w:val="nil"/>
              <w:right w:val="nil"/>
            </w:tcBorders>
            <w:shd w:val="clear" w:color="auto" w:fill="auto"/>
            <w:noWrap/>
            <w:vAlign w:val="bottom"/>
            <w:hideMark/>
          </w:tcPr>
          <w:p w14:paraId="24FDC7E8" w14:textId="77777777" w:rsidR="00777F3C" w:rsidRPr="007B38A8" w:rsidRDefault="00777F3C" w:rsidP="008A43F4">
            <w:pPr>
              <w:spacing w:after="0" w:line="240" w:lineRule="auto"/>
              <w:rPr>
                <w:rFonts w:ascii="Arial" w:eastAsia="Times New Roman" w:hAnsi="Arial" w:cs="Arial"/>
                <w:sz w:val="20"/>
                <w:szCs w:val="20"/>
              </w:rPr>
            </w:pPr>
          </w:p>
        </w:tc>
        <w:tc>
          <w:tcPr>
            <w:tcW w:w="2790" w:type="dxa"/>
            <w:tcBorders>
              <w:top w:val="nil"/>
              <w:left w:val="nil"/>
              <w:bottom w:val="nil"/>
              <w:right w:val="nil"/>
            </w:tcBorders>
            <w:shd w:val="clear" w:color="auto" w:fill="auto"/>
            <w:noWrap/>
            <w:vAlign w:val="bottom"/>
            <w:hideMark/>
          </w:tcPr>
          <w:p w14:paraId="36EAC874" w14:textId="77777777" w:rsidR="00777F3C" w:rsidRPr="007B38A8" w:rsidRDefault="00777F3C" w:rsidP="008A43F4">
            <w:pPr>
              <w:spacing w:after="0" w:line="240" w:lineRule="auto"/>
              <w:rPr>
                <w:rFonts w:ascii="Arial" w:eastAsia="Times New Roman" w:hAnsi="Arial" w:cs="Arial"/>
                <w:sz w:val="20"/>
                <w:szCs w:val="20"/>
              </w:rPr>
            </w:pPr>
          </w:p>
        </w:tc>
      </w:tr>
      <w:tr w:rsidR="00777F3C" w:rsidRPr="007B38A8" w14:paraId="17F0B8EF" w14:textId="77777777" w:rsidTr="008A43F4">
        <w:trPr>
          <w:trHeight w:val="255"/>
        </w:trPr>
        <w:tc>
          <w:tcPr>
            <w:tcW w:w="3400" w:type="dxa"/>
            <w:tcBorders>
              <w:top w:val="nil"/>
              <w:left w:val="nil"/>
              <w:bottom w:val="nil"/>
              <w:right w:val="nil"/>
            </w:tcBorders>
            <w:shd w:val="clear" w:color="auto" w:fill="auto"/>
            <w:noWrap/>
            <w:vAlign w:val="bottom"/>
            <w:hideMark/>
          </w:tcPr>
          <w:p w14:paraId="1B9620E3" w14:textId="77777777" w:rsidR="00777F3C" w:rsidRPr="007B38A8" w:rsidRDefault="00777F3C" w:rsidP="008A43F4">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14:paraId="697868CC" w14:textId="77777777" w:rsidR="00777F3C" w:rsidRPr="007B38A8" w:rsidRDefault="00777F3C" w:rsidP="008A43F4">
            <w:pPr>
              <w:spacing w:after="0" w:line="240" w:lineRule="auto"/>
              <w:rPr>
                <w:rFonts w:ascii="Arial" w:eastAsia="Times New Roman" w:hAnsi="Arial" w:cs="Arial"/>
                <w:sz w:val="20"/>
                <w:szCs w:val="20"/>
              </w:rPr>
            </w:pPr>
          </w:p>
        </w:tc>
        <w:tc>
          <w:tcPr>
            <w:tcW w:w="1550" w:type="dxa"/>
            <w:tcBorders>
              <w:top w:val="nil"/>
              <w:left w:val="nil"/>
              <w:bottom w:val="nil"/>
              <w:right w:val="nil"/>
            </w:tcBorders>
            <w:shd w:val="clear" w:color="auto" w:fill="auto"/>
            <w:noWrap/>
            <w:vAlign w:val="bottom"/>
            <w:hideMark/>
          </w:tcPr>
          <w:p w14:paraId="4B594D20" w14:textId="77777777" w:rsidR="00777F3C" w:rsidRPr="007B38A8" w:rsidRDefault="00777F3C" w:rsidP="008A43F4">
            <w:pPr>
              <w:spacing w:after="0" w:line="240" w:lineRule="auto"/>
              <w:rPr>
                <w:rFonts w:ascii="Arial" w:eastAsia="Times New Roman" w:hAnsi="Arial" w:cs="Arial"/>
                <w:sz w:val="20"/>
                <w:szCs w:val="20"/>
              </w:rPr>
            </w:pPr>
          </w:p>
        </w:tc>
        <w:tc>
          <w:tcPr>
            <w:tcW w:w="2790" w:type="dxa"/>
            <w:tcBorders>
              <w:top w:val="nil"/>
              <w:left w:val="nil"/>
              <w:bottom w:val="nil"/>
              <w:right w:val="nil"/>
            </w:tcBorders>
            <w:shd w:val="clear" w:color="auto" w:fill="auto"/>
            <w:noWrap/>
            <w:vAlign w:val="bottom"/>
            <w:hideMark/>
          </w:tcPr>
          <w:p w14:paraId="3BF0977F" w14:textId="77777777" w:rsidR="00777F3C" w:rsidRPr="007B38A8" w:rsidRDefault="00777F3C" w:rsidP="008A43F4">
            <w:pPr>
              <w:spacing w:after="0" w:line="240" w:lineRule="auto"/>
              <w:rPr>
                <w:rFonts w:ascii="Arial" w:eastAsia="Times New Roman" w:hAnsi="Arial" w:cs="Arial"/>
                <w:sz w:val="20"/>
                <w:szCs w:val="20"/>
              </w:rPr>
            </w:pPr>
          </w:p>
        </w:tc>
      </w:tr>
    </w:tbl>
    <w:p w14:paraId="08F35B7B" w14:textId="77777777" w:rsidR="00777F3C" w:rsidRPr="0037028A" w:rsidRDefault="00DF5AB6" w:rsidP="00777F3C">
      <w:pPr>
        <w:spacing w:after="0" w:line="240" w:lineRule="auto"/>
        <w:rPr>
          <w:rFonts w:cstheme="minorHAnsi"/>
          <w:b/>
          <w:sz w:val="24"/>
        </w:rPr>
      </w:pPr>
      <w:r>
        <w:rPr>
          <w:rFonts w:cstheme="minorHAnsi"/>
          <w:b/>
          <w:sz w:val="24"/>
        </w:rPr>
        <w:t>Reporting</w:t>
      </w:r>
      <w:r w:rsidR="00777F3C" w:rsidRPr="0037028A">
        <w:rPr>
          <w:rFonts w:cstheme="minorHAnsi"/>
          <w:b/>
          <w:sz w:val="24"/>
        </w:rPr>
        <w:t xml:space="preserve"> to DOE</w:t>
      </w:r>
      <w:r>
        <w:rPr>
          <w:rFonts w:cstheme="minorHAnsi"/>
          <w:b/>
          <w:sz w:val="24"/>
        </w:rPr>
        <w:t xml:space="preserve"> FEMP</w:t>
      </w:r>
    </w:p>
    <w:p w14:paraId="7B092910" w14:textId="77777777" w:rsidR="00777F3C" w:rsidRDefault="00777F3C" w:rsidP="00777F3C">
      <w:pPr>
        <w:spacing w:after="0" w:line="240" w:lineRule="auto"/>
        <w:rPr>
          <w:rFonts w:cstheme="minorHAnsi"/>
        </w:rPr>
      </w:pPr>
    </w:p>
    <w:p w14:paraId="29795189" w14:textId="77777777" w:rsidR="00777F3C" w:rsidRPr="0037028A" w:rsidRDefault="00777F3C" w:rsidP="00777F3C">
      <w:pPr>
        <w:spacing w:after="0" w:line="240" w:lineRule="auto"/>
        <w:rPr>
          <w:rFonts w:cstheme="minorHAnsi"/>
        </w:rPr>
      </w:pPr>
      <w:r w:rsidRPr="0037028A">
        <w:rPr>
          <w:rFonts w:cstheme="minorHAnsi"/>
        </w:rPr>
        <w:t>Agencies do not need to submit any additional information besides what is enter</w:t>
      </w:r>
      <w:r>
        <w:rPr>
          <w:rFonts w:cstheme="minorHAnsi"/>
        </w:rPr>
        <w:t>ed</w:t>
      </w:r>
      <w:r w:rsidRPr="0037028A">
        <w:rPr>
          <w:rFonts w:cstheme="minorHAnsi"/>
        </w:rPr>
        <w:t xml:space="preserve"> in the </w:t>
      </w:r>
      <w:r w:rsidR="00ED688D">
        <w:rPr>
          <w:rFonts w:cstheme="minorHAnsi"/>
          <w:i/>
        </w:rPr>
        <w:t>Annual Energy</w:t>
      </w:r>
      <w:r w:rsidR="001F3F4B">
        <w:rPr>
          <w:rFonts w:cstheme="minorHAnsi"/>
          <w:i/>
        </w:rPr>
        <w:t xml:space="preserve"> Management</w:t>
      </w:r>
      <w:r w:rsidRPr="004F0428">
        <w:rPr>
          <w:rFonts w:cstheme="minorHAnsi"/>
          <w:i/>
        </w:rPr>
        <w:t xml:space="preserve"> Data Report</w:t>
      </w:r>
      <w:r w:rsidRPr="0037028A">
        <w:rPr>
          <w:rFonts w:cstheme="minorHAnsi"/>
        </w:rPr>
        <w:t xml:space="preserve">, </w:t>
      </w:r>
      <w:r w:rsidR="00D52529">
        <w:rPr>
          <w:rFonts w:cstheme="minorHAnsi"/>
        </w:rPr>
        <w:t>Tab</w:t>
      </w:r>
      <w:r w:rsidRPr="0037028A">
        <w:rPr>
          <w:rFonts w:cstheme="minorHAnsi"/>
        </w:rPr>
        <w:t xml:space="preserve"> 4.3 worksheet.  DOE will compile the data in this workbook and apply the credit automatically </w:t>
      </w:r>
      <w:r>
        <w:rPr>
          <w:rFonts w:cstheme="minorHAnsi"/>
        </w:rPr>
        <w:t xml:space="preserve">in to </w:t>
      </w:r>
      <w:r w:rsidRPr="0037028A">
        <w:rPr>
          <w:rFonts w:cstheme="minorHAnsi"/>
        </w:rPr>
        <w:t>the Agency’s Energy Report.</w:t>
      </w:r>
    </w:p>
    <w:p w14:paraId="2E39BF06" w14:textId="77777777" w:rsidR="00777F3C" w:rsidRPr="0037028A" w:rsidRDefault="00777F3C" w:rsidP="00777F3C">
      <w:pPr>
        <w:spacing w:after="0" w:line="240" w:lineRule="auto"/>
        <w:rPr>
          <w:rFonts w:cstheme="minorHAnsi"/>
        </w:rPr>
      </w:pPr>
    </w:p>
    <w:p w14:paraId="7862233E" w14:textId="77777777" w:rsidR="00777F3C" w:rsidRPr="0037028A" w:rsidRDefault="00777F3C" w:rsidP="00777F3C">
      <w:pPr>
        <w:pStyle w:val="NoSpacing"/>
        <w:rPr>
          <w:rFonts w:cstheme="minorHAnsi"/>
          <w:b/>
          <w:sz w:val="24"/>
        </w:rPr>
      </w:pPr>
      <w:r w:rsidRPr="0037028A">
        <w:rPr>
          <w:rFonts w:cstheme="minorHAnsi"/>
          <w:b/>
          <w:sz w:val="24"/>
        </w:rPr>
        <w:t>Point of Contact</w:t>
      </w:r>
    </w:p>
    <w:p w14:paraId="67EEE819" w14:textId="77777777" w:rsidR="00777F3C" w:rsidRPr="0037028A" w:rsidRDefault="00777F3C" w:rsidP="00777F3C">
      <w:pPr>
        <w:pStyle w:val="NoSpacing"/>
        <w:rPr>
          <w:rFonts w:cstheme="minorHAnsi"/>
        </w:rPr>
      </w:pPr>
    </w:p>
    <w:p w14:paraId="534AFA8C" w14:textId="77777777" w:rsidR="00777F3C" w:rsidRPr="0037028A" w:rsidRDefault="00777F3C" w:rsidP="00777F3C">
      <w:pPr>
        <w:pStyle w:val="NoSpacing"/>
        <w:rPr>
          <w:rFonts w:eastAsia="Times New Roman" w:cstheme="minorHAnsi"/>
          <w:sz w:val="24"/>
          <w:szCs w:val="24"/>
        </w:rPr>
      </w:pPr>
      <w:r w:rsidRPr="0037028A">
        <w:rPr>
          <w:rFonts w:cstheme="minorHAnsi"/>
        </w:rPr>
        <w:t xml:space="preserve">If you have any questions, please contact Chris Tremper at (202) 586-7632 or email </w:t>
      </w:r>
      <w:hyperlink r:id="rId29" w:history="1">
        <w:r w:rsidRPr="0037028A">
          <w:rPr>
            <w:rStyle w:val="Hyperlink"/>
            <w:rFonts w:cstheme="minorHAnsi"/>
          </w:rPr>
          <w:t>chris.tremper@ee.doe.gov</w:t>
        </w:r>
      </w:hyperlink>
      <w:r w:rsidRPr="0037028A">
        <w:rPr>
          <w:rFonts w:cstheme="minorHAnsi"/>
        </w:rPr>
        <w:t xml:space="preserve">.   </w:t>
      </w:r>
    </w:p>
    <w:p w14:paraId="7E7AA32C" w14:textId="77777777" w:rsidR="00D6309F" w:rsidRDefault="00D6309F">
      <w:pPr>
        <w:rPr>
          <w:rFonts w:ascii="Arial" w:hAnsi="Arial" w:cs="Arial"/>
          <w:b/>
          <w:bCs/>
          <w:sz w:val="32"/>
          <w:szCs w:val="32"/>
        </w:rPr>
      </w:pPr>
      <w:r>
        <w:rPr>
          <w:rFonts w:ascii="Arial" w:hAnsi="Arial" w:cs="Arial"/>
          <w:b/>
          <w:bCs/>
          <w:sz w:val="32"/>
          <w:szCs w:val="32"/>
        </w:rPr>
        <w:br w:type="page"/>
      </w:r>
    </w:p>
    <w:p w14:paraId="41D2D8C7" w14:textId="77777777" w:rsidR="00D6309F" w:rsidRPr="00805C34" w:rsidRDefault="00D6309F" w:rsidP="00D6309F">
      <w:pPr>
        <w:numPr>
          <w:ilvl w:val="12"/>
          <w:numId w:val="0"/>
        </w:numPr>
        <w:tabs>
          <w:tab w:val="left"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8"/>
          <w:szCs w:val="28"/>
        </w:rPr>
      </w:pPr>
      <w:r>
        <w:rPr>
          <w:rFonts w:ascii="Arial" w:hAnsi="Arial" w:cs="Arial"/>
          <w:b/>
          <w:bCs/>
          <w:sz w:val="32"/>
          <w:szCs w:val="32"/>
        </w:rPr>
        <w:lastRenderedPageBreak/>
        <w:t>ATTACHMENT</w:t>
      </w:r>
      <w:r w:rsidRPr="00805C34">
        <w:rPr>
          <w:rFonts w:ascii="Arial" w:hAnsi="Arial" w:cs="Arial"/>
          <w:b/>
          <w:bCs/>
          <w:sz w:val="32"/>
          <w:szCs w:val="32"/>
        </w:rPr>
        <w:t xml:space="preserve"> </w:t>
      </w:r>
      <w:r w:rsidR="000F1993">
        <w:rPr>
          <w:rFonts w:ascii="Arial" w:hAnsi="Arial" w:cs="Arial"/>
          <w:b/>
          <w:bCs/>
          <w:sz w:val="32"/>
          <w:szCs w:val="32"/>
        </w:rPr>
        <w:t>3</w:t>
      </w:r>
    </w:p>
    <w:p w14:paraId="50D325A1" w14:textId="77777777" w:rsidR="00D6309F" w:rsidRPr="00702BF7" w:rsidRDefault="00D6309F" w:rsidP="00702BF7">
      <w:pPr>
        <w:jc w:val="center"/>
        <w:rPr>
          <w:rFonts w:ascii="Arial" w:hAnsi="Arial" w:cs="Arial"/>
          <w:b/>
          <w:bCs/>
          <w:sz w:val="32"/>
          <w:szCs w:val="32"/>
        </w:rPr>
      </w:pPr>
      <w:r w:rsidRPr="00456050">
        <w:rPr>
          <w:rFonts w:ascii="Arial" w:hAnsi="Arial" w:cs="Arial"/>
          <w:b/>
          <w:bCs/>
          <w:sz w:val="32"/>
          <w:szCs w:val="32"/>
        </w:rPr>
        <w:t xml:space="preserve">Guidance </w:t>
      </w:r>
      <w:r w:rsidR="00456050" w:rsidRPr="00456050">
        <w:rPr>
          <w:rFonts w:ascii="Arial" w:hAnsi="Arial" w:cs="Arial"/>
          <w:b/>
          <w:bCs/>
          <w:sz w:val="32"/>
          <w:szCs w:val="32"/>
        </w:rPr>
        <w:t>to Receive</w:t>
      </w:r>
      <w:r w:rsidRPr="00456050">
        <w:rPr>
          <w:rFonts w:ascii="Arial" w:hAnsi="Arial" w:cs="Arial"/>
          <w:b/>
          <w:bCs/>
          <w:sz w:val="32"/>
          <w:szCs w:val="32"/>
        </w:rPr>
        <w:t xml:space="preserve"> Credit on Energy Performance</w:t>
      </w:r>
      <w:r w:rsidR="00456050" w:rsidRPr="00456050">
        <w:rPr>
          <w:rFonts w:ascii="Arial" w:hAnsi="Arial" w:cs="Arial"/>
          <w:b/>
          <w:bCs/>
          <w:sz w:val="32"/>
          <w:szCs w:val="32"/>
        </w:rPr>
        <w:t xml:space="preserve"> Goal</w:t>
      </w:r>
      <w:r w:rsidRPr="00456050">
        <w:rPr>
          <w:rFonts w:ascii="Arial" w:hAnsi="Arial" w:cs="Arial"/>
          <w:b/>
          <w:bCs/>
          <w:sz w:val="32"/>
          <w:szCs w:val="32"/>
        </w:rPr>
        <w:t xml:space="preserve"> </w:t>
      </w:r>
      <w:r w:rsidR="00456050" w:rsidRPr="00456050">
        <w:rPr>
          <w:rFonts w:ascii="Arial" w:hAnsi="Arial" w:cs="Arial"/>
          <w:b/>
          <w:bCs/>
          <w:sz w:val="32"/>
          <w:szCs w:val="32"/>
        </w:rPr>
        <w:t>to Normalize for Weather in Benchmarked Buildings</w:t>
      </w:r>
    </w:p>
    <w:p w14:paraId="4F577B70" w14:textId="77777777" w:rsidR="00D6309F" w:rsidRPr="005E20C1" w:rsidRDefault="00D6309F" w:rsidP="00D6309F">
      <w:pPr>
        <w:spacing w:after="0" w:line="240" w:lineRule="auto"/>
        <w:rPr>
          <w:rFonts w:cstheme="minorHAnsi"/>
          <w:b/>
          <w:sz w:val="24"/>
        </w:rPr>
      </w:pPr>
      <w:r w:rsidRPr="005E20C1">
        <w:rPr>
          <w:rFonts w:cstheme="minorHAnsi"/>
          <w:b/>
          <w:sz w:val="24"/>
        </w:rPr>
        <w:t>Background</w:t>
      </w:r>
    </w:p>
    <w:p w14:paraId="6A274B61" w14:textId="77777777" w:rsidR="00D6309F" w:rsidRPr="0037028A" w:rsidRDefault="00D6309F" w:rsidP="00D6309F">
      <w:pPr>
        <w:spacing w:after="0" w:line="240" w:lineRule="auto"/>
        <w:rPr>
          <w:rFonts w:cstheme="minorHAnsi"/>
          <w:highlight w:val="yellow"/>
        </w:rPr>
      </w:pPr>
    </w:p>
    <w:p w14:paraId="0083C453" w14:textId="0D1EA62E" w:rsidR="00865B4A" w:rsidRDefault="007C1D11" w:rsidP="00865B4A">
      <w:pPr>
        <w:rPr>
          <w:rFonts w:cstheme="minorHAnsi"/>
        </w:rPr>
      </w:pPr>
      <w:r>
        <w:rPr>
          <w:rFonts w:cstheme="minorHAnsi"/>
        </w:rPr>
        <w:t>Under section 432 of the Energy Independence and Security Act of 2007 (EISA</w:t>
      </w:r>
      <w:r w:rsidR="00E853CB">
        <w:rPr>
          <w:rFonts w:cstheme="minorHAnsi"/>
        </w:rPr>
        <w:t xml:space="preserve"> 432</w:t>
      </w:r>
      <w:r>
        <w:rPr>
          <w:rFonts w:cstheme="minorHAnsi"/>
        </w:rPr>
        <w:t>)</w:t>
      </w:r>
      <w:r w:rsidRPr="007C1D11">
        <w:rPr>
          <w:rFonts w:cstheme="minorHAnsi"/>
        </w:rPr>
        <w:t xml:space="preserve"> </w:t>
      </w:r>
      <w:r>
        <w:rPr>
          <w:rFonts w:cstheme="minorHAnsi"/>
        </w:rPr>
        <w:t>(42 U.S.C. § 8253(f</w:t>
      </w:r>
      <w:r w:rsidRPr="007C1D11">
        <w:rPr>
          <w:rFonts w:cstheme="minorHAnsi"/>
        </w:rPr>
        <w:t>)</w:t>
      </w:r>
      <w:r>
        <w:rPr>
          <w:rFonts w:cstheme="minorHAnsi"/>
        </w:rPr>
        <w:t>), a</w:t>
      </w:r>
      <w:r w:rsidRPr="007C1D11">
        <w:rPr>
          <w:rFonts w:cstheme="minorHAnsi"/>
        </w:rPr>
        <w:t xml:space="preserve">gencies </w:t>
      </w:r>
      <w:r>
        <w:rPr>
          <w:rFonts w:cstheme="minorHAnsi"/>
        </w:rPr>
        <w:t>are required to annually</w:t>
      </w:r>
      <w:r w:rsidRPr="007C1D11">
        <w:rPr>
          <w:rFonts w:cstheme="minorHAnsi"/>
        </w:rPr>
        <w:t xml:space="preserve"> benchmark their metered buildings </w:t>
      </w:r>
      <w:r>
        <w:rPr>
          <w:rFonts w:cstheme="minorHAnsi"/>
        </w:rPr>
        <w:t xml:space="preserve">covered under </w:t>
      </w:r>
      <w:r w:rsidR="005A07B3">
        <w:rPr>
          <w:rFonts w:cstheme="minorHAnsi"/>
        </w:rPr>
        <w:t>these energy and water efficiency management requirements.</w:t>
      </w:r>
      <w:r w:rsidR="00BF696A">
        <w:rPr>
          <w:rFonts w:cstheme="minorHAnsi"/>
        </w:rPr>
        <w:t xml:space="preserve">  </w:t>
      </w:r>
      <w:r w:rsidR="00BF696A" w:rsidRPr="00BF696A">
        <w:rPr>
          <w:rFonts w:cstheme="minorHAnsi"/>
        </w:rPr>
        <w:t>These building-level findings may be used to provide a weather normaliz</w:t>
      </w:r>
      <w:r w:rsidR="00BF696A">
        <w:rPr>
          <w:rFonts w:cstheme="minorHAnsi"/>
        </w:rPr>
        <w:t>ation adjustment to the agency-wide Btu/Gross Square Foot performance metric in the current reporting year.</w:t>
      </w:r>
      <w:r w:rsidR="00865B4A">
        <w:rPr>
          <w:rFonts w:cstheme="minorHAnsi"/>
        </w:rPr>
        <w:t xml:space="preserve"> Agencies may receive an adjustment to the energy intensity goal performance metric (Btu/Gross Square Foot) to normalize for weather based </w:t>
      </w:r>
      <w:r w:rsidR="00865B4A" w:rsidRPr="007C1D11">
        <w:rPr>
          <w:rFonts w:cstheme="minorHAnsi"/>
        </w:rPr>
        <w:t>on locality-specific benchmarking findings for individual buildings</w:t>
      </w:r>
      <w:r w:rsidR="00865B4A">
        <w:rPr>
          <w:rFonts w:cstheme="minorHAnsi"/>
        </w:rPr>
        <w:t xml:space="preserve"> (</w:t>
      </w:r>
      <w:hyperlink r:id="rId30" w:history="1">
        <w:r w:rsidR="00865B4A" w:rsidRPr="00C21D48">
          <w:rPr>
            <w:rStyle w:val="Hyperlink"/>
            <w:rFonts w:cstheme="minorHAnsi"/>
          </w:rPr>
          <w:t xml:space="preserve">Implementing Instructions for </w:t>
        </w:r>
        <w:r w:rsidR="00865B4A" w:rsidRPr="00C21D48">
          <w:rPr>
            <w:rStyle w:val="Hyperlink"/>
            <w:rFonts w:cstheme="minorHAnsi"/>
            <w:i/>
            <w:iCs/>
          </w:rPr>
          <w:t>Executive Order 13</w:t>
        </w:r>
        <w:r w:rsidR="00865B4A">
          <w:rPr>
            <w:rStyle w:val="Hyperlink"/>
            <w:rFonts w:cstheme="minorHAnsi"/>
            <w:i/>
            <w:iCs/>
          </w:rPr>
          <w:t>834</w:t>
        </w:r>
        <w:r w:rsidR="00865B4A" w:rsidRPr="00C21D48">
          <w:rPr>
            <w:rStyle w:val="Hyperlink"/>
            <w:rFonts w:cstheme="minorHAnsi"/>
            <w:i/>
            <w:iCs/>
          </w:rPr>
          <w:t xml:space="preserve"> </w:t>
        </w:r>
        <w:r w:rsidR="00865B4A">
          <w:rPr>
            <w:rStyle w:val="Hyperlink"/>
            <w:rFonts w:cstheme="minorHAnsi"/>
            <w:i/>
            <w:iCs/>
          </w:rPr>
          <w:t>Efficient Federal Operations</w:t>
        </w:r>
      </w:hyperlink>
      <w:r w:rsidR="00865B4A">
        <w:rPr>
          <w:rFonts w:cstheme="minorHAnsi"/>
          <w:i/>
          <w:iCs/>
        </w:rPr>
        <w:t xml:space="preserve"> </w:t>
      </w:r>
      <w:r w:rsidR="00865B4A">
        <w:rPr>
          <w:rFonts w:cstheme="minorHAnsi"/>
        </w:rPr>
        <w:t>(page 9))</w:t>
      </w:r>
      <w:r w:rsidR="00865B4A" w:rsidRPr="007C1D11">
        <w:rPr>
          <w:rFonts w:cstheme="minorHAnsi"/>
        </w:rPr>
        <w:t xml:space="preserve"> </w:t>
      </w:r>
    </w:p>
    <w:p w14:paraId="18769A9D" w14:textId="77777777" w:rsidR="00D6309F" w:rsidRDefault="00D6309F" w:rsidP="00D6309F">
      <w:pPr>
        <w:spacing w:after="0" w:line="240" w:lineRule="auto"/>
        <w:rPr>
          <w:rFonts w:cstheme="minorHAnsi"/>
          <w:b/>
          <w:sz w:val="24"/>
        </w:rPr>
      </w:pPr>
      <w:r w:rsidRPr="0037028A">
        <w:rPr>
          <w:rFonts w:cstheme="minorHAnsi"/>
          <w:b/>
          <w:sz w:val="24"/>
        </w:rPr>
        <w:t xml:space="preserve">Calculating </w:t>
      </w:r>
      <w:r w:rsidR="00F2393D">
        <w:rPr>
          <w:rFonts w:cstheme="minorHAnsi"/>
          <w:b/>
          <w:sz w:val="24"/>
        </w:rPr>
        <w:t>the Adjustment</w:t>
      </w:r>
    </w:p>
    <w:p w14:paraId="19163E1F" w14:textId="77777777" w:rsidR="00D6309F" w:rsidRDefault="00D6309F" w:rsidP="00D6309F">
      <w:pPr>
        <w:spacing w:after="0" w:line="240" w:lineRule="auto"/>
        <w:rPr>
          <w:rFonts w:cstheme="minorHAnsi"/>
          <w:b/>
          <w:sz w:val="24"/>
        </w:rPr>
      </w:pPr>
    </w:p>
    <w:p w14:paraId="0559F0E0" w14:textId="0D080882" w:rsidR="0099371C" w:rsidRPr="0096362D" w:rsidRDefault="00540BF6" w:rsidP="00D6309F">
      <w:pPr>
        <w:spacing w:after="0" w:line="240" w:lineRule="auto"/>
        <w:rPr>
          <w:rFonts w:cstheme="minorHAnsi"/>
        </w:rPr>
      </w:pPr>
      <w:r>
        <w:rPr>
          <w:rFonts w:cstheme="minorHAnsi"/>
        </w:rPr>
        <w:t>Ag</w:t>
      </w:r>
      <w:r w:rsidR="00F2393D" w:rsidRPr="0096362D">
        <w:rPr>
          <w:rFonts w:cstheme="minorHAnsi"/>
        </w:rPr>
        <w:t xml:space="preserve">encies </w:t>
      </w:r>
      <w:r w:rsidR="00865B4A">
        <w:rPr>
          <w:rFonts w:cstheme="minorHAnsi"/>
        </w:rPr>
        <w:t xml:space="preserve">may </w:t>
      </w:r>
      <w:r w:rsidR="00F2393D" w:rsidRPr="0096362D">
        <w:rPr>
          <w:rFonts w:cstheme="minorHAnsi"/>
        </w:rPr>
        <w:t xml:space="preserve">use the Environmental Protection Agency’s  </w:t>
      </w:r>
      <w:r w:rsidR="0099371C" w:rsidRPr="0096362D">
        <w:rPr>
          <w:rFonts w:cstheme="minorHAnsi"/>
          <w:lang w:val="en"/>
        </w:rPr>
        <w:t xml:space="preserve">ENERGY STAR Portfolio Manager® tool to benchmark their metered </w:t>
      </w:r>
      <w:r w:rsidR="00E6014A">
        <w:rPr>
          <w:rFonts w:cstheme="minorHAnsi"/>
          <w:lang w:val="en"/>
        </w:rPr>
        <w:t xml:space="preserve">buildings </w:t>
      </w:r>
      <w:r w:rsidR="0099371C" w:rsidRPr="0096362D">
        <w:rPr>
          <w:rFonts w:cstheme="minorHAnsi"/>
          <w:lang w:val="en"/>
        </w:rPr>
        <w:t xml:space="preserve">covered under </w:t>
      </w:r>
      <w:r w:rsidR="0099371C" w:rsidRPr="0096362D">
        <w:rPr>
          <w:rFonts w:cstheme="minorHAnsi"/>
        </w:rPr>
        <w:t>42 U.S.C. § 8253(f) requirements.  Portfolio Manager</w:t>
      </w:r>
      <w:r w:rsidR="00E37C82" w:rsidRPr="0096362D">
        <w:rPr>
          <w:rFonts w:cstheme="minorHAnsi"/>
        </w:rPr>
        <w:t xml:space="preserve"> calculates weather-normalized energy use for benchmarked buildings in terms of site-delivered Btu based an average (normal) climate year using the following steps</w:t>
      </w:r>
      <w:r w:rsidR="00896A48" w:rsidRPr="0096362D">
        <w:rPr>
          <w:rFonts w:cstheme="minorHAnsi"/>
        </w:rPr>
        <w:t xml:space="preserve"> (see:  </w:t>
      </w:r>
      <w:hyperlink r:id="rId31" w:history="1">
        <w:r w:rsidR="00896A48" w:rsidRPr="0096362D">
          <w:rPr>
            <w:rStyle w:val="Hyperlink"/>
            <w:rFonts w:cstheme="minorHAnsi"/>
          </w:rPr>
          <w:t>https://www.energystar.gov/buildings/tools-and-resources/portfolio-manager-technical-reference-climate-and-weather</w:t>
        </w:r>
      </w:hyperlink>
      <w:r w:rsidR="00896A48" w:rsidRPr="0096362D">
        <w:rPr>
          <w:rFonts w:cstheme="minorHAnsi"/>
        </w:rPr>
        <w:t>)</w:t>
      </w:r>
      <w:r w:rsidR="00E37C82" w:rsidRPr="0096362D">
        <w:rPr>
          <w:rFonts w:cstheme="minorHAnsi"/>
        </w:rPr>
        <w:t>:</w:t>
      </w:r>
    </w:p>
    <w:p w14:paraId="667A6B08" w14:textId="77777777" w:rsidR="00E37C82" w:rsidRPr="0096362D" w:rsidRDefault="00E37C82" w:rsidP="00E37C82">
      <w:pPr>
        <w:spacing w:after="0" w:line="240" w:lineRule="auto"/>
        <w:rPr>
          <w:rFonts w:cstheme="minorHAnsi"/>
        </w:rPr>
      </w:pPr>
    </w:p>
    <w:p w14:paraId="016911D0" w14:textId="77777777" w:rsidR="00531840" w:rsidRPr="0096362D" w:rsidRDefault="00531840" w:rsidP="00531840">
      <w:pPr>
        <w:pStyle w:val="ListParagraph"/>
        <w:numPr>
          <w:ilvl w:val="0"/>
          <w:numId w:val="32"/>
        </w:numPr>
        <w:spacing w:after="0" w:line="240" w:lineRule="auto"/>
        <w:rPr>
          <w:rFonts w:cstheme="minorHAnsi"/>
        </w:rPr>
      </w:pPr>
      <w:r w:rsidRPr="0096362D">
        <w:rPr>
          <w:rFonts w:cstheme="minorHAnsi"/>
        </w:rPr>
        <w:t>User Enters energy data into Portfolio Manager (only step required by user)</w:t>
      </w:r>
    </w:p>
    <w:p w14:paraId="36DD0E5D" w14:textId="77777777" w:rsidR="00531840" w:rsidRPr="0096362D" w:rsidRDefault="00531840" w:rsidP="00531840">
      <w:pPr>
        <w:pStyle w:val="ListParagraph"/>
        <w:numPr>
          <w:ilvl w:val="0"/>
          <w:numId w:val="32"/>
        </w:numPr>
        <w:spacing w:after="0" w:line="240" w:lineRule="auto"/>
        <w:rPr>
          <w:rFonts w:cstheme="minorHAnsi"/>
        </w:rPr>
      </w:pPr>
      <w:r w:rsidRPr="0096362D">
        <w:rPr>
          <w:rFonts w:cstheme="minorHAnsi"/>
        </w:rPr>
        <w:t>Portfolio Manager splits energy data into whole calendar months</w:t>
      </w:r>
    </w:p>
    <w:p w14:paraId="597CC94C" w14:textId="77777777" w:rsidR="00E37C82" w:rsidRPr="0096362D" w:rsidRDefault="00531840" w:rsidP="00531840">
      <w:pPr>
        <w:pStyle w:val="ListParagraph"/>
        <w:numPr>
          <w:ilvl w:val="0"/>
          <w:numId w:val="32"/>
        </w:numPr>
        <w:spacing w:after="0" w:line="240" w:lineRule="auto"/>
        <w:rPr>
          <w:rFonts w:cstheme="minorHAnsi"/>
        </w:rPr>
      </w:pPr>
      <w:r w:rsidRPr="0096362D">
        <w:rPr>
          <w:rFonts w:cstheme="minorHAnsi"/>
        </w:rPr>
        <w:t>Portfolio Manager plots energy use and actual temperature for each fuel</w:t>
      </w:r>
    </w:p>
    <w:p w14:paraId="234340CD" w14:textId="77777777" w:rsidR="00531840" w:rsidRPr="0096362D" w:rsidRDefault="00531840" w:rsidP="00531840">
      <w:pPr>
        <w:pStyle w:val="ListParagraph"/>
        <w:numPr>
          <w:ilvl w:val="0"/>
          <w:numId w:val="32"/>
        </w:numPr>
        <w:spacing w:after="0" w:line="240" w:lineRule="auto"/>
        <w:rPr>
          <w:rFonts w:cstheme="minorHAnsi"/>
        </w:rPr>
      </w:pPr>
      <w:r w:rsidRPr="0096362D">
        <w:rPr>
          <w:rFonts w:cstheme="minorHAnsi"/>
        </w:rPr>
        <w:t>Portfolio Manager calculates the relationships between energy and temperature</w:t>
      </w:r>
    </w:p>
    <w:p w14:paraId="6619CA4B" w14:textId="77777777" w:rsidR="00531840" w:rsidRPr="0096362D" w:rsidRDefault="006D756E" w:rsidP="006D756E">
      <w:pPr>
        <w:pStyle w:val="ListParagraph"/>
        <w:numPr>
          <w:ilvl w:val="0"/>
          <w:numId w:val="32"/>
        </w:numPr>
        <w:spacing w:after="0" w:line="240" w:lineRule="auto"/>
        <w:rPr>
          <w:rFonts w:cstheme="minorHAnsi"/>
        </w:rPr>
      </w:pPr>
      <w:r w:rsidRPr="0096362D">
        <w:rPr>
          <w:rFonts w:cstheme="minorHAnsi"/>
        </w:rPr>
        <w:t>Portfolio Manager computes a normalization ratio for each fuel type</w:t>
      </w:r>
    </w:p>
    <w:p w14:paraId="06728693" w14:textId="77777777" w:rsidR="006D756E" w:rsidRPr="0096362D" w:rsidRDefault="006D756E" w:rsidP="006D756E">
      <w:pPr>
        <w:pStyle w:val="ListParagraph"/>
        <w:numPr>
          <w:ilvl w:val="0"/>
          <w:numId w:val="32"/>
        </w:numPr>
        <w:spacing w:after="0" w:line="240" w:lineRule="auto"/>
        <w:rPr>
          <w:rFonts w:cstheme="minorHAnsi"/>
        </w:rPr>
      </w:pPr>
      <w:r w:rsidRPr="0096362D">
        <w:rPr>
          <w:rFonts w:cstheme="minorHAnsi"/>
        </w:rPr>
        <w:t>Portfolio Manager computes normalized energy</w:t>
      </w:r>
    </w:p>
    <w:p w14:paraId="72A17B62" w14:textId="77777777" w:rsidR="0099371C" w:rsidRPr="0096362D" w:rsidRDefault="0099371C" w:rsidP="00D6309F">
      <w:pPr>
        <w:spacing w:after="0" w:line="240" w:lineRule="auto"/>
        <w:rPr>
          <w:rFonts w:cstheme="minorHAnsi"/>
        </w:rPr>
      </w:pPr>
    </w:p>
    <w:p w14:paraId="38075178" w14:textId="77777777" w:rsidR="00B64AAD" w:rsidRDefault="0096362D" w:rsidP="000B7982">
      <w:pPr>
        <w:rPr>
          <w:rFonts w:cstheme="minorHAnsi"/>
          <w:bCs/>
        </w:rPr>
      </w:pPr>
      <w:r w:rsidRPr="0096362D">
        <w:rPr>
          <w:rFonts w:cstheme="minorHAnsi"/>
        </w:rPr>
        <w:t>Under the existing EISA</w:t>
      </w:r>
      <w:r w:rsidR="00E853CB">
        <w:rPr>
          <w:rFonts w:cstheme="minorHAnsi"/>
        </w:rPr>
        <w:t xml:space="preserve"> 432 requirements, agencies are required to release the annual benchmarking findings of their metered buildings in their EISA 432-covered</w:t>
      </w:r>
      <w:r w:rsidR="00A05AD0">
        <w:rPr>
          <w:rFonts w:cstheme="minorHAnsi"/>
        </w:rPr>
        <w:t xml:space="preserve"> facilities</w:t>
      </w:r>
      <w:r w:rsidR="00E853CB">
        <w:rPr>
          <w:rFonts w:cstheme="minorHAnsi"/>
        </w:rPr>
        <w:t xml:space="preserve"> </w:t>
      </w:r>
      <w:r w:rsidR="00F2393D" w:rsidRPr="0096362D">
        <w:rPr>
          <w:rFonts w:cstheme="minorHAnsi"/>
        </w:rPr>
        <w:t>to DOE</w:t>
      </w:r>
      <w:r w:rsidR="00A05AD0">
        <w:rPr>
          <w:rFonts w:cstheme="minorHAnsi"/>
        </w:rPr>
        <w:t xml:space="preserve"> FEMP</w:t>
      </w:r>
      <w:r w:rsidR="00F2393D" w:rsidRPr="0096362D">
        <w:rPr>
          <w:rFonts w:cstheme="minorHAnsi"/>
        </w:rPr>
        <w:t>'s web-based Compliance Tracking System</w:t>
      </w:r>
      <w:r w:rsidR="00E853CB">
        <w:rPr>
          <w:rFonts w:cstheme="minorHAnsi"/>
        </w:rPr>
        <w:t xml:space="preserve"> (CTS).  Within CTS, the </w:t>
      </w:r>
      <w:r w:rsidR="00F2393D" w:rsidRPr="0096362D">
        <w:rPr>
          <w:rFonts w:cstheme="minorHAnsi"/>
        </w:rPr>
        <w:t>weather-adjusted Btu consumption will be compared to unadjusted Btu consumption. If weather-adjusted Btu consumption is lower than unadjusted consumption, then the weather-adjusted Btu will be used for that building. The adjustment at the agency-level is the subtraction of the difference between weather-adjusted and unadjusted Btu consumption for all benchmarked buildings covered under 42 U.S.C. § 8253(f).</w:t>
      </w:r>
      <w:r w:rsidR="00E853CB">
        <w:rPr>
          <w:rFonts w:cstheme="minorHAnsi"/>
        </w:rPr>
        <w:t xml:space="preserve">  </w:t>
      </w:r>
      <w:r w:rsidR="00513896">
        <w:rPr>
          <w:rFonts w:cstheme="minorHAnsi"/>
        </w:rPr>
        <w:t>There is n</w:t>
      </w:r>
      <w:r w:rsidR="00F74AFA" w:rsidRPr="00513896">
        <w:rPr>
          <w:rFonts w:cstheme="minorHAnsi"/>
        </w:rPr>
        <w:t xml:space="preserve">o </w:t>
      </w:r>
      <w:r w:rsidR="00513896">
        <w:rPr>
          <w:rFonts w:cstheme="minorHAnsi"/>
        </w:rPr>
        <w:t xml:space="preserve">adjustment (or </w:t>
      </w:r>
      <w:r w:rsidR="00F74AFA" w:rsidRPr="00513896">
        <w:rPr>
          <w:rFonts w:cstheme="minorHAnsi"/>
        </w:rPr>
        <w:t>penalty</w:t>
      </w:r>
      <w:r w:rsidR="00513896">
        <w:rPr>
          <w:rFonts w:cstheme="minorHAnsi"/>
        </w:rPr>
        <w:t>)</w:t>
      </w:r>
      <w:r w:rsidR="00F74AFA" w:rsidRPr="00513896">
        <w:rPr>
          <w:rFonts w:cstheme="minorHAnsi"/>
        </w:rPr>
        <w:t xml:space="preserve"> for mild-weather years (weather-adjusted Btu is higher than actual Btu consumption)</w:t>
      </w:r>
      <w:r w:rsidR="00513896">
        <w:rPr>
          <w:rFonts w:cstheme="minorHAnsi"/>
        </w:rPr>
        <w:t>.</w:t>
      </w:r>
      <w:r w:rsidR="000B7982">
        <w:rPr>
          <w:rFonts w:cstheme="minorHAnsi"/>
        </w:rPr>
        <w:t xml:space="preserve"> </w:t>
      </w:r>
      <w:r w:rsidR="00B64AAD">
        <w:rPr>
          <w:rFonts w:cstheme="minorHAnsi"/>
        </w:rPr>
        <w:t>The CTS</w:t>
      </w:r>
      <w:r w:rsidR="00E853CB">
        <w:rPr>
          <w:rFonts w:cstheme="minorHAnsi"/>
        </w:rPr>
        <w:t xml:space="preserve"> benchmarking</w:t>
      </w:r>
      <w:r w:rsidR="00B64AAD">
        <w:rPr>
          <w:rFonts w:cstheme="minorHAnsi"/>
        </w:rPr>
        <w:t xml:space="preserve"> </w:t>
      </w:r>
      <w:r w:rsidR="00D150D6">
        <w:rPr>
          <w:rFonts w:cstheme="minorHAnsi"/>
        </w:rPr>
        <w:t>metrics</w:t>
      </w:r>
      <w:r w:rsidR="00B64AAD">
        <w:rPr>
          <w:rFonts w:cstheme="minorHAnsi"/>
        </w:rPr>
        <w:t xml:space="preserve"> report for the current reporting year includes the </w:t>
      </w:r>
      <w:r w:rsidR="00B64AAD" w:rsidRPr="00B64AAD">
        <w:rPr>
          <w:rFonts w:cstheme="minorHAnsi"/>
          <w:bCs/>
        </w:rPr>
        <w:t>Weather-Normalization Adjustment</w:t>
      </w:r>
      <w:r w:rsidR="00B64AAD">
        <w:rPr>
          <w:rFonts w:cstheme="minorHAnsi"/>
          <w:bCs/>
        </w:rPr>
        <w:t xml:space="preserve"> in terms of site-delivered m</w:t>
      </w:r>
      <w:r w:rsidR="00B64AAD" w:rsidRPr="00B64AAD">
        <w:rPr>
          <w:rFonts w:cstheme="minorHAnsi"/>
          <w:bCs/>
        </w:rPr>
        <w:t>illion Btu</w:t>
      </w:r>
      <w:r w:rsidR="00B64AAD">
        <w:rPr>
          <w:rFonts w:cstheme="minorHAnsi"/>
          <w:bCs/>
        </w:rPr>
        <w:t xml:space="preserve"> </w:t>
      </w:r>
      <w:r w:rsidR="00E8137C">
        <w:rPr>
          <w:rFonts w:cstheme="minorHAnsi"/>
          <w:bCs/>
        </w:rPr>
        <w:t>in</w:t>
      </w:r>
      <w:r w:rsidR="00B64AAD">
        <w:rPr>
          <w:rFonts w:cstheme="minorHAnsi"/>
          <w:bCs/>
        </w:rPr>
        <w:t xml:space="preserve"> the last right column of the data table for the agency</w:t>
      </w:r>
      <w:r w:rsidR="007E03C9">
        <w:rPr>
          <w:rFonts w:cstheme="minorHAnsi"/>
          <w:bCs/>
        </w:rPr>
        <w:t xml:space="preserve"> and for individual buildings (see: </w:t>
      </w:r>
      <w:hyperlink r:id="rId32" w:history="1">
        <w:r w:rsidR="002A4A69" w:rsidRPr="00ED688D">
          <w:rPr>
            <w:rStyle w:val="Hyperlink"/>
            <w:rFonts w:cstheme="minorHAnsi"/>
            <w:bCs/>
          </w:rPr>
          <w:t>https://www.eisa-432-cts.eere.energy.gov/EISACTS/Reports/Reports.aspx</w:t>
        </w:r>
      </w:hyperlink>
      <w:r w:rsidR="00006E98">
        <w:rPr>
          <w:rFonts w:cstheme="minorHAnsi"/>
          <w:bCs/>
        </w:rPr>
        <w:t xml:space="preserve">). </w:t>
      </w:r>
    </w:p>
    <w:p w14:paraId="595B51F3" w14:textId="6C7B22DB" w:rsidR="00026CA8" w:rsidRDefault="00026CA8" w:rsidP="00775BD0">
      <w:pPr>
        <w:spacing w:after="0" w:line="240" w:lineRule="auto"/>
        <w:rPr>
          <w:rFonts w:cstheme="minorHAnsi"/>
        </w:rPr>
      </w:pPr>
      <w:r>
        <w:rPr>
          <w:rFonts w:cstheme="minorHAnsi"/>
          <w:bCs/>
        </w:rPr>
        <w:lastRenderedPageBreak/>
        <w:t>To be eligible for the weather-adjustment (and to be included in the CTS benchmarking activity report), the benchmarked building must</w:t>
      </w:r>
      <w:r w:rsidR="00625628">
        <w:rPr>
          <w:rFonts w:cstheme="minorHAnsi"/>
          <w:bCs/>
        </w:rPr>
        <w:t xml:space="preserve"> be part of a Goal-Subject (energy intensity reduction goal) covered facility as designated in CTS.</w:t>
      </w:r>
      <w:r w:rsidR="00865B4A">
        <w:rPr>
          <w:rFonts w:cstheme="minorHAnsi"/>
          <w:bCs/>
        </w:rPr>
        <w:t xml:space="preserve">  </w:t>
      </w:r>
      <w:r w:rsidR="00865B4A" w:rsidRPr="003442F2">
        <w:rPr>
          <w:rFonts w:cstheme="minorHAnsi"/>
        </w:rPr>
        <w:t xml:space="preserve">To receive </w:t>
      </w:r>
      <w:r w:rsidR="00865B4A">
        <w:rPr>
          <w:rFonts w:cstheme="minorHAnsi"/>
        </w:rPr>
        <w:t xml:space="preserve">the </w:t>
      </w:r>
      <w:r w:rsidR="00865B4A" w:rsidRPr="003442F2">
        <w:rPr>
          <w:rFonts w:cstheme="minorHAnsi"/>
        </w:rPr>
        <w:t>credit, agencies will need to release their Portfolio Manager benchmarking findings for the prior fiscal year to CTS by end of January (to coincide with annual reporting</w:t>
      </w:r>
      <w:r w:rsidR="00865B4A">
        <w:rPr>
          <w:rFonts w:cstheme="minorHAnsi"/>
        </w:rPr>
        <w:t xml:space="preserve"> due date).</w:t>
      </w:r>
    </w:p>
    <w:p w14:paraId="4AF52D7C" w14:textId="77777777" w:rsidR="00775BD0" w:rsidRPr="000B7982" w:rsidRDefault="00775BD0" w:rsidP="00775BD0">
      <w:pPr>
        <w:spacing w:after="0" w:line="240" w:lineRule="auto"/>
        <w:rPr>
          <w:rFonts w:cstheme="minorHAnsi"/>
        </w:rPr>
      </w:pPr>
    </w:p>
    <w:p w14:paraId="1F63AB6D" w14:textId="77777777" w:rsidR="00D6309F" w:rsidRPr="0037028A" w:rsidRDefault="00026CA8" w:rsidP="00D6309F">
      <w:pPr>
        <w:spacing w:after="0" w:line="240" w:lineRule="auto"/>
        <w:rPr>
          <w:rFonts w:cstheme="minorHAnsi"/>
          <w:b/>
          <w:sz w:val="24"/>
        </w:rPr>
      </w:pPr>
      <w:r>
        <w:rPr>
          <w:rFonts w:cstheme="minorHAnsi"/>
          <w:b/>
          <w:sz w:val="24"/>
        </w:rPr>
        <w:t>Reporting</w:t>
      </w:r>
      <w:r w:rsidR="00D6309F" w:rsidRPr="0037028A">
        <w:rPr>
          <w:rFonts w:cstheme="minorHAnsi"/>
          <w:b/>
          <w:sz w:val="24"/>
        </w:rPr>
        <w:t xml:space="preserve"> to DOE</w:t>
      </w:r>
      <w:r>
        <w:rPr>
          <w:rFonts w:cstheme="minorHAnsi"/>
          <w:b/>
          <w:sz w:val="24"/>
        </w:rPr>
        <w:t xml:space="preserve"> FEMP</w:t>
      </w:r>
    </w:p>
    <w:p w14:paraId="4DB42766" w14:textId="77777777" w:rsidR="00D6309F" w:rsidRDefault="00D6309F" w:rsidP="00D6309F">
      <w:pPr>
        <w:spacing w:after="0" w:line="240" w:lineRule="auto"/>
        <w:rPr>
          <w:rFonts w:cstheme="minorHAnsi"/>
        </w:rPr>
      </w:pPr>
    </w:p>
    <w:p w14:paraId="135853BE" w14:textId="77777777" w:rsidR="00026CA8" w:rsidRDefault="00241615" w:rsidP="00D6309F">
      <w:pPr>
        <w:spacing w:after="0" w:line="240" w:lineRule="auto"/>
        <w:rPr>
          <w:rFonts w:cstheme="minorHAnsi"/>
        </w:rPr>
      </w:pPr>
      <w:r>
        <w:rPr>
          <w:rFonts w:cstheme="minorHAnsi"/>
        </w:rPr>
        <w:t>Agencies are to report the Weather Normalization Adjustment</w:t>
      </w:r>
      <w:r w:rsidR="00143CA0">
        <w:rPr>
          <w:rFonts w:cstheme="minorHAnsi"/>
        </w:rPr>
        <w:t xml:space="preserve"> in the </w:t>
      </w:r>
      <w:r w:rsidR="00143CA0" w:rsidRPr="00143CA0">
        <w:rPr>
          <w:rFonts w:cstheme="minorHAnsi"/>
          <w:i/>
        </w:rPr>
        <w:t xml:space="preserve">Annual </w:t>
      </w:r>
      <w:r w:rsidR="00ED688D">
        <w:rPr>
          <w:rFonts w:cstheme="minorHAnsi"/>
          <w:i/>
        </w:rPr>
        <w:t>Energy</w:t>
      </w:r>
      <w:r w:rsidR="001F3F4B">
        <w:rPr>
          <w:rFonts w:cstheme="minorHAnsi"/>
          <w:i/>
        </w:rPr>
        <w:t xml:space="preserve"> Management</w:t>
      </w:r>
      <w:r w:rsidR="00ED688D" w:rsidRPr="00143CA0">
        <w:rPr>
          <w:rFonts w:cstheme="minorHAnsi"/>
          <w:i/>
        </w:rPr>
        <w:t xml:space="preserve"> </w:t>
      </w:r>
      <w:r w:rsidR="00143CA0" w:rsidRPr="00143CA0">
        <w:rPr>
          <w:rFonts w:cstheme="minorHAnsi"/>
          <w:i/>
        </w:rPr>
        <w:t>Data Report</w:t>
      </w:r>
      <w:r w:rsidR="00143CA0">
        <w:rPr>
          <w:rFonts w:cstheme="minorHAnsi"/>
        </w:rPr>
        <w:t xml:space="preserve"> on tab 4.4, Other Data in cell F14.  The adjustment should be entered as a negative number in terms of billion Btu.  </w:t>
      </w:r>
      <w:r w:rsidR="001D1EB5">
        <w:rPr>
          <w:rFonts w:cstheme="minorHAnsi"/>
        </w:rPr>
        <w:t>(</w:t>
      </w:r>
      <w:r w:rsidR="00143CA0">
        <w:rPr>
          <w:rFonts w:cstheme="minorHAnsi"/>
        </w:rPr>
        <w:t xml:space="preserve">The CTS benchmarking </w:t>
      </w:r>
      <w:r w:rsidR="00D150D6">
        <w:rPr>
          <w:rFonts w:cstheme="minorHAnsi"/>
        </w:rPr>
        <w:t>metrics</w:t>
      </w:r>
      <w:r w:rsidR="00143CA0">
        <w:rPr>
          <w:rFonts w:cstheme="minorHAnsi"/>
        </w:rPr>
        <w:t xml:space="preserve"> report </w:t>
      </w:r>
      <w:r w:rsidR="001D1EB5">
        <w:rPr>
          <w:rFonts w:cstheme="minorHAnsi"/>
        </w:rPr>
        <w:t>calculates</w:t>
      </w:r>
      <w:r w:rsidR="00143CA0">
        <w:rPr>
          <w:rFonts w:cstheme="minorHAnsi"/>
        </w:rPr>
        <w:t xml:space="preserve"> the adjustment in terms of million Btu, so</w:t>
      </w:r>
      <w:r w:rsidR="001D1EB5">
        <w:rPr>
          <w:rFonts w:cstheme="minorHAnsi"/>
        </w:rPr>
        <w:t xml:space="preserve"> divide by 1,000 before entering the adjustment as a negative number in cell F14.)</w:t>
      </w:r>
      <w:r w:rsidR="00D8461B">
        <w:rPr>
          <w:rFonts w:cstheme="minorHAnsi"/>
        </w:rPr>
        <w:t xml:space="preserve"> Example below:</w:t>
      </w:r>
    </w:p>
    <w:p w14:paraId="3E9151C7" w14:textId="77777777" w:rsidR="00D8461B" w:rsidRDefault="00D8461B" w:rsidP="00D6309F">
      <w:pPr>
        <w:spacing w:after="0" w:line="240" w:lineRule="auto"/>
        <w:rPr>
          <w:rFonts w:cstheme="minorHAnsi"/>
        </w:rPr>
      </w:pPr>
    </w:p>
    <w:p w14:paraId="67FB0A25" w14:textId="77777777" w:rsidR="00D8461B" w:rsidRPr="00D179EA" w:rsidRDefault="00F44746" w:rsidP="00D6309F">
      <w:pPr>
        <w:spacing w:after="0" w:line="240" w:lineRule="auto"/>
        <w:rPr>
          <w:rFonts w:cstheme="minorHAnsi"/>
          <w:b/>
          <w:i/>
        </w:rPr>
      </w:pPr>
      <w:r w:rsidRPr="00D179EA">
        <w:rPr>
          <w:rFonts w:cstheme="minorHAnsi"/>
          <w:b/>
          <w:i/>
        </w:rPr>
        <w:t xml:space="preserve">CTS Benchmarking </w:t>
      </w:r>
      <w:r w:rsidR="00D150D6">
        <w:rPr>
          <w:rFonts w:cstheme="minorHAnsi"/>
          <w:b/>
          <w:i/>
        </w:rPr>
        <w:t>Metrics</w:t>
      </w:r>
      <w:r w:rsidRPr="00D179EA">
        <w:rPr>
          <w:rFonts w:cstheme="minorHAnsi"/>
          <w:b/>
          <w:i/>
        </w:rPr>
        <w:t xml:space="preserve"> Report</w:t>
      </w:r>
    </w:p>
    <w:p w14:paraId="24C118E4" w14:textId="77777777" w:rsidR="00D8461B" w:rsidRDefault="00F44746" w:rsidP="00D6309F">
      <w:pPr>
        <w:spacing w:after="0" w:line="240" w:lineRule="auto"/>
        <w:rPr>
          <w:rFonts w:cstheme="minorHAnsi"/>
        </w:rPr>
      </w:pPr>
      <w:r w:rsidRPr="00F44746">
        <w:rPr>
          <w:noProof/>
        </w:rPr>
        <w:drawing>
          <wp:inline distT="0" distB="0" distL="0" distR="0" wp14:anchorId="53427C40" wp14:editId="38A58D6D">
            <wp:extent cx="5943600" cy="102090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020901"/>
                    </a:xfrm>
                    <a:prstGeom prst="rect">
                      <a:avLst/>
                    </a:prstGeom>
                    <a:noFill/>
                    <a:ln>
                      <a:noFill/>
                    </a:ln>
                  </pic:spPr>
                </pic:pic>
              </a:graphicData>
            </a:graphic>
          </wp:inline>
        </w:drawing>
      </w:r>
    </w:p>
    <w:p w14:paraId="1EE4A870" w14:textId="77777777" w:rsidR="00D8461B" w:rsidRPr="00143CA0" w:rsidRDefault="00D8461B" w:rsidP="00D6309F">
      <w:pPr>
        <w:spacing w:after="0" w:line="240" w:lineRule="auto"/>
        <w:rPr>
          <w:rFonts w:cstheme="minorHAnsi"/>
        </w:rPr>
      </w:pPr>
    </w:p>
    <w:p w14:paraId="451EA0B6" w14:textId="77777777" w:rsidR="00D179EA" w:rsidRPr="007B6770" w:rsidRDefault="00D179EA" w:rsidP="00D6309F">
      <w:pPr>
        <w:spacing w:after="0" w:line="240" w:lineRule="auto"/>
        <w:rPr>
          <w:rFonts w:cstheme="minorHAnsi"/>
          <w:b/>
          <w:i/>
        </w:rPr>
      </w:pPr>
      <w:r w:rsidRPr="007B6770">
        <w:rPr>
          <w:rFonts w:cstheme="minorHAnsi"/>
          <w:b/>
          <w:i/>
        </w:rPr>
        <w:t xml:space="preserve">Annual </w:t>
      </w:r>
      <w:r w:rsidR="00ED688D">
        <w:rPr>
          <w:rFonts w:cstheme="minorHAnsi"/>
          <w:b/>
          <w:i/>
        </w:rPr>
        <w:t>Energy</w:t>
      </w:r>
      <w:r w:rsidR="00ED688D" w:rsidRPr="007B6770">
        <w:rPr>
          <w:rFonts w:cstheme="minorHAnsi"/>
          <w:b/>
          <w:i/>
        </w:rPr>
        <w:t xml:space="preserve"> </w:t>
      </w:r>
      <w:r w:rsidR="001F3F4B">
        <w:rPr>
          <w:rFonts w:cstheme="minorHAnsi"/>
          <w:b/>
          <w:i/>
        </w:rPr>
        <w:t xml:space="preserve">Management </w:t>
      </w:r>
      <w:r w:rsidRPr="007B6770">
        <w:rPr>
          <w:rFonts w:cstheme="minorHAnsi"/>
          <w:b/>
          <w:i/>
        </w:rPr>
        <w:t>Data Report, tab 4.4, Other Data, cell F14</w:t>
      </w:r>
    </w:p>
    <w:p w14:paraId="43083FA8" w14:textId="77777777" w:rsidR="00D179EA" w:rsidRDefault="00D179EA" w:rsidP="00D6309F">
      <w:pPr>
        <w:spacing w:after="0" w:line="240" w:lineRule="auto"/>
        <w:rPr>
          <w:rFonts w:cstheme="minorHAnsi"/>
        </w:rPr>
      </w:pPr>
    </w:p>
    <w:p w14:paraId="2E7EEC32" w14:textId="77777777" w:rsidR="00D179EA" w:rsidRDefault="004E28CD" w:rsidP="00D6309F">
      <w:pPr>
        <w:spacing w:after="0" w:line="240" w:lineRule="auto"/>
        <w:rPr>
          <w:rFonts w:cstheme="minorHAnsi"/>
        </w:rPr>
      </w:pPr>
      <w:r w:rsidRPr="004E28CD">
        <w:rPr>
          <w:noProof/>
        </w:rPr>
        <w:drawing>
          <wp:inline distT="0" distB="0" distL="0" distR="0" wp14:anchorId="422F50D6" wp14:editId="2C3CEB19">
            <wp:extent cx="4743450" cy="3533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3450" cy="3533775"/>
                    </a:xfrm>
                    <a:prstGeom prst="rect">
                      <a:avLst/>
                    </a:prstGeom>
                    <a:noFill/>
                    <a:ln>
                      <a:noFill/>
                    </a:ln>
                  </pic:spPr>
                </pic:pic>
              </a:graphicData>
            </a:graphic>
          </wp:inline>
        </w:drawing>
      </w:r>
    </w:p>
    <w:p w14:paraId="5637FDAC" w14:textId="77777777" w:rsidR="00D179EA" w:rsidRDefault="00D179EA" w:rsidP="00D6309F">
      <w:pPr>
        <w:spacing w:after="0" w:line="240" w:lineRule="auto"/>
        <w:rPr>
          <w:rFonts w:cstheme="minorHAnsi"/>
        </w:rPr>
      </w:pPr>
    </w:p>
    <w:p w14:paraId="0268BB3F" w14:textId="77777777" w:rsidR="003442F2" w:rsidRPr="0037028A" w:rsidRDefault="003442F2" w:rsidP="00D6309F">
      <w:pPr>
        <w:spacing w:after="0" w:line="240" w:lineRule="auto"/>
        <w:rPr>
          <w:rFonts w:cstheme="minorHAnsi"/>
        </w:rPr>
      </w:pPr>
    </w:p>
    <w:p w14:paraId="06E40B33" w14:textId="77777777" w:rsidR="00702BF7" w:rsidRPr="00805C34" w:rsidRDefault="00702BF7" w:rsidP="00702BF7">
      <w:pPr>
        <w:numPr>
          <w:ilvl w:val="12"/>
          <w:numId w:val="0"/>
        </w:numPr>
        <w:tabs>
          <w:tab w:val="left"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8"/>
          <w:szCs w:val="28"/>
        </w:rPr>
      </w:pPr>
      <w:r>
        <w:rPr>
          <w:rFonts w:ascii="Arial" w:hAnsi="Arial" w:cs="Arial"/>
          <w:b/>
          <w:bCs/>
          <w:sz w:val="32"/>
          <w:szCs w:val="32"/>
        </w:rPr>
        <w:lastRenderedPageBreak/>
        <w:t>ATTACHMENT</w:t>
      </w:r>
      <w:r w:rsidRPr="00805C34">
        <w:rPr>
          <w:rFonts w:ascii="Arial" w:hAnsi="Arial" w:cs="Arial"/>
          <w:b/>
          <w:bCs/>
          <w:sz w:val="32"/>
          <w:szCs w:val="32"/>
        </w:rPr>
        <w:t xml:space="preserve"> </w:t>
      </w:r>
      <w:r w:rsidR="000F1993">
        <w:rPr>
          <w:rFonts w:ascii="Arial" w:hAnsi="Arial" w:cs="Arial"/>
          <w:b/>
          <w:bCs/>
          <w:sz w:val="32"/>
          <w:szCs w:val="32"/>
        </w:rPr>
        <w:t>4</w:t>
      </w:r>
    </w:p>
    <w:p w14:paraId="758E568E" w14:textId="77777777" w:rsidR="00DE142F" w:rsidRDefault="00702BF7" w:rsidP="00702BF7">
      <w:pPr>
        <w:jc w:val="center"/>
        <w:rPr>
          <w:rFonts w:ascii="Arial" w:hAnsi="Arial" w:cs="Arial"/>
          <w:b/>
          <w:bCs/>
          <w:sz w:val="32"/>
          <w:szCs w:val="32"/>
        </w:rPr>
      </w:pPr>
      <w:r w:rsidRPr="00456050">
        <w:rPr>
          <w:rFonts w:ascii="Arial" w:hAnsi="Arial" w:cs="Arial"/>
          <w:b/>
          <w:bCs/>
          <w:sz w:val="32"/>
          <w:szCs w:val="32"/>
        </w:rPr>
        <w:t xml:space="preserve">Guidance to Receive Credit </w:t>
      </w:r>
      <w:r w:rsidR="004D5357" w:rsidRPr="004D5357">
        <w:rPr>
          <w:rFonts w:ascii="Arial" w:hAnsi="Arial" w:cs="Arial"/>
          <w:b/>
          <w:bCs/>
          <w:sz w:val="32"/>
          <w:szCs w:val="32"/>
        </w:rPr>
        <w:t xml:space="preserve">on Energy Performance Goal </w:t>
      </w:r>
      <w:r w:rsidRPr="00702BF7">
        <w:rPr>
          <w:rFonts w:ascii="Arial" w:hAnsi="Arial" w:cs="Arial"/>
          <w:b/>
          <w:bCs/>
          <w:sz w:val="32"/>
          <w:szCs w:val="32"/>
        </w:rPr>
        <w:t>for Energy Intensity Improvements in Goal-Excluded Buildings</w:t>
      </w:r>
    </w:p>
    <w:p w14:paraId="709B6ACD" w14:textId="77777777" w:rsidR="003E7E17" w:rsidRDefault="003E7E17" w:rsidP="00702BF7">
      <w:pPr>
        <w:spacing w:after="0" w:line="240" w:lineRule="auto"/>
        <w:rPr>
          <w:rFonts w:cstheme="minorHAnsi"/>
          <w:b/>
          <w:sz w:val="24"/>
        </w:rPr>
      </w:pPr>
    </w:p>
    <w:p w14:paraId="155D3AAE" w14:textId="77777777" w:rsidR="00702BF7" w:rsidRPr="005E20C1" w:rsidRDefault="00702BF7" w:rsidP="00702BF7">
      <w:pPr>
        <w:spacing w:after="0" w:line="240" w:lineRule="auto"/>
        <w:rPr>
          <w:rFonts w:cstheme="minorHAnsi"/>
          <w:b/>
          <w:sz w:val="24"/>
        </w:rPr>
      </w:pPr>
      <w:r w:rsidRPr="005E20C1">
        <w:rPr>
          <w:rFonts w:cstheme="minorHAnsi"/>
          <w:b/>
          <w:sz w:val="24"/>
        </w:rPr>
        <w:t>Background</w:t>
      </w:r>
    </w:p>
    <w:p w14:paraId="34A0D098" w14:textId="77777777" w:rsidR="00702BF7" w:rsidRPr="0037028A" w:rsidRDefault="00702BF7" w:rsidP="00702BF7">
      <w:pPr>
        <w:spacing w:after="0" w:line="240" w:lineRule="auto"/>
        <w:rPr>
          <w:rFonts w:cstheme="minorHAnsi"/>
          <w:highlight w:val="yellow"/>
        </w:rPr>
      </w:pPr>
    </w:p>
    <w:p w14:paraId="186F3794" w14:textId="354876DB" w:rsidR="00702BF7" w:rsidRPr="00C21D48" w:rsidRDefault="00B425DC" w:rsidP="00702BF7">
      <w:pPr>
        <w:rPr>
          <w:rFonts w:cstheme="minorHAnsi"/>
        </w:rPr>
      </w:pPr>
      <w:r>
        <w:rPr>
          <w:rFonts w:cstheme="minorHAnsi"/>
        </w:rPr>
        <w:t>A</w:t>
      </w:r>
      <w:r w:rsidR="009F5086">
        <w:rPr>
          <w:rFonts w:cstheme="minorHAnsi"/>
        </w:rPr>
        <w:t>gencies may receive an</w:t>
      </w:r>
      <w:r w:rsidR="00702BF7">
        <w:rPr>
          <w:rFonts w:cstheme="minorHAnsi"/>
        </w:rPr>
        <w:t xml:space="preserve"> adjustment to the energy intensity goal performance metric (Btu/Gross Square Foot)</w:t>
      </w:r>
      <w:r w:rsidR="00775BD0">
        <w:rPr>
          <w:rFonts w:cstheme="minorHAnsi"/>
        </w:rPr>
        <w:t xml:space="preserve"> </w:t>
      </w:r>
      <w:r w:rsidRPr="00E90AEF">
        <w:t>for verified energy efficiency improvements at goal-excluded buildings</w:t>
      </w:r>
      <w:r>
        <w:t xml:space="preserve"> </w:t>
      </w:r>
      <w:r>
        <w:rPr>
          <w:rFonts w:cstheme="minorHAnsi"/>
        </w:rPr>
        <w:t>(</w:t>
      </w:r>
      <w:hyperlink r:id="rId35" w:history="1">
        <w:r w:rsidRPr="00C21D48">
          <w:rPr>
            <w:rStyle w:val="Hyperlink"/>
            <w:rFonts w:cstheme="minorHAnsi"/>
          </w:rPr>
          <w:t xml:space="preserve">Implementing Instructions for </w:t>
        </w:r>
        <w:r w:rsidRPr="00C21D48">
          <w:rPr>
            <w:rStyle w:val="Hyperlink"/>
            <w:rFonts w:cstheme="minorHAnsi"/>
            <w:i/>
            <w:iCs/>
          </w:rPr>
          <w:t>Executive Order 13</w:t>
        </w:r>
        <w:r>
          <w:rPr>
            <w:rStyle w:val="Hyperlink"/>
            <w:rFonts w:cstheme="minorHAnsi"/>
            <w:i/>
            <w:iCs/>
          </w:rPr>
          <w:t>834</w:t>
        </w:r>
        <w:r w:rsidRPr="00C21D48">
          <w:rPr>
            <w:rStyle w:val="Hyperlink"/>
            <w:rFonts w:cstheme="minorHAnsi"/>
            <w:i/>
            <w:iCs/>
          </w:rPr>
          <w:t xml:space="preserve"> </w:t>
        </w:r>
        <w:r>
          <w:rPr>
            <w:rStyle w:val="Hyperlink"/>
            <w:rFonts w:cstheme="minorHAnsi"/>
            <w:i/>
            <w:iCs/>
          </w:rPr>
          <w:t>Efficient Federal Operations</w:t>
        </w:r>
      </w:hyperlink>
      <w:r>
        <w:rPr>
          <w:rFonts w:cstheme="minorHAnsi"/>
          <w:i/>
          <w:iCs/>
        </w:rPr>
        <w:t xml:space="preserve"> </w:t>
      </w:r>
      <w:r>
        <w:rPr>
          <w:rFonts w:cstheme="minorHAnsi"/>
        </w:rPr>
        <w:t xml:space="preserve">(page 9)). </w:t>
      </w:r>
      <w:r w:rsidR="00377D5F" w:rsidRPr="00377D5F">
        <w:rPr>
          <w:rFonts w:cstheme="minorHAnsi"/>
        </w:rPr>
        <w:t>M</w:t>
      </w:r>
      <w:r w:rsidR="00377D5F">
        <w:rPr>
          <w:rFonts w:cstheme="minorHAnsi"/>
        </w:rPr>
        <w:t>easured and verified annual Btu</w:t>
      </w:r>
      <w:r w:rsidR="00377D5F" w:rsidRPr="00377D5F">
        <w:rPr>
          <w:rFonts w:cstheme="minorHAnsi"/>
        </w:rPr>
        <w:t xml:space="preserve"> savings from an efficiency improvement in a goal-excluded building </w:t>
      </w:r>
      <w:r w:rsidR="00377D5F">
        <w:rPr>
          <w:rFonts w:cstheme="minorHAnsi"/>
        </w:rPr>
        <w:t>are deducted from the total Btu</w:t>
      </w:r>
      <w:r w:rsidR="00377D5F" w:rsidRPr="00377D5F">
        <w:rPr>
          <w:rFonts w:cstheme="minorHAnsi"/>
        </w:rPr>
        <w:t xml:space="preserve"> consumed by the agency's goal-subject buildings while holding gross square feet con</w:t>
      </w:r>
      <w:bookmarkStart w:id="5" w:name="_GoBack"/>
      <w:bookmarkEnd w:id="5"/>
      <w:r w:rsidR="00377D5F" w:rsidRPr="00377D5F">
        <w:rPr>
          <w:rFonts w:cstheme="minorHAnsi"/>
        </w:rPr>
        <w:t>stant.</w:t>
      </w:r>
    </w:p>
    <w:p w14:paraId="7DB3F2DE" w14:textId="77777777" w:rsidR="00702BF7" w:rsidRDefault="00702BF7" w:rsidP="00702BF7">
      <w:pPr>
        <w:spacing w:after="0" w:line="240" w:lineRule="auto"/>
        <w:rPr>
          <w:rFonts w:cstheme="minorHAnsi"/>
          <w:b/>
          <w:sz w:val="24"/>
        </w:rPr>
      </w:pPr>
      <w:r w:rsidRPr="0037028A">
        <w:rPr>
          <w:rFonts w:cstheme="minorHAnsi"/>
          <w:b/>
          <w:sz w:val="24"/>
        </w:rPr>
        <w:t xml:space="preserve">Calculating </w:t>
      </w:r>
      <w:r>
        <w:rPr>
          <w:rFonts w:cstheme="minorHAnsi"/>
          <w:b/>
          <w:sz w:val="24"/>
        </w:rPr>
        <w:t>the Adjustment</w:t>
      </w:r>
    </w:p>
    <w:p w14:paraId="7B792123" w14:textId="77777777" w:rsidR="00702BF7" w:rsidRDefault="00702BF7" w:rsidP="00702BF7">
      <w:pPr>
        <w:spacing w:after="0" w:line="240" w:lineRule="auto"/>
        <w:rPr>
          <w:rFonts w:cstheme="minorHAnsi"/>
          <w:b/>
          <w:sz w:val="24"/>
        </w:rPr>
      </w:pPr>
    </w:p>
    <w:p w14:paraId="70F92A88" w14:textId="77777777" w:rsidR="001A5289" w:rsidRDefault="00377D5F" w:rsidP="001A5289">
      <w:r>
        <w:rPr>
          <w:rFonts w:cstheme="minorHAnsi"/>
        </w:rPr>
        <w:t>Under section 432 of the Energy Independence and Security Act of 2007 (EISA 432)</w:t>
      </w:r>
      <w:r w:rsidRPr="007C1D11">
        <w:rPr>
          <w:rFonts w:cstheme="minorHAnsi"/>
        </w:rPr>
        <w:t xml:space="preserve"> </w:t>
      </w:r>
      <w:r>
        <w:rPr>
          <w:rFonts w:cstheme="minorHAnsi"/>
        </w:rPr>
        <w:t>(42 U.S.C. § 8253(f</w:t>
      </w:r>
      <w:r w:rsidRPr="007C1D11">
        <w:rPr>
          <w:rFonts w:cstheme="minorHAnsi"/>
        </w:rPr>
        <w:t>)</w:t>
      </w:r>
      <w:r>
        <w:rPr>
          <w:rFonts w:cstheme="minorHAnsi"/>
        </w:rPr>
        <w:t>), a</w:t>
      </w:r>
      <w:r w:rsidRPr="007C1D11">
        <w:rPr>
          <w:rFonts w:cstheme="minorHAnsi"/>
        </w:rPr>
        <w:t xml:space="preserve">gencies </w:t>
      </w:r>
      <w:r>
        <w:rPr>
          <w:rFonts w:cstheme="minorHAnsi"/>
        </w:rPr>
        <w:t>are required to</w:t>
      </w:r>
      <w:r w:rsidR="007B5985">
        <w:rPr>
          <w:rFonts w:cstheme="minorHAnsi"/>
        </w:rPr>
        <w:t xml:space="preserve"> follow-up and v</w:t>
      </w:r>
      <w:r w:rsidR="007B5985" w:rsidRPr="007B5985">
        <w:rPr>
          <w:rFonts w:cstheme="minorHAnsi"/>
        </w:rPr>
        <w:t xml:space="preserve">erify </w:t>
      </w:r>
      <w:r w:rsidR="007B5985">
        <w:rPr>
          <w:rFonts w:cstheme="minorHAnsi"/>
        </w:rPr>
        <w:t>savings of efficiency/conservation measures</w:t>
      </w:r>
      <w:r w:rsidR="007B5985" w:rsidRPr="007B5985">
        <w:rPr>
          <w:rFonts w:cstheme="minorHAnsi"/>
        </w:rPr>
        <w:t xml:space="preserve"> (ECMs)</w:t>
      </w:r>
      <w:r w:rsidR="007B5985">
        <w:rPr>
          <w:rFonts w:cstheme="minorHAnsi"/>
        </w:rPr>
        <w:t xml:space="preserve"> implemented in facilities covered by the statutory requirement.</w:t>
      </w:r>
      <w:r w:rsidR="00A05AD0">
        <w:rPr>
          <w:rFonts w:cstheme="minorHAnsi"/>
        </w:rPr>
        <w:t xml:space="preserve">  </w:t>
      </w:r>
      <w:r w:rsidR="003B3657">
        <w:rPr>
          <w:rFonts w:cstheme="minorHAnsi"/>
        </w:rPr>
        <w:t xml:space="preserve">FEMP’s </w:t>
      </w:r>
      <w:hyperlink r:id="rId36" w:history="1">
        <w:r w:rsidR="003B3657" w:rsidRPr="001F6461">
          <w:rPr>
            <w:rStyle w:val="Hyperlink"/>
            <w:rFonts w:cstheme="minorHAnsi"/>
            <w:i/>
          </w:rPr>
          <w:t>Guidance for the Implementation and Follow-up of Identified Energy and Water Efficiency Measures in Covered Fac</w:t>
        </w:r>
        <w:r w:rsidR="00F74AFA" w:rsidRPr="001F6461">
          <w:rPr>
            <w:rStyle w:val="Hyperlink"/>
            <w:rFonts w:cstheme="minorHAnsi"/>
            <w:i/>
          </w:rPr>
          <w:t>ilities</w:t>
        </w:r>
      </w:hyperlink>
      <w:r w:rsidR="003B3657">
        <w:rPr>
          <w:rFonts w:cstheme="minorHAnsi"/>
        </w:rPr>
        <w:t xml:space="preserve">, </w:t>
      </w:r>
      <w:r w:rsidR="003B3657" w:rsidRPr="003B3657">
        <w:rPr>
          <w:rFonts w:cstheme="minorHAnsi"/>
        </w:rPr>
        <w:t>September 2012</w:t>
      </w:r>
      <w:r w:rsidR="003B3657">
        <w:rPr>
          <w:rFonts w:cstheme="minorHAnsi"/>
        </w:rPr>
        <w:t xml:space="preserve">, </w:t>
      </w:r>
      <w:r w:rsidR="001A5289">
        <w:rPr>
          <w:rFonts w:cstheme="minorHAnsi"/>
        </w:rPr>
        <w:t xml:space="preserve">outlines </w:t>
      </w:r>
      <w:r w:rsidR="001A5289">
        <w:t>the appropriate level of m</w:t>
      </w:r>
      <w:r w:rsidR="001A5289" w:rsidRPr="00676540">
        <w:t xml:space="preserve">easurement </w:t>
      </w:r>
      <w:r w:rsidR="001A5289">
        <w:t>and v</w:t>
      </w:r>
      <w:r w:rsidR="001A5289" w:rsidRPr="00676540">
        <w:t xml:space="preserve">erification (M&amp;V) </w:t>
      </w:r>
      <w:r w:rsidR="001A5289">
        <w:t>to</w:t>
      </w:r>
      <w:r w:rsidR="001A5289" w:rsidRPr="00676540">
        <w:t xml:space="preserve"> </w:t>
      </w:r>
      <w:r w:rsidR="001A5289">
        <w:t>determine</w:t>
      </w:r>
      <w:r w:rsidR="001A5289" w:rsidRPr="00676540">
        <w:t xml:space="preserve"> </w:t>
      </w:r>
      <w:r w:rsidR="001A5289">
        <w:t xml:space="preserve">that </w:t>
      </w:r>
      <w:r w:rsidR="001A5289" w:rsidRPr="00676540">
        <w:t>the energy savin</w:t>
      </w:r>
      <w:r w:rsidR="001A5289">
        <w:t>gs derived from completed projects or ECMs can</w:t>
      </w:r>
      <w:r w:rsidR="001A5289" w:rsidRPr="00291F3A">
        <w:t xml:space="preserve"> </w:t>
      </w:r>
      <w:r w:rsidR="001A5289">
        <w:t>be verified with a certain degree of confidence</w:t>
      </w:r>
      <w:r w:rsidR="001A5289" w:rsidRPr="002918A7">
        <w:t xml:space="preserve">.  </w:t>
      </w:r>
      <w:r w:rsidR="001A5289">
        <w:t xml:space="preserve">More detailed M&amp;V approaches and guidance are also included in FEMP’s </w:t>
      </w:r>
      <w:hyperlink r:id="rId37" w:history="1">
        <w:r w:rsidR="001B5FF7" w:rsidRPr="001B5FF7">
          <w:rPr>
            <w:rStyle w:val="Hyperlink"/>
            <w:i/>
          </w:rPr>
          <w:t>M&amp;V Guidelines: Measurement and Verification for Performance-Based Contracts, Version 4.0</w:t>
        </w:r>
      </w:hyperlink>
      <w:r w:rsidR="00B806F7">
        <w:t xml:space="preserve">, November </w:t>
      </w:r>
      <w:r w:rsidR="001B5FF7">
        <w:t>2015.</w:t>
      </w:r>
    </w:p>
    <w:p w14:paraId="21E19620" w14:textId="77777777" w:rsidR="003E7E17" w:rsidRDefault="00A05AD0" w:rsidP="00377D5F">
      <w:pPr>
        <w:rPr>
          <w:rFonts w:cstheme="minorHAnsi"/>
        </w:rPr>
      </w:pPr>
      <w:r>
        <w:rPr>
          <w:rFonts w:cstheme="minorHAnsi"/>
        </w:rPr>
        <w:t xml:space="preserve">The findings of this project follow-up activity, in terms of measured and verified annual energy savings attributable to the implemented projects, are required to be reported in </w:t>
      </w:r>
      <w:r w:rsidRPr="0096362D">
        <w:rPr>
          <w:rFonts w:cstheme="minorHAnsi"/>
        </w:rPr>
        <w:t>DOE</w:t>
      </w:r>
      <w:r>
        <w:rPr>
          <w:rFonts w:cstheme="minorHAnsi"/>
        </w:rPr>
        <w:t xml:space="preserve"> FEMP</w:t>
      </w:r>
      <w:r w:rsidRPr="0096362D">
        <w:rPr>
          <w:rFonts w:cstheme="minorHAnsi"/>
        </w:rPr>
        <w:t>'s web-based Compliance Tracking System</w:t>
      </w:r>
      <w:r>
        <w:rPr>
          <w:rFonts w:cstheme="minorHAnsi"/>
        </w:rPr>
        <w:t xml:space="preserve"> (CTS).  </w:t>
      </w:r>
      <w:r w:rsidR="00652412">
        <w:rPr>
          <w:rFonts w:cstheme="minorHAnsi"/>
        </w:rPr>
        <w:t>CTS will be the documenting system for capturing and reporting the measured savings from</w:t>
      </w:r>
      <w:r>
        <w:rPr>
          <w:rFonts w:cstheme="minorHAnsi"/>
        </w:rPr>
        <w:t xml:space="preserve"> </w:t>
      </w:r>
      <w:r w:rsidR="00652412">
        <w:rPr>
          <w:rFonts w:cstheme="minorHAnsi"/>
        </w:rPr>
        <w:t>projects implemented in facilities excluded from the energy intensity performance goal.</w:t>
      </w:r>
      <w:r w:rsidR="008C45FE">
        <w:rPr>
          <w:rFonts w:cstheme="minorHAnsi"/>
        </w:rPr>
        <w:t xml:space="preserve"> Agencies should report in </w:t>
      </w:r>
      <w:r w:rsidR="006C2C9A">
        <w:rPr>
          <w:rFonts w:cstheme="minorHAnsi"/>
        </w:rPr>
        <w:t xml:space="preserve">the </w:t>
      </w:r>
      <w:r w:rsidR="008C45FE">
        <w:rPr>
          <w:rFonts w:cstheme="minorHAnsi"/>
        </w:rPr>
        <w:t>CTS</w:t>
      </w:r>
      <w:r w:rsidR="006C2C9A">
        <w:rPr>
          <w:rFonts w:cstheme="minorHAnsi"/>
        </w:rPr>
        <w:t xml:space="preserve"> Projects Module</w:t>
      </w:r>
      <w:r w:rsidR="008C45FE">
        <w:rPr>
          <w:rFonts w:cstheme="minorHAnsi"/>
        </w:rPr>
        <w:t xml:space="preserve"> the measured savings </w:t>
      </w:r>
      <w:r w:rsidR="000C54D0">
        <w:rPr>
          <w:rFonts w:cstheme="minorHAnsi"/>
        </w:rPr>
        <w:t>revealed in the</w:t>
      </w:r>
      <w:r w:rsidR="008C45FE">
        <w:rPr>
          <w:rFonts w:cstheme="minorHAnsi"/>
        </w:rPr>
        <w:t xml:space="preserve"> follow-up activities conducted for implemented projects as requ</w:t>
      </w:r>
      <w:r w:rsidR="006C2C9A">
        <w:rPr>
          <w:rFonts w:cstheme="minorHAnsi"/>
        </w:rPr>
        <w:t>ired by 42 U.S.C. § 8253(f</w:t>
      </w:r>
      <w:r w:rsidR="006C2C9A" w:rsidRPr="007C1D11">
        <w:rPr>
          <w:rFonts w:cstheme="minorHAnsi"/>
        </w:rPr>
        <w:t>)</w:t>
      </w:r>
      <w:r w:rsidR="006C2C9A">
        <w:rPr>
          <w:rFonts w:cstheme="minorHAnsi"/>
        </w:rPr>
        <w:t xml:space="preserve">(5).  </w:t>
      </w:r>
    </w:p>
    <w:p w14:paraId="664900B2" w14:textId="77777777" w:rsidR="00052588" w:rsidRDefault="006C2C9A" w:rsidP="00377D5F">
      <w:pPr>
        <w:rPr>
          <w:rFonts w:cstheme="minorHAnsi"/>
        </w:rPr>
      </w:pPr>
      <w:r>
        <w:rPr>
          <w:rFonts w:cstheme="minorHAnsi"/>
        </w:rPr>
        <w:t>CTS typically captures data for “covered facilities” designated by agencies as subject to the EISA 432 requirements.</w:t>
      </w:r>
      <w:r w:rsidR="009B774E">
        <w:rPr>
          <w:rFonts w:cstheme="minorHAnsi"/>
        </w:rPr>
        <w:t xml:space="preserve"> EISA 432 “covered facilities” are a distinct category from “goal-subject” and “goal-excluded” buildings as defined under the energy intensity reduction goal.</w:t>
      </w:r>
      <w:r w:rsidR="00100019">
        <w:rPr>
          <w:rFonts w:cstheme="minorHAnsi"/>
        </w:rPr>
        <w:t xml:space="preserve">  Recognizing that some agencies may not consider “goal-excluded” facilities as “covered facilities” under EISA 432 requirements, CTS has the capability to accept data for facilities designated as “non-covered” under EISA 432.  This will allow agencies to report their measured savings from projects in “goal-excluded” buildings </w:t>
      </w:r>
      <w:r w:rsidR="00086D32">
        <w:rPr>
          <w:rFonts w:cstheme="minorHAnsi"/>
        </w:rPr>
        <w:t xml:space="preserve">into CTS </w:t>
      </w:r>
      <w:r w:rsidR="00100019">
        <w:rPr>
          <w:rFonts w:cstheme="minorHAnsi"/>
        </w:rPr>
        <w:t>even though they are not EISA</w:t>
      </w:r>
      <w:r w:rsidR="00CC2869">
        <w:rPr>
          <w:rFonts w:cstheme="minorHAnsi"/>
        </w:rPr>
        <w:t xml:space="preserve"> 432</w:t>
      </w:r>
      <w:r w:rsidR="00086D32">
        <w:rPr>
          <w:rFonts w:cstheme="minorHAnsi"/>
        </w:rPr>
        <w:t xml:space="preserve"> “covered facil</w:t>
      </w:r>
      <w:r w:rsidR="007F7E60">
        <w:rPr>
          <w:rFonts w:cstheme="minorHAnsi"/>
        </w:rPr>
        <w:t>i</w:t>
      </w:r>
      <w:r w:rsidR="00086D32">
        <w:rPr>
          <w:rFonts w:cstheme="minorHAnsi"/>
        </w:rPr>
        <w:t>ties”.</w:t>
      </w:r>
      <w:r w:rsidR="00CC2869">
        <w:rPr>
          <w:rFonts w:cstheme="minorHAnsi"/>
        </w:rPr>
        <w:t xml:space="preserve">  </w:t>
      </w:r>
    </w:p>
    <w:p w14:paraId="19AC99EA" w14:textId="77777777" w:rsidR="00CC2869" w:rsidRDefault="00CC2869" w:rsidP="00377D5F">
      <w:pPr>
        <w:rPr>
          <w:rFonts w:cstheme="minorHAnsi"/>
        </w:rPr>
      </w:pPr>
      <w:r>
        <w:rPr>
          <w:rFonts w:cstheme="minorHAnsi"/>
        </w:rPr>
        <w:lastRenderedPageBreak/>
        <w:t>Agencies designate “Non-Covered Facilities” in CTS in the Facility Detail tab as illustrated below:</w:t>
      </w:r>
      <w:r w:rsidR="00E60F00" w:rsidRPr="00E60F00">
        <w:rPr>
          <w:rFonts w:cstheme="minorHAnsi"/>
          <w:noProof/>
        </w:rPr>
        <w:drawing>
          <wp:inline distT="0" distB="0" distL="0" distR="0" wp14:anchorId="3813F141" wp14:editId="701B15EA">
            <wp:extent cx="5943600" cy="284543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a:srcRect l="9000" t="12716" r="59667" b="33950"/>
                    <a:stretch/>
                  </pic:blipFill>
                  <pic:spPr>
                    <a:xfrm>
                      <a:off x="0" y="0"/>
                      <a:ext cx="5943600" cy="2845435"/>
                    </a:xfrm>
                    <a:prstGeom prst="rect">
                      <a:avLst/>
                    </a:prstGeom>
                  </pic:spPr>
                </pic:pic>
              </a:graphicData>
            </a:graphic>
          </wp:inline>
        </w:drawing>
      </w:r>
    </w:p>
    <w:p w14:paraId="0D99530B" w14:textId="77777777" w:rsidR="00B8734B" w:rsidRDefault="00B8734B" w:rsidP="00377D5F">
      <w:pPr>
        <w:rPr>
          <w:rFonts w:cstheme="minorHAnsi"/>
        </w:rPr>
      </w:pPr>
    </w:p>
    <w:p w14:paraId="4E1386D7" w14:textId="77777777" w:rsidR="00CC2869" w:rsidRDefault="00CC2869" w:rsidP="00377D5F">
      <w:pPr>
        <w:rPr>
          <w:rFonts w:cstheme="minorHAnsi"/>
        </w:rPr>
      </w:pPr>
      <w:r>
        <w:rPr>
          <w:rFonts w:cstheme="minorHAnsi"/>
        </w:rPr>
        <w:t>Agencies designate energy intensity goal status in CTS in the Annual Footprint tab as illustrated below:</w:t>
      </w:r>
    </w:p>
    <w:p w14:paraId="5E28C8A2" w14:textId="77777777" w:rsidR="00CC2869" w:rsidRDefault="00E60F00" w:rsidP="00377D5F">
      <w:pPr>
        <w:rPr>
          <w:rFonts w:cstheme="minorHAnsi"/>
        </w:rPr>
      </w:pPr>
      <w:r w:rsidRPr="00E60F00">
        <w:rPr>
          <w:rFonts w:cstheme="minorHAnsi"/>
          <w:noProof/>
        </w:rPr>
        <w:drawing>
          <wp:inline distT="0" distB="0" distL="0" distR="0" wp14:anchorId="5A24A0E7" wp14:editId="4A3D912A">
            <wp:extent cx="5943600" cy="2105660"/>
            <wp:effectExtent l="0" t="0" r="0" b="889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9"/>
                    <a:srcRect l="9057" t="28766" r="59430" b="31542"/>
                    <a:stretch/>
                  </pic:blipFill>
                  <pic:spPr>
                    <a:xfrm>
                      <a:off x="0" y="0"/>
                      <a:ext cx="5943600" cy="2105660"/>
                    </a:xfrm>
                    <a:prstGeom prst="rect">
                      <a:avLst/>
                    </a:prstGeom>
                  </pic:spPr>
                </pic:pic>
              </a:graphicData>
            </a:graphic>
          </wp:inline>
        </w:drawing>
      </w:r>
    </w:p>
    <w:p w14:paraId="5DA5E995" w14:textId="77777777" w:rsidR="005E306A" w:rsidRDefault="005E306A">
      <w:pPr>
        <w:rPr>
          <w:rFonts w:cstheme="minorHAnsi"/>
        </w:rPr>
      </w:pPr>
      <w:r>
        <w:rPr>
          <w:rFonts w:cstheme="minorHAnsi"/>
        </w:rPr>
        <w:br w:type="page"/>
      </w:r>
    </w:p>
    <w:p w14:paraId="40FEE733" w14:textId="77777777" w:rsidR="00167D1A" w:rsidRDefault="00002B0E" w:rsidP="00377D5F">
      <w:pPr>
        <w:rPr>
          <w:rFonts w:cstheme="minorHAnsi"/>
        </w:rPr>
      </w:pPr>
      <w:r>
        <w:rPr>
          <w:rFonts w:cstheme="minorHAnsi"/>
        </w:rPr>
        <w:lastRenderedPageBreak/>
        <w:t>Only measured savings from projects in “goal excluded” buildings are included in the energy intensity performance goal credit.  Measured project savings in “goal-subject” buildings are, by definition, already impacting the energy intensity goal performance metric of Btu/Gross Square Foot.</w:t>
      </w:r>
      <w:r w:rsidR="007F7E60">
        <w:rPr>
          <w:rFonts w:cstheme="minorHAnsi"/>
        </w:rPr>
        <w:t xml:space="preserve"> Therefore, agencies will need to filter the CTS Follow-up Activity report</w:t>
      </w:r>
      <w:r w:rsidR="00997DBA">
        <w:rPr>
          <w:rFonts w:cstheme="minorHAnsi"/>
        </w:rPr>
        <w:t xml:space="preserve"> </w:t>
      </w:r>
      <w:r w:rsidR="00997DBA">
        <w:rPr>
          <w:rFonts w:cstheme="minorHAnsi"/>
          <w:bCs/>
        </w:rPr>
        <w:t xml:space="preserve">(see: </w:t>
      </w:r>
      <w:hyperlink r:id="rId40" w:history="1">
        <w:r w:rsidR="00DE2302" w:rsidRPr="000E1ACF">
          <w:rPr>
            <w:rStyle w:val="Hyperlink"/>
            <w:rFonts w:cstheme="minorHAnsi"/>
            <w:bCs/>
          </w:rPr>
          <w:t>https://www.eisa-432-cts.eere.energy.gov/ EISACTS/Reports/Reports.aspx</w:t>
        </w:r>
      </w:hyperlink>
      <w:r w:rsidR="00997DBA">
        <w:rPr>
          <w:rFonts w:cstheme="minorHAnsi"/>
          <w:bCs/>
        </w:rPr>
        <w:t>)</w:t>
      </w:r>
      <w:r w:rsidR="007F7E60">
        <w:rPr>
          <w:rFonts w:cstheme="minorHAnsi"/>
        </w:rPr>
        <w:t xml:space="preserve"> to include</w:t>
      </w:r>
      <w:r w:rsidR="00997DBA">
        <w:rPr>
          <w:rFonts w:cstheme="minorHAnsi"/>
        </w:rPr>
        <w:t xml:space="preserve"> project follow-up findings for </w:t>
      </w:r>
      <w:r w:rsidR="00997DBA" w:rsidRPr="00997DBA">
        <w:rPr>
          <w:rFonts w:cstheme="minorHAnsi"/>
          <w:u w:val="single"/>
        </w:rPr>
        <w:t>only</w:t>
      </w:r>
      <w:r w:rsidR="00997DBA">
        <w:rPr>
          <w:rFonts w:cstheme="minorHAnsi"/>
        </w:rPr>
        <w:t xml:space="preserve"> “goal-excluded” buildings for </w:t>
      </w:r>
      <w:r w:rsidR="00997DBA" w:rsidRPr="00997DBA">
        <w:rPr>
          <w:rFonts w:cstheme="minorHAnsi"/>
          <w:u w:val="single"/>
        </w:rPr>
        <w:t>both</w:t>
      </w:r>
      <w:r w:rsidR="00997DBA">
        <w:rPr>
          <w:rFonts w:cstheme="minorHAnsi"/>
        </w:rPr>
        <w:t xml:space="preserve"> EISA 432 “covered” and “uncovered” facilities.  This is illustrated below</w:t>
      </w:r>
      <w:r w:rsidR="00167D1A">
        <w:rPr>
          <w:rFonts w:cstheme="minorHAnsi"/>
        </w:rPr>
        <w:t>:</w:t>
      </w:r>
    </w:p>
    <w:p w14:paraId="0DF862DA" w14:textId="77777777" w:rsidR="00070BBA" w:rsidRDefault="00DE2302" w:rsidP="00377D5F">
      <w:pPr>
        <w:rPr>
          <w:rFonts w:cstheme="minorHAnsi"/>
        </w:rPr>
      </w:pPr>
      <w:r w:rsidRPr="00E35DAD">
        <w:rPr>
          <w:rFonts w:cstheme="minorHAnsi"/>
          <w:b/>
          <w:noProof/>
          <w:sz w:val="24"/>
        </w:rPr>
        <w:drawing>
          <wp:inline distT="0" distB="0" distL="0" distR="0" wp14:anchorId="36F6CA88" wp14:editId="34C487D1">
            <wp:extent cx="5943600" cy="196786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1"/>
                    <a:srcRect l="8959" t="14074" r="59583" b="48889"/>
                    <a:stretch/>
                  </pic:blipFill>
                  <pic:spPr>
                    <a:xfrm>
                      <a:off x="0" y="0"/>
                      <a:ext cx="5943600" cy="1967865"/>
                    </a:xfrm>
                    <a:prstGeom prst="rect">
                      <a:avLst/>
                    </a:prstGeom>
                  </pic:spPr>
                </pic:pic>
              </a:graphicData>
            </a:graphic>
          </wp:inline>
        </w:drawing>
      </w:r>
    </w:p>
    <w:p w14:paraId="0CF4F813" w14:textId="77777777" w:rsidR="00167D1A" w:rsidRDefault="00167D1A" w:rsidP="00167D1A">
      <w:pPr>
        <w:rPr>
          <w:rFonts w:cstheme="minorHAnsi"/>
        </w:rPr>
      </w:pPr>
      <w:r>
        <w:rPr>
          <w:rFonts w:cstheme="minorHAnsi"/>
        </w:rPr>
        <w:t xml:space="preserve">The FEMP CTS team (email: </w:t>
      </w:r>
      <w:hyperlink r:id="rId42" w:history="1">
        <w:r w:rsidRPr="00897AFB">
          <w:rPr>
            <w:rStyle w:val="Hyperlink"/>
          </w:rPr>
          <w:t>EERE_CTS@ee.doe.gov</w:t>
        </w:r>
      </w:hyperlink>
      <w:r>
        <w:t>) is also available to assist.  In the near future, FEMP will develop a custom report for this purpose with the filters pre-set.</w:t>
      </w:r>
    </w:p>
    <w:p w14:paraId="2CDDB131" w14:textId="77777777" w:rsidR="00167D1A" w:rsidRDefault="00907D3F" w:rsidP="00514407">
      <w:pPr>
        <w:spacing w:after="0" w:line="240" w:lineRule="auto"/>
        <w:rPr>
          <w:rFonts w:cstheme="minorHAnsi"/>
          <w:b/>
          <w:sz w:val="24"/>
        </w:rPr>
      </w:pPr>
      <w:r>
        <w:rPr>
          <w:rFonts w:cstheme="minorHAnsi"/>
        </w:rPr>
        <w:t>The CTS Follow-up</w:t>
      </w:r>
      <w:r w:rsidR="00EA20FE">
        <w:rPr>
          <w:rFonts w:cstheme="minorHAnsi"/>
        </w:rPr>
        <w:t xml:space="preserve"> report </w:t>
      </w:r>
      <w:r>
        <w:rPr>
          <w:rFonts w:cstheme="minorHAnsi"/>
        </w:rPr>
        <w:t xml:space="preserve">includes the </w:t>
      </w:r>
      <w:r w:rsidR="00EA20FE">
        <w:rPr>
          <w:rFonts w:cstheme="minorHAnsi"/>
        </w:rPr>
        <w:t xml:space="preserve">agency total </w:t>
      </w:r>
      <w:r w:rsidR="001F3866">
        <w:rPr>
          <w:rFonts w:cstheme="minorHAnsi"/>
        </w:rPr>
        <w:t xml:space="preserve">of </w:t>
      </w:r>
      <w:r w:rsidR="00E8137C">
        <w:rPr>
          <w:rFonts w:cstheme="minorHAnsi"/>
          <w:bCs/>
        </w:rPr>
        <w:t>Measured Annual Energy Savings</w:t>
      </w:r>
      <w:r>
        <w:rPr>
          <w:rFonts w:cstheme="minorHAnsi"/>
          <w:bCs/>
        </w:rPr>
        <w:t xml:space="preserve"> in terms of site-delivered m</w:t>
      </w:r>
      <w:r w:rsidRPr="00B64AAD">
        <w:rPr>
          <w:rFonts w:cstheme="minorHAnsi"/>
          <w:bCs/>
        </w:rPr>
        <w:t>illion Btu</w:t>
      </w:r>
      <w:r>
        <w:rPr>
          <w:rFonts w:cstheme="minorHAnsi"/>
          <w:bCs/>
        </w:rPr>
        <w:t xml:space="preserve"> </w:t>
      </w:r>
      <w:r w:rsidR="00E8137C">
        <w:rPr>
          <w:rFonts w:cstheme="minorHAnsi"/>
          <w:bCs/>
        </w:rPr>
        <w:t>in</w:t>
      </w:r>
      <w:r>
        <w:rPr>
          <w:rFonts w:cstheme="minorHAnsi"/>
          <w:bCs/>
        </w:rPr>
        <w:t xml:space="preserve"> the </w:t>
      </w:r>
      <w:r w:rsidR="00E8137C">
        <w:rPr>
          <w:rFonts w:cstheme="minorHAnsi"/>
          <w:bCs/>
        </w:rPr>
        <w:t>fourth</w:t>
      </w:r>
      <w:r>
        <w:rPr>
          <w:rFonts w:cstheme="minorHAnsi"/>
          <w:bCs/>
        </w:rPr>
        <w:t xml:space="preserve"> column of the data table for the agency</w:t>
      </w:r>
      <w:r w:rsidR="00E8137C">
        <w:rPr>
          <w:rFonts w:cstheme="minorHAnsi"/>
          <w:bCs/>
        </w:rPr>
        <w:t>.</w:t>
      </w:r>
    </w:p>
    <w:p w14:paraId="4FE378CB" w14:textId="77777777" w:rsidR="00167D1A" w:rsidRDefault="00167D1A" w:rsidP="00514407">
      <w:pPr>
        <w:spacing w:after="0" w:line="240" w:lineRule="auto"/>
        <w:rPr>
          <w:rFonts w:cstheme="minorHAnsi"/>
          <w:b/>
          <w:sz w:val="24"/>
        </w:rPr>
      </w:pPr>
    </w:p>
    <w:p w14:paraId="649DF556" w14:textId="77777777" w:rsidR="00514407" w:rsidRPr="0037028A" w:rsidRDefault="00514407" w:rsidP="004736A4">
      <w:pPr>
        <w:rPr>
          <w:rFonts w:cstheme="minorHAnsi"/>
          <w:b/>
          <w:sz w:val="24"/>
        </w:rPr>
      </w:pPr>
      <w:r>
        <w:rPr>
          <w:rFonts w:cstheme="minorHAnsi"/>
          <w:b/>
          <w:sz w:val="24"/>
        </w:rPr>
        <w:t>Reporting</w:t>
      </w:r>
      <w:r w:rsidRPr="0037028A">
        <w:rPr>
          <w:rFonts w:cstheme="minorHAnsi"/>
          <w:b/>
          <w:sz w:val="24"/>
        </w:rPr>
        <w:t xml:space="preserve"> to DOE</w:t>
      </w:r>
      <w:r>
        <w:rPr>
          <w:rFonts w:cstheme="minorHAnsi"/>
          <w:b/>
          <w:sz w:val="24"/>
        </w:rPr>
        <w:t xml:space="preserve"> FEMP</w:t>
      </w:r>
    </w:p>
    <w:p w14:paraId="1AD9CC2C" w14:textId="77777777" w:rsidR="00514407" w:rsidRDefault="00514407" w:rsidP="00514407">
      <w:pPr>
        <w:spacing w:after="0" w:line="240" w:lineRule="auto"/>
        <w:rPr>
          <w:rFonts w:cstheme="minorHAnsi"/>
        </w:rPr>
      </w:pPr>
      <w:r>
        <w:rPr>
          <w:rFonts w:cstheme="minorHAnsi"/>
        </w:rPr>
        <w:t xml:space="preserve">Agencies are to report Energy Savings in Goal Excluded Facilities in the </w:t>
      </w:r>
      <w:r w:rsidRPr="00143CA0">
        <w:rPr>
          <w:rFonts w:cstheme="minorHAnsi"/>
          <w:i/>
        </w:rPr>
        <w:t xml:space="preserve">Annual </w:t>
      </w:r>
      <w:r w:rsidR="00ED688D">
        <w:rPr>
          <w:rFonts w:cstheme="minorHAnsi"/>
          <w:i/>
        </w:rPr>
        <w:t>Energy</w:t>
      </w:r>
      <w:r w:rsidR="001F3F4B">
        <w:rPr>
          <w:rFonts w:cstheme="minorHAnsi"/>
          <w:i/>
        </w:rPr>
        <w:t xml:space="preserve"> Management</w:t>
      </w:r>
      <w:r w:rsidR="00ED688D" w:rsidRPr="00143CA0">
        <w:rPr>
          <w:rFonts w:cstheme="minorHAnsi"/>
          <w:i/>
        </w:rPr>
        <w:t xml:space="preserve"> </w:t>
      </w:r>
      <w:r w:rsidRPr="00143CA0">
        <w:rPr>
          <w:rFonts w:cstheme="minorHAnsi"/>
          <w:i/>
        </w:rPr>
        <w:t>Data Report</w:t>
      </w:r>
      <w:r>
        <w:rPr>
          <w:rFonts w:cstheme="minorHAnsi"/>
        </w:rPr>
        <w:t xml:space="preserve"> on tab 4.4, Other Data in cell F11.  The adjustment should be entered as a negative number in terms of billion Btu.  (The CTS Project Follow-up Activity report calculates the adjustment in terms of million Btu, so divide by 1,000 before entering the adjustment as a negative number in cell F11.) Example below</w:t>
      </w:r>
      <w:r w:rsidR="00B8734B">
        <w:rPr>
          <w:rFonts w:cstheme="minorHAnsi"/>
        </w:rPr>
        <w:t xml:space="preserve"> and on the next page</w:t>
      </w:r>
      <w:r>
        <w:rPr>
          <w:rFonts w:cstheme="minorHAnsi"/>
        </w:rPr>
        <w:t>:</w:t>
      </w:r>
    </w:p>
    <w:p w14:paraId="307A64FD" w14:textId="77777777" w:rsidR="001F3866" w:rsidRDefault="001F3866" w:rsidP="00514407">
      <w:pPr>
        <w:spacing w:after="0" w:line="240" w:lineRule="auto"/>
        <w:rPr>
          <w:rFonts w:cstheme="minorHAnsi"/>
        </w:rPr>
      </w:pPr>
    </w:p>
    <w:p w14:paraId="62810FCE" w14:textId="77777777" w:rsidR="00070BBA" w:rsidRPr="00070BBA" w:rsidRDefault="00070BBA" w:rsidP="00514407">
      <w:pPr>
        <w:spacing w:after="0" w:line="240" w:lineRule="auto"/>
        <w:rPr>
          <w:rFonts w:cstheme="minorHAnsi"/>
          <w:b/>
          <w:i/>
        </w:rPr>
      </w:pPr>
      <w:r w:rsidRPr="00D179EA">
        <w:rPr>
          <w:rFonts w:cstheme="minorHAnsi"/>
          <w:b/>
          <w:i/>
        </w:rPr>
        <w:t xml:space="preserve">CTS </w:t>
      </w:r>
      <w:r>
        <w:rPr>
          <w:rFonts w:cstheme="minorHAnsi"/>
          <w:b/>
          <w:i/>
        </w:rPr>
        <w:t>Follow-up Activity</w:t>
      </w:r>
      <w:r w:rsidRPr="00D179EA">
        <w:rPr>
          <w:rFonts w:cstheme="minorHAnsi"/>
          <w:b/>
          <w:i/>
        </w:rPr>
        <w:t xml:space="preserve"> Report</w:t>
      </w:r>
    </w:p>
    <w:p w14:paraId="0C484022" w14:textId="77777777" w:rsidR="001F3866" w:rsidRDefault="001F3866" w:rsidP="00514407">
      <w:pPr>
        <w:spacing w:after="0" w:line="240" w:lineRule="auto"/>
        <w:rPr>
          <w:rFonts w:cstheme="minorHAnsi"/>
        </w:rPr>
      </w:pPr>
      <w:r w:rsidRPr="001F3866">
        <w:rPr>
          <w:noProof/>
        </w:rPr>
        <w:drawing>
          <wp:inline distT="0" distB="0" distL="0" distR="0" wp14:anchorId="729B308B" wp14:editId="46A2399C">
            <wp:extent cx="6550727" cy="10191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5867" cy="1019975"/>
                    </a:xfrm>
                    <a:prstGeom prst="rect">
                      <a:avLst/>
                    </a:prstGeom>
                    <a:noFill/>
                    <a:ln>
                      <a:noFill/>
                    </a:ln>
                  </pic:spPr>
                </pic:pic>
              </a:graphicData>
            </a:graphic>
          </wp:inline>
        </w:drawing>
      </w:r>
    </w:p>
    <w:p w14:paraId="4AD11A37" w14:textId="77777777" w:rsidR="00070BBA" w:rsidRDefault="00070BBA" w:rsidP="00070BBA">
      <w:pPr>
        <w:spacing w:after="0" w:line="240" w:lineRule="auto"/>
        <w:rPr>
          <w:rFonts w:cstheme="minorHAnsi"/>
          <w:b/>
          <w:i/>
        </w:rPr>
      </w:pPr>
    </w:p>
    <w:p w14:paraId="52E77CDB" w14:textId="77777777" w:rsidR="00490E36" w:rsidRDefault="00490E36" w:rsidP="00070BBA">
      <w:pPr>
        <w:spacing w:after="0" w:line="240" w:lineRule="auto"/>
        <w:rPr>
          <w:rFonts w:cstheme="minorHAnsi"/>
          <w:b/>
          <w:i/>
        </w:rPr>
      </w:pPr>
    </w:p>
    <w:p w14:paraId="15ADC556" w14:textId="77777777" w:rsidR="00B8734B" w:rsidRDefault="00B8734B">
      <w:pPr>
        <w:rPr>
          <w:rFonts w:cstheme="minorHAnsi"/>
          <w:b/>
          <w:i/>
        </w:rPr>
      </w:pPr>
      <w:r>
        <w:rPr>
          <w:rFonts w:cstheme="minorHAnsi"/>
          <w:b/>
          <w:i/>
        </w:rPr>
        <w:br w:type="page"/>
      </w:r>
    </w:p>
    <w:p w14:paraId="46783DAC" w14:textId="77777777" w:rsidR="00070BBA" w:rsidRDefault="00070BBA" w:rsidP="00070BBA">
      <w:pPr>
        <w:spacing w:after="0" w:line="240" w:lineRule="auto"/>
        <w:rPr>
          <w:rFonts w:cstheme="minorHAnsi"/>
          <w:b/>
          <w:i/>
        </w:rPr>
      </w:pPr>
      <w:r w:rsidRPr="007B6770">
        <w:rPr>
          <w:rFonts w:cstheme="minorHAnsi"/>
          <w:b/>
          <w:i/>
        </w:rPr>
        <w:lastRenderedPageBreak/>
        <w:t xml:space="preserve">Annual </w:t>
      </w:r>
      <w:r w:rsidR="00ED688D">
        <w:rPr>
          <w:rFonts w:cstheme="minorHAnsi"/>
          <w:b/>
          <w:i/>
        </w:rPr>
        <w:t>Energy</w:t>
      </w:r>
      <w:r w:rsidR="00ED688D" w:rsidRPr="007B6770">
        <w:rPr>
          <w:rFonts w:cstheme="minorHAnsi"/>
          <w:b/>
          <w:i/>
        </w:rPr>
        <w:t xml:space="preserve"> </w:t>
      </w:r>
      <w:r w:rsidR="001F3F4B">
        <w:rPr>
          <w:rFonts w:cstheme="minorHAnsi"/>
          <w:b/>
          <w:i/>
        </w:rPr>
        <w:t xml:space="preserve">Management </w:t>
      </w:r>
      <w:r w:rsidRPr="007B6770">
        <w:rPr>
          <w:rFonts w:cstheme="minorHAnsi"/>
          <w:b/>
          <w:i/>
        </w:rPr>
        <w:t>Data Report, tab 4.4, Other Data, cell F1</w:t>
      </w:r>
      <w:r>
        <w:rPr>
          <w:rFonts w:cstheme="minorHAnsi"/>
          <w:b/>
          <w:i/>
        </w:rPr>
        <w:t>1</w:t>
      </w:r>
    </w:p>
    <w:p w14:paraId="0DE2C9A0" w14:textId="77777777" w:rsidR="00490E36" w:rsidRDefault="00490E36" w:rsidP="00070BBA">
      <w:pPr>
        <w:spacing w:after="0" w:line="240" w:lineRule="auto"/>
        <w:rPr>
          <w:rFonts w:cstheme="minorHAnsi"/>
          <w:b/>
          <w:i/>
        </w:rPr>
      </w:pPr>
    </w:p>
    <w:p w14:paraId="505DC64E" w14:textId="77777777" w:rsidR="00070BBA" w:rsidRDefault="004736A4" w:rsidP="00070BBA">
      <w:pPr>
        <w:spacing w:after="0" w:line="240" w:lineRule="auto"/>
        <w:rPr>
          <w:rFonts w:cstheme="minorHAnsi"/>
        </w:rPr>
      </w:pPr>
      <w:r w:rsidRPr="004736A4">
        <w:rPr>
          <w:noProof/>
        </w:rPr>
        <w:drawing>
          <wp:inline distT="0" distB="0" distL="0" distR="0" wp14:anchorId="5888EBEA" wp14:editId="17CF4C79">
            <wp:extent cx="4743450" cy="3533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3450" cy="3533775"/>
                    </a:xfrm>
                    <a:prstGeom prst="rect">
                      <a:avLst/>
                    </a:prstGeom>
                    <a:noFill/>
                    <a:ln>
                      <a:noFill/>
                    </a:ln>
                  </pic:spPr>
                </pic:pic>
              </a:graphicData>
            </a:graphic>
          </wp:inline>
        </w:drawing>
      </w:r>
    </w:p>
    <w:p w14:paraId="388D8D9B" w14:textId="77777777" w:rsidR="00070BBA" w:rsidRPr="00070BBA" w:rsidRDefault="00070BBA" w:rsidP="00070BBA">
      <w:pPr>
        <w:spacing w:after="0" w:line="240" w:lineRule="auto"/>
        <w:rPr>
          <w:rFonts w:cstheme="minorHAnsi"/>
        </w:rPr>
      </w:pPr>
    </w:p>
    <w:p w14:paraId="297E4309" w14:textId="77777777" w:rsidR="00514407" w:rsidRDefault="00514407" w:rsidP="00377D5F">
      <w:pPr>
        <w:rPr>
          <w:rFonts w:ascii="Arial" w:hAnsi="Arial" w:cs="Arial"/>
          <w:b/>
          <w:bCs/>
          <w:sz w:val="32"/>
          <w:szCs w:val="32"/>
        </w:rPr>
      </w:pPr>
    </w:p>
    <w:p w14:paraId="6BDE6DEF" w14:textId="77777777" w:rsidR="00070BBA" w:rsidRDefault="00070BBA" w:rsidP="00377D5F">
      <w:pPr>
        <w:rPr>
          <w:rFonts w:ascii="Arial" w:hAnsi="Arial" w:cs="Arial"/>
          <w:b/>
          <w:bCs/>
          <w:sz w:val="32"/>
          <w:szCs w:val="32"/>
        </w:rPr>
      </w:pPr>
    </w:p>
    <w:p w14:paraId="4F2C5678" w14:textId="77777777" w:rsidR="00070BBA" w:rsidRPr="003C30E0" w:rsidRDefault="00070BBA" w:rsidP="00377D5F">
      <w:pPr>
        <w:rPr>
          <w:rFonts w:ascii="Arial" w:hAnsi="Arial" w:cs="Arial"/>
          <w:b/>
          <w:bCs/>
          <w:sz w:val="32"/>
          <w:szCs w:val="32"/>
        </w:rPr>
      </w:pPr>
    </w:p>
    <w:sectPr w:rsidR="00070BBA" w:rsidRPr="003C30E0" w:rsidSect="00AA227C">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60ABE" w14:textId="77777777" w:rsidR="00664128" w:rsidRDefault="00664128" w:rsidP="00966D40">
      <w:pPr>
        <w:spacing w:after="0" w:line="240" w:lineRule="auto"/>
      </w:pPr>
      <w:r>
        <w:separator/>
      </w:r>
    </w:p>
  </w:endnote>
  <w:endnote w:type="continuationSeparator" w:id="0">
    <w:p w14:paraId="1E0DA199" w14:textId="77777777" w:rsidR="00664128" w:rsidRDefault="00664128" w:rsidP="00966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660392"/>
      <w:docPartObj>
        <w:docPartGallery w:val="Page Numbers (Bottom of Page)"/>
        <w:docPartUnique/>
      </w:docPartObj>
    </w:sdtPr>
    <w:sdtEndPr>
      <w:rPr>
        <w:noProof/>
      </w:rPr>
    </w:sdtEndPr>
    <w:sdtContent>
      <w:p w14:paraId="5A00BE9D" w14:textId="20F59FB2" w:rsidR="00EB4FB9" w:rsidRDefault="00EB4FB9">
        <w:pPr>
          <w:pStyle w:val="Footer"/>
          <w:jc w:val="center"/>
        </w:pPr>
        <w:r>
          <w:fldChar w:fldCharType="begin"/>
        </w:r>
        <w:r>
          <w:instrText xml:space="preserve"> PAGE   \* MERGEFORMAT </w:instrText>
        </w:r>
        <w:r>
          <w:fldChar w:fldCharType="separate"/>
        </w:r>
        <w:r w:rsidR="00605204">
          <w:rPr>
            <w:noProof/>
          </w:rPr>
          <w:t>1</w:t>
        </w:r>
        <w:r>
          <w:rPr>
            <w:noProof/>
          </w:rPr>
          <w:fldChar w:fldCharType="end"/>
        </w:r>
      </w:p>
    </w:sdtContent>
  </w:sdt>
  <w:p w14:paraId="699D824C" w14:textId="77777777" w:rsidR="00EB4FB9" w:rsidRDefault="00EB4FB9" w:rsidP="00DD0D87">
    <w:pPr>
      <w:tabs>
        <w:tab w:val="cente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837252"/>
      <w:docPartObj>
        <w:docPartGallery w:val="Page Numbers (Bottom of Page)"/>
        <w:docPartUnique/>
      </w:docPartObj>
    </w:sdtPr>
    <w:sdtEndPr>
      <w:rPr>
        <w:noProof/>
      </w:rPr>
    </w:sdtEndPr>
    <w:sdtContent>
      <w:p w14:paraId="6186014E" w14:textId="407E79EC" w:rsidR="00EB4FB9" w:rsidRDefault="00EB4FB9">
        <w:pPr>
          <w:pStyle w:val="Footer"/>
          <w:jc w:val="center"/>
        </w:pPr>
        <w:r>
          <w:fldChar w:fldCharType="begin"/>
        </w:r>
        <w:r>
          <w:instrText xml:space="preserve"> PAGE   \* MERGEFORMAT </w:instrText>
        </w:r>
        <w:r>
          <w:fldChar w:fldCharType="separate"/>
        </w:r>
        <w:r w:rsidR="00775BD0">
          <w:rPr>
            <w:noProof/>
          </w:rPr>
          <w:t>15</w:t>
        </w:r>
        <w:r>
          <w:rPr>
            <w:noProof/>
          </w:rPr>
          <w:fldChar w:fldCharType="end"/>
        </w:r>
      </w:p>
    </w:sdtContent>
  </w:sdt>
  <w:p w14:paraId="6CECE60C" w14:textId="77777777" w:rsidR="00EB4FB9" w:rsidRDefault="00EB4F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52552" w14:textId="77777777" w:rsidR="00664128" w:rsidRDefault="00664128" w:rsidP="00966D40">
      <w:pPr>
        <w:spacing w:after="0" w:line="240" w:lineRule="auto"/>
      </w:pPr>
      <w:r>
        <w:separator/>
      </w:r>
    </w:p>
  </w:footnote>
  <w:footnote w:type="continuationSeparator" w:id="0">
    <w:p w14:paraId="3F194EA5" w14:textId="77777777" w:rsidR="00664128" w:rsidRDefault="00664128" w:rsidP="00966D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45F58" w14:textId="77777777" w:rsidR="00EB4FB9" w:rsidRDefault="00EB4FB9" w:rsidP="005E2147">
    <w:pPr>
      <w:pStyle w:val="Header"/>
      <w:jc w:val="center"/>
      <w:rPr>
        <w:color w:val="FF0000"/>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916BB" w14:textId="77777777" w:rsidR="00EB4FB9" w:rsidRDefault="00EB4F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2CCA7" w14:textId="77777777" w:rsidR="00EB4FB9" w:rsidRPr="005E2147" w:rsidRDefault="00EB4FB9" w:rsidP="005E21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513EC" w14:textId="77777777" w:rsidR="00EB4FB9" w:rsidRDefault="00EB4F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1E83"/>
    <w:multiLevelType w:val="hybridMultilevel"/>
    <w:tmpl w:val="6652C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7FC0BDC"/>
    <w:multiLevelType w:val="hybridMultilevel"/>
    <w:tmpl w:val="33EE9B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5CA2391"/>
    <w:multiLevelType w:val="hybridMultilevel"/>
    <w:tmpl w:val="2F06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05345"/>
    <w:multiLevelType w:val="multilevel"/>
    <w:tmpl w:val="8C8428BA"/>
    <w:lvl w:ilvl="0">
      <w:start w:val="1"/>
      <w:numFmt w:val="decimal"/>
      <w:lvlText w:val="%1."/>
      <w:lvlJc w:val="left"/>
      <w:pPr>
        <w:tabs>
          <w:tab w:val="num" w:pos="360"/>
        </w:tabs>
        <w:ind w:left="720" w:hanging="720"/>
      </w:pPr>
      <w:rPr>
        <w:rFonts w:hint="default"/>
      </w:rPr>
    </w:lvl>
    <w:lvl w:ilvl="1">
      <w:start w:val="2"/>
      <w:numFmt w:val="decimal"/>
      <w:lvlText w:val="%1.%2."/>
      <w:lvlJc w:val="left"/>
      <w:pPr>
        <w:tabs>
          <w:tab w:val="num" w:pos="792"/>
        </w:tabs>
        <w:ind w:left="792" w:hanging="432"/>
      </w:pPr>
      <w:rPr>
        <w:rFonts w:hint="default"/>
      </w:rPr>
    </w:lvl>
    <w:lvl w:ilvl="2">
      <w:start w:val="1"/>
      <w:numFmt w:val="decimal"/>
      <w:lvlRestart w:val="1"/>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A892BEA"/>
    <w:multiLevelType w:val="hybridMultilevel"/>
    <w:tmpl w:val="50485A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96017F"/>
    <w:multiLevelType w:val="hybridMultilevel"/>
    <w:tmpl w:val="27B484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3FC32BB"/>
    <w:multiLevelType w:val="hybridMultilevel"/>
    <w:tmpl w:val="D53AA5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603036"/>
    <w:multiLevelType w:val="hybridMultilevel"/>
    <w:tmpl w:val="6988F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3550A1"/>
    <w:multiLevelType w:val="multilevel"/>
    <w:tmpl w:val="295AF058"/>
    <w:lvl w:ilvl="0">
      <w:start w:val="1"/>
      <w:numFmt w:val="decimal"/>
      <w:lvlText w:val="%1."/>
      <w:lvlJc w:val="left"/>
      <w:pPr>
        <w:tabs>
          <w:tab w:val="num" w:pos="360"/>
        </w:tabs>
        <w:ind w:left="720" w:hanging="720"/>
      </w:pPr>
      <w:rPr>
        <w:rFonts w:hint="default"/>
      </w:rPr>
    </w:lvl>
    <w:lvl w:ilvl="1">
      <w:start w:val="4"/>
      <w:numFmt w:val="decimal"/>
      <w:lvlText w:val="%1.%2."/>
      <w:lvlJc w:val="left"/>
      <w:pPr>
        <w:tabs>
          <w:tab w:val="num" w:pos="792"/>
        </w:tabs>
        <w:ind w:left="792" w:hanging="432"/>
      </w:pPr>
      <w:rPr>
        <w:rFonts w:hint="default"/>
      </w:rPr>
    </w:lvl>
    <w:lvl w:ilvl="2">
      <w:start w:val="1"/>
      <w:numFmt w:val="decimal"/>
      <w:lvlRestart w:val="1"/>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CE3291F"/>
    <w:multiLevelType w:val="hybridMultilevel"/>
    <w:tmpl w:val="84AEA9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01ED9"/>
    <w:multiLevelType w:val="hybridMultilevel"/>
    <w:tmpl w:val="84AEA9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B82206"/>
    <w:multiLevelType w:val="hybridMultilevel"/>
    <w:tmpl w:val="E11C75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51F1D28"/>
    <w:multiLevelType w:val="hybridMultilevel"/>
    <w:tmpl w:val="8D06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D620A7"/>
    <w:multiLevelType w:val="multilevel"/>
    <w:tmpl w:val="C32AA3F4"/>
    <w:lvl w:ilvl="0">
      <w:start w:val="1"/>
      <w:numFmt w:val="decimal"/>
      <w:lvlText w:val="%1."/>
      <w:lvlJc w:val="left"/>
      <w:pPr>
        <w:tabs>
          <w:tab w:val="num" w:pos="360"/>
        </w:tabs>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Restart w:val="1"/>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62656C0"/>
    <w:multiLevelType w:val="hybridMultilevel"/>
    <w:tmpl w:val="B1F8EE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8577B19"/>
    <w:multiLevelType w:val="hybridMultilevel"/>
    <w:tmpl w:val="A53C8C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550F48"/>
    <w:multiLevelType w:val="hybridMultilevel"/>
    <w:tmpl w:val="CB003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F3B93"/>
    <w:multiLevelType w:val="hybridMultilevel"/>
    <w:tmpl w:val="6AE2F7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700BF9"/>
    <w:multiLevelType w:val="hybridMultilevel"/>
    <w:tmpl w:val="1E5626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16108A"/>
    <w:multiLevelType w:val="hybridMultilevel"/>
    <w:tmpl w:val="D73C9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43546"/>
    <w:multiLevelType w:val="multilevel"/>
    <w:tmpl w:val="3D94C7EA"/>
    <w:lvl w:ilvl="0">
      <w:start w:val="1"/>
      <w:numFmt w:val="decimal"/>
      <w:lvlText w:val="%1."/>
      <w:lvlJc w:val="left"/>
      <w:pPr>
        <w:tabs>
          <w:tab w:val="num" w:pos="360"/>
        </w:tabs>
        <w:ind w:left="720" w:hanging="720"/>
      </w:pPr>
      <w:rPr>
        <w:rFonts w:hint="default"/>
      </w:rPr>
    </w:lvl>
    <w:lvl w:ilvl="1">
      <w:start w:val="3"/>
      <w:numFmt w:val="decimal"/>
      <w:lvlText w:val="%1.%2."/>
      <w:lvlJc w:val="left"/>
      <w:pPr>
        <w:tabs>
          <w:tab w:val="num" w:pos="792"/>
        </w:tabs>
        <w:ind w:left="792" w:hanging="432"/>
      </w:pPr>
      <w:rPr>
        <w:rFonts w:hint="default"/>
      </w:rPr>
    </w:lvl>
    <w:lvl w:ilvl="2">
      <w:start w:val="1"/>
      <w:numFmt w:val="decimal"/>
      <w:lvlRestart w:val="1"/>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9487304"/>
    <w:multiLevelType w:val="hybridMultilevel"/>
    <w:tmpl w:val="3DB2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76753A"/>
    <w:multiLevelType w:val="hybridMultilevel"/>
    <w:tmpl w:val="8DE875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3061B46"/>
    <w:multiLevelType w:val="hybridMultilevel"/>
    <w:tmpl w:val="F00C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7F4F5C"/>
    <w:multiLevelType w:val="hybridMultilevel"/>
    <w:tmpl w:val="7188DF8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BB374DC"/>
    <w:multiLevelType w:val="hybridMultilevel"/>
    <w:tmpl w:val="DBF84D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5643D3E"/>
    <w:multiLevelType w:val="hybridMultilevel"/>
    <w:tmpl w:val="1B2230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7352E0"/>
    <w:multiLevelType w:val="hybridMultilevel"/>
    <w:tmpl w:val="21E81F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83148AB"/>
    <w:multiLevelType w:val="multilevel"/>
    <w:tmpl w:val="58F6543A"/>
    <w:lvl w:ilvl="0">
      <w:start w:val="2"/>
      <w:numFmt w:val="decimal"/>
      <w:lvlText w:val="%1."/>
      <w:lvlJc w:val="left"/>
      <w:pPr>
        <w:tabs>
          <w:tab w:val="num" w:pos="360"/>
        </w:tabs>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Restart w:val="1"/>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AB83723"/>
    <w:multiLevelType w:val="hybridMultilevel"/>
    <w:tmpl w:val="4DF408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AE2784D"/>
    <w:multiLevelType w:val="hybridMultilevel"/>
    <w:tmpl w:val="0D1C2F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AEE3CAF"/>
    <w:multiLevelType w:val="hybridMultilevel"/>
    <w:tmpl w:val="AB7A128C"/>
    <w:lvl w:ilvl="0" w:tplc="EA80B6E4">
      <w:start w:val="1"/>
      <w:numFmt w:val="bullet"/>
      <w:lvlText w:val="•"/>
      <w:lvlJc w:val="left"/>
      <w:pPr>
        <w:tabs>
          <w:tab w:val="num" w:pos="720"/>
        </w:tabs>
        <w:ind w:left="720" w:hanging="360"/>
      </w:pPr>
      <w:rPr>
        <w:rFonts w:ascii="Arial" w:hAnsi="Arial" w:hint="default"/>
      </w:rPr>
    </w:lvl>
    <w:lvl w:ilvl="1" w:tplc="C2108322" w:tentative="1">
      <w:start w:val="1"/>
      <w:numFmt w:val="bullet"/>
      <w:lvlText w:val="•"/>
      <w:lvlJc w:val="left"/>
      <w:pPr>
        <w:tabs>
          <w:tab w:val="num" w:pos="1440"/>
        </w:tabs>
        <w:ind w:left="1440" w:hanging="360"/>
      </w:pPr>
      <w:rPr>
        <w:rFonts w:ascii="Arial" w:hAnsi="Arial" w:hint="default"/>
      </w:rPr>
    </w:lvl>
    <w:lvl w:ilvl="2" w:tplc="3FD6411A" w:tentative="1">
      <w:start w:val="1"/>
      <w:numFmt w:val="bullet"/>
      <w:lvlText w:val="•"/>
      <w:lvlJc w:val="left"/>
      <w:pPr>
        <w:tabs>
          <w:tab w:val="num" w:pos="2160"/>
        </w:tabs>
        <w:ind w:left="2160" w:hanging="360"/>
      </w:pPr>
      <w:rPr>
        <w:rFonts w:ascii="Arial" w:hAnsi="Arial" w:hint="default"/>
      </w:rPr>
    </w:lvl>
    <w:lvl w:ilvl="3" w:tplc="D144CC54" w:tentative="1">
      <w:start w:val="1"/>
      <w:numFmt w:val="bullet"/>
      <w:lvlText w:val="•"/>
      <w:lvlJc w:val="left"/>
      <w:pPr>
        <w:tabs>
          <w:tab w:val="num" w:pos="2880"/>
        </w:tabs>
        <w:ind w:left="2880" w:hanging="360"/>
      </w:pPr>
      <w:rPr>
        <w:rFonts w:ascii="Arial" w:hAnsi="Arial" w:hint="default"/>
      </w:rPr>
    </w:lvl>
    <w:lvl w:ilvl="4" w:tplc="2A02050C" w:tentative="1">
      <w:start w:val="1"/>
      <w:numFmt w:val="bullet"/>
      <w:lvlText w:val="•"/>
      <w:lvlJc w:val="left"/>
      <w:pPr>
        <w:tabs>
          <w:tab w:val="num" w:pos="3600"/>
        </w:tabs>
        <w:ind w:left="3600" w:hanging="360"/>
      </w:pPr>
      <w:rPr>
        <w:rFonts w:ascii="Arial" w:hAnsi="Arial" w:hint="default"/>
      </w:rPr>
    </w:lvl>
    <w:lvl w:ilvl="5" w:tplc="ED56B69C" w:tentative="1">
      <w:start w:val="1"/>
      <w:numFmt w:val="bullet"/>
      <w:lvlText w:val="•"/>
      <w:lvlJc w:val="left"/>
      <w:pPr>
        <w:tabs>
          <w:tab w:val="num" w:pos="4320"/>
        </w:tabs>
        <w:ind w:left="4320" w:hanging="360"/>
      </w:pPr>
      <w:rPr>
        <w:rFonts w:ascii="Arial" w:hAnsi="Arial" w:hint="default"/>
      </w:rPr>
    </w:lvl>
    <w:lvl w:ilvl="6" w:tplc="32A8D1D4" w:tentative="1">
      <w:start w:val="1"/>
      <w:numFmt w:val="bullet"/>
      <w:lvlText w:val="•"/>
      <w:lvlJc w:val="left"/>
      <w:pPr>
        <w:tabs>
          <w:tab w:val="num" w:pos="5040"/>
        </w:tabs>
        <w:ind w:left="5040" w:hanging="360"/>
      </w:pPr>
      <w:rPr>
        <w:rFonts w:ascii="Arial" w:hAnsi="Arial" w:hint="default"/>
      </w:rPr>
    </w:lvl>
    <w:lvl w:ilvl="7" w:tplc="29B45498" w:tentative="1">
      <w:start w:val="1"/>
      <w:numFmt w:val="bullet"/>
      <w:lvlText w:val="•"/>
      <w:lvlJc w:val="left"/>
      <w:pPr>
        <w:tabs>
          <w:tab w:val="num" w:pos="5760"/>
        </w:tabs>
        <w:ind w:left="5760" w:hanging="360"/>
      </w:pPr>
      <w:rPr>
        <w:rFonts w:ascii="Arial" w:hAnsi="Arial" w:hint="default"/>
      </w:rPr>
    </w:lvl>
    <w:lvl w:ilvl="8" w:tplc="C970695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B844C7F"/>
    <w:multiLevelType w:val="hybridMultilevel"/>
    <w:tmpl w:val="A6FE0D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CE371E6"/>
    <w:multiLevelType w:val="hybridMultilevel"/>
    <w:tmpl w:val="A1FCB2A8"/>
    <w:lvl w:ilvl="0" w:tplc="5A30409E">
      <w:start w:val="1"/>
      <w:numFmt w:val="bullet"/>
      <w:lvlText w:val="•"/>
      <w:lvlJc w:val="left"/>
      <w:pPr>
        <w:tabs>
          <w:tab w:val="num" w:pos="720"/>
        </w:tabs>
        <w:ind w:left="720" w:hanging="360"/>
      </w:pPr>
      <w:rPr>
        <w:rFonts w:ascii="Arial" w:hAnsi="Arial" w:hint="default"/>
      </w:rPr>
    </w:lvl>
    <w:lvl w:ilvl="1" w:tplc="6602B270" w:tentative="1">
      <w:start w:val="1"/>
      <w:numFmt w:val="bullet"/>
      <w:lvlText w:val="•"/>
      <w:lvlJc w:val="left"/>
      <w:pPr>
        <w:tabs>
          <w:tab w:val="num" w:pos="1440"/>
        </w:tabs>
        <w:ind w:left="1440" w:hanging="360"/>
      </w:pPr>
      <w:rPr>
        <w:rFonts w:ascii="Arial" w:hAnsi="Arial" w:hint="default"/>
      </w:rPr>
    </w:lvl>
    <w:lvl w:ilvl="2" w:tplc="E8BC190E" w:tentative="1">
      <w:start w:val="1"/>
      <w:numFmt w:val="bullet"/>
      <w:lvlText w:val="•"/>
      <w:lvlJc w:val="left"/>
      <w:pPr>
        <w:tabs>
          <w:tab w:val="num" w:pos="2160"/>
        </w:tabs>
        <w:ind w:left="2160" w:hanging="360"/>
      </w:pPr>
      <w:rPr>
        <w:rFonts w:ascii="Arial" w:hAnsi="Arial" w:hint="default"/>
      </w:rPr>
    </w:lvl>
    <w:lvl w:ilvl="3" w:tplc="AF20EF38" w:tentative="1">
      <w:start w:val="1"/>
      <w:numFmt w:val="bullet"/>
      <w:lvlText w:val="•"/>
      <w:lvlJc w:val="left"/>
      <w:pPr>
        <w:tabs>
          <w:tab w:val="num" w:pos="2880"/>
        </w:tabs>
        <w:ind w:left="2880" w:hanging="360"/>
      </w:pPr>
      <w:rPr>
        <w:rFonts w:ascii="Arial" w:hAnsi="Arial" w:hint="default"/>
      </w:rPr>
    </w:lvl>
    <w:lvl w:ilvl="4" w:tplc="E6A84240" w:tentative="1">
      <w:start w:val="1"/>
      <w:numFmt w:val="bullet"/>
      <w:lvlText w:val="•"/>
      <w:lvlJc w:val="left"/>
      <w:pPr>
        <w:tabs>
          <w:tab w:val="num" w:pos="3600"/>
        </w:tabs>
        <w:ind w:left="3600" w:hanging="360"/>
      </w:pPr>
      <w:rPr>
        <w:rFonts w:ascii="Arial" w:hAnsi="Arial" w:hint="default"/>
      </w:rPr>
    </w:lvl>
    <w:lvl w:ilvl="5" w:tplc="EB7A66D2" w:tentative="1">
      <w:start w:val="1"/>
      <w:numFmt w:val="bullet"/>
      <w:lvlText w:val="•"/>
      <w:lvlJc w:val="left"/>
      <w:pPr>
        <w:tabs>
          <w:tab w:val="num" w:pos="4320"/>
        </w:tabs>
        <w:ind w:left="4320" w:hanging="360"/>
      </w:pPr>
      <w:rPr>
        <w:rFonts w:ascii="Arial" w:hAnsi="Arial" w:hint="default"/>
      </w:rPr>
    </w:lvl>
    <w:lvl w:ilvl="6" w:tplc="0A9C7DC0" w:tentative="1">
      <w:start w:val="1"/>
      <w:numFmt w:val="bullet"/>
      <w:lvlText w:val="•"/>
      <w:lvlJc w:val="left"/>
      <w:pPr>
        <w:tabs>
          <w:tab w:val="num" w:pos="5040"/>
        </w:tabs>
        <w:ind w:left="5040" w:hanging="360"/>
      </w:pPr>
      <w:rPr>
        <w:rFonts w:ascii="Arial" w:hAnsi="Arial" w:hint="default"/>
      </w:rPr>
    </w:lvl>
    <w:lvl w:ilvl="7" w:tplc="CFF2FAF4" w:tentative="1">
      <w:start w:val="1"/>
      <w:numFmt w:val="bullet"/>
      <w:lvlText w:val="•"/>
      <w:lvlJc w:val="left"/>
      <w:pPr>
        <w:tabs>
          <w:tab w:val="num" w:pos="5760"/>
        </w:tabs>
        <w:ind w:left="5760" w:hanging="360"/>
      </w:pPr>
      <w:rPr>
        <w:rFonts w:ascii="Arial" w:hAnsi="Arial" w:hint="default"/>
      </w:rPr>
    </w:lvl>
    <w:lvl w:ilvl="8" w:tplc="18887C4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5920DE"/>
    <w:multiLevelType w:val="hybridMultilevel"/>
    <w:tmpl w:val="1E5650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7"/>
  </w:num>
  <w:num w:numId="2">
    <w:abstractNumId w:val="1"/>
  </w:num>
  <w:num w:numId="3">
    <w:abstractNumId w:val="11"/>
  </w:num>
  <w:num w:numId="4">
    <w:abstractNumId w:val="5"/>
  </w:num>
  <w:num w:numId="5">
    <w:abstractNumId w:val="0"/>
  </w:num>
  <w:num w:numId="6">
    <w:abstractNumId w:val="18"/>
  </w:num>
  <w:num w:numId="7">
    <w:abstractNumId w:val="29"/>
  </w:num>
  <w:num w:numId="8">
    <w:abstractNumId w:val="25"/>
  </w:num>
  <w:num w:numId="9">
    <w:abstractNumId w:val="14"/>
  </w:num>
  <w:num w:numId="10">
    <w:abstractNumId w:val="32"/>
  </w:num>
  <w:num w:numId="11">
    <w:abstractNumId w:val="34"/>
  </w:num>
  <w:num w:numId="12">
    <w:abstractNumId w:val="30"/>
  </w:num>
  <w:num w:numId="13">
    <w:abstractNumId w:val="15"/>
  </w:num>
  <w:num w:numId="14">
    <w:abstractNumId w:val="21"/>
  </w:num>
  <w:num w:numId="15">
    <w:abstractNumId w:val="6"/>
  </w:num>
  <w:num w:numId="16">
    <w:abstractNumId w:val="17"/>
  </w:num>
  <w:num w:numId="17">
    <w:abstractNumId w:val="26"/>
  </w:num>
  <w:num w:numId="18">
    <w:abstractNumId w:val="9"/>
  </w:num>
  <w:num w:numId="19">
    <w:abstractNumId w:val="19"/>
  </w:num>
  <w:num w:numId="20">
    <w:abstractNumId w:val="10"/>
  </w:num>
  <w:num w:numId="21">
    <w:abstractNumId w:val="13"/>
  </w:num>
  <w:num w:numId="22">
    <w:abstractNumId w:val="3"/>
  </w:num>
  <w:num w:numId="23">
    <w:abstractNumId w:val="20"/>
  </w:num>
  <w:num w:numId="24">
    <w:abstractNumId w:val="8"/>
  </w:num>
  <w:num w:numId="25">
    <w:abstractNumId w:val="7"/>
  </w:num>
  <w:num w:numId="26">
    <w:abstractNumId w:val="28"/>
  </w:num>
  <w:num w:numId="27">
    <w:abstractNumId w:val="24"/>
  </w:num>
  <w:num w:numId="28">
    <w:abstractNumId w:val="23"/>
  </w:num>
  <w:num w:numId="29">
    <w:abstractNumId w:val="2"/>
  </w:num>
  <w:num w:numId="30">
    <w:abstractNumId w:val="12"/>
  </w:num>
  <w:num w:numId="31">
    <w:abstractNumId w:val="31"/>
  </w:num>
  <w:num w:numId="32">
    <w:abstractNumId w:val="16"/>
  </w:num>
  <w:num w:numId="33">
    <w:abstractNumId w:val="33"/>
  </w:num>
  <w:num w:numId="34">
    <w:abstractNumId w:val="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9E"/>
    <w:rsid w:val="00002B0E"/>
    <w:rsid w:val="00003481"/>
    <w:rsid w:val="000062C3"/>
    <w:rsid w:val="00006E98"/>
    <w:rsid w:val="00014285"/>
    <w:rsid w:val="00021C1E"/>
    <w:rsid w:val="00026CA8"/>
    <w:rsid w:val="000327E9"/>
    <w:rsid w:val="00036083"/>
    <w:rsid w:val="00037AEA"/>
    <w:rsid w:val="00040E2A"/>
    <w:rsid w:val="00043ED2"/>
    <w:rsid w:val="00052588"/>
    <w:rsid w:val="000669A4"/>
    <w:rsid w:val="00067643"/>
    <w:rsid w:val="00070BBA"/>
    <w:rsid w:val="00083350"/>
    <w:rsid w:val="00084827"/>
    <w:rsid w:val="00086D32"/>
    <w:rsid w:val="00092D7A"/>
    <w:rsid w:val="00096F30"/>
    <w:rsid w:val="000A01E4"/>
    <w:rsid w:val="000A2150"/>
    <w:rsid w:val="000A38CD"/>
    <w:rsid w:val="000A402D"/>
    <w:rsid w:val="000A5E92"/>
    <w:rsid w:val="000B2BBF"/>
    <w:rsid w:val="000B7982"/>
    <w:rsid w:val="000C1CCC"/>
    <w:rsid w:val="000C54D0"/>
    <w:rsid w:val="000C6208"/>
    <w:rsid w:val="000C7D46"/>
    <w:rsid w:val="000D45A7"/>
    <w:rsid w:val="000E7E2F"/>
    <w:rsid w:val="000F1993"/>
    <w:rsid w:val="000F2FF9"/>
    <w:rsid w:val="00100019"/>
    <w:rsid w:val="001060E4"/>
    <w:rsid w:val="0011076C"/>
    <w:rsid w:val="00112353"/>
    <w:rsid w:val="00112E78"/>
    <w:rsid w:val="00114E43"/>
    <w:rsid w:val="00132BD7"/>
    <w:rsid w:val="001427B3"/>
    <w:rsid w:val="00143CA0"/>
    <w:rsid w:val="0014437F"/>
    <w:rsid w:val="00145430"/>
    <w:rsid w:val="001462BD"/>
    <w:rsid w:val="00154B2F"/>
    <w:rsid w:val="00156EA4"/>
    <w:rsid w:val="0016419D"/>
    <w:rsid w:val="0016724D"/>
    <w:rsid w:val="00167D1A"/>
    <w:rsid w:val="00171F5F"/>
    <w:rsid w:val="001816A4"/>
    <w:rsid w:val="001A2F5A"/>
    <w:rsid w:val="001A5289"/>
    <w:rsid w:val="001B5FF7"/>
    <w:rsid w:val="001C2112"/>
    <w:rsid w:val="001D1EB5"/>
    <w:rsid w:val="001F3866"/>
    <w:rsid w:val="001F3F4B"/>
    <w:rsid w:val="001F6461"/>
    <w:rsid w:val="00205E4F"/>
    <w:rsid w:val="00216409"/>
    <w:rsid w:val="002271DD"/>
    <w:rsid w:val="002359B8"/>
    <w:rsid w:val="00235F7D"/>
    <w:rsid w:val="00237101"/>
    <w:rsid w:val="00241615"/>
    <w:rsid w:val="002464DF"/>
    <w:rsid w:val="00253BB4"/>
    <w:rsid w:val="002542C0"/>
    <w:rsid w:val="002564BC"/>
    <w:rsid w:val="00267E21"/>
    <w:rsid w:val="002710C8"/>
    <w:rsid w:val="00271DA9"/>
    <w:rsid w:val="0028610A"/>
    <w:rsid w:val="00286535"/>
    <w:rsid w:val="00294B31"/>
    <w:rsid w:val="002A1C6A"/>
    <w:rsid w:val="002A4A69"/>
    <w:rsid w:val="002A6870"/>
    <w:rsid w:val="002D0B27"/>
    <w:rsid w:val="002E41DB"/>
    <w:rsid w:val="002F31E1"/>
    <w:rsid w:val="002F4CB3"/>
    <w:rsid w:val="002F73D6"/>
    <w:rsid w:val="00316ABE"/>
    <w:rsid w:val="0032067E"/>
    <w:rsid w:val="00323958"/>
    <w:rsid w:val="00326C80"/>
    <w:rsid w:val="00331412"/>
    <w:rsid w:val="003400FA"/>
    <w:rsid w:val="003410A8"/>
    <w:rsid w:val="0034206B"/>
    <w:rsid w:val="003442F2"/>
    <w:rsid w:val="00353265"/>
    <w:rsid w:val="00365A99"/>
    <w:rsid w:val="003700EF"/>
    <w:rsid w:val="0037028A"/>
    <w:rsid w:val="003730FC"/>
    <w:rsid w:val="0037336B"/>
    <w:rsid w:val="00377D5F"/>
    <w:rsid w:val="00377DF4"/>
    <w:rsid w:val="00386AC3"/>
    <w:rsid w:val="0038793D"/>
    <w:rsid w:val="003972DF"/>
    <w:rsid w:val="003A3741"/>
    <w:rsid w:val="003B1F20"/>
    <w:rsid w:val="003B2ABA"/>
    <w:rsid w:val="003B3657"/>
    <w:rsid w:val="003B5105"/>
    <w:rsid w:val="003B5C82"/>
    <w:rsid w:val="003C30E0"/>
    <w:rsid w:val="003D17D9"/>
    <w:rsid w:val="003E6429"/>
    <w:rsid w:val="003E6C2A"/>
    <w:rsid w:val="003E7E17"/>
    <w:rsid w:val="003F067F"/>
    <w:rsid w:val="003F3FEA"/>
    <w:rsid w:val="003F6759"/>
    <w:rsid w:val="00402343"/>
    <w:rsid w:val="00403B1E"/>
    <w:rsid w:val="00405DDF"/>
    <w:rsid w:val="00422711"/>
    <w:rsid w:val="00422E9F"/>
    <w:rsid w:val="00425DBF"/>
    <w:rsid w:val="00432676"/>
    <w:rsid w:val="00446591"/>
    <w:rsid w:val="00450CA5"/>
    <w:rsid w:val="00456050"/>
    <w:rsid w:val="00461720"/>
    <w:rsid w:val="004736A4"/>
    <w:rsid w:val="00475F0A"/>
    <w:rsid w:val="00481F2A"/>
    <w:rsid w:val="00485387"/>
    <w:rsid w:val="004862A0"/>
    <w:rsid w:val="00490E36"/>
    <w:rsid w:val="00493A8D"/>
    <w:rsid w:val="00494908"/>
    <w:rsid w:val="004B063D"/>
    <w:rsid w:val="004B7222"/>
    <w:rsid w:val="004C00FF"/>
    <w:rsid w:val="004C21E8"/>
    <w:rsid w:val="004C58E8"/>
    <w:rsid w:val="004C6808"/>
    <w:rsid w:val="004D5357"/>
    <w:rsid w:val="004E28CD"/>
    <w:rsid w:val="004E516A"/>
    <w:rsid w:val="004E61D7"/>
    <w:rsid w:val="004F194E"/>
    <w:rsid w:val="0050137A"/>
    <w:rsid w:val="005042ED"/>
    <w:rsid w:val="00507EDE"/>
    <w:rsid w:val="00513896"/>
    <w:rsid w:val="00514407"/>
    <w:rsid w:val="00523063"/>
    <w:rsid w:val="00531840"/>
    <w:rsid w:val="00531CAB"/>
    <w:rsid w:val="00540BF6"/>
    <w:rsid w:val="00550C8E"/>
    <w:rsid w:val="00552693"/>
    <w:rsid w:val="00556AD4"/>
    <w:rsid w:val="005660A9"/>
    <w:rsid w:val="00582CFA"/>
    <w:rsid w:val="005944C6"/>
    <w:rsid w:val="005A07B3"/>
    <w:rsid w:val="005B2A30"/>
    <w:rsid w:val="005B3330"/>
    <w:rsid w:val="005C1222"/>
    <w:rsid w:val="005C7F6A"/>
    <w:rsid w:val="005D6551"/>
    <w:rsid w:val="005E20C1"/>
    <w:rsid w:val="005E2147"/>
    <w:rsid w:val="005E306A"/>
    <w:rsid w:val="005E4A8E"/>
    <w:rsid w:val="005E583F"/>
    <w:rsid w:val="005E7791"/>
    <w:rsid w:val="005F7BF0"/>
    <w:rsid w:val="00605204"/>
    <w:rsid w:val="0060594C"/>
    <w:rsid w:val="0060616C"/>
    <w:rsid w:val="0060658E"/>
    <w:rsid w:val="0061218B"/>
    <w:rsid w:val="00612915"/>
    <w:rsid w:val="0062070A"/>
    <w:rsid w:val="00625628"/>
    <w:rsid w:val="00637A43"/>
    <w:rsid w:val="00641CFA"/>
    <w:rsid w:val="00643902"/>
    <w:rsid w:val="0065233D"/>
    <w:rsid w:val="00652412"/>
    <w:rsid w:val="00653AF3"/>
    <w:rsid w:val="0065479D"/>
    <w:rsid w:val="00664128"/>
    <w:rsid w:val="006754AE"/>
    <w:rsid w:val="00682968"/>
    <w:rsid w:val="00682B83"/>
    <w:rsid w:val="006869DC"/>
    <w:rsid w:val="0069316E"/>
    <w:rsid w:val="006A0266"/>
    <w:rsid w:val="006A2DE4"/>
    <w:rsid w:val="006B1AFE"/>
    <w:rsid w:val="006C2C9A"/>
    <w:rsid w:val="006C35CF"/>
    <w:rsid w:val="006C6035"/>
    <w:rsid w:val="006D6AAF"/>
    <w:rsid w:val="006D756E"/>
    <w:rsid w:val="006E3398"/>
    <w:rsid w:val="006E7A0E"/>
    <w:rsid w:val="006F3842"/>
    <w:rsid w:val="00702BF7"/>
    <w:rsid w:val="00706129"/>
    <w:rsid w:val="007078FA"/>
    <w:rsid w:val="00711821"/>
    <w:rsid w:val="00732795"/>
    <w:rsid w:val="00735F4D"/>
    <w:rsid w:val="0073614F"/>
    <w:rsid w:val="0074767A"/>
    <w:rsid w:val="0075289A"/>
    <w:rsid w:val="0075471A"/>
    <w:rsid w:val="00755811"/>
    <w:rsid w:val="007563CF"/>
    <w:rsid w:val="007667BB"/>
    <w:rsid w:val="007708AE"/>
    <w:rsid w:val="00775BD0"/>
    <w:rsid w:val="00777F3C"/>
    <w:rsid w:val="0078294B"/>
    <w:rsid w:val="007832CA"/>
    <w:rsid w:val="0079479A"/>
    <w:rsid w:val="00797127"/>
    <w:rsid w:val="007A169E"/>
    <w:rsid w:val="007A2F6B"/>
    <w:rsid w:val="007B06B0"/>
    <w:rsid w:val="007B16E6"/>
    <w:rsid w:val="007B25CB"/>
    <w:rsid w:val="007B5985"/>
    <w:rsid w:val="007B6770"/>
    <w:rsid w:val="007B7542"/>
    <w:rsid w:val="007C1D11"/>
    <w:rsid w:val="007C45EB"/>
    <w:rsid w:val="007D31EB"/>
    <w:rsid w:val="007E03C9"/>
    <w:rsid w:val="007E3985"/>
    <w:rsid w:val="007E43E7"/>
    <w:rsid w:val="007E4767"/>
    <w:rsid w:val="007E5A83"/>
    <w:rsid w:val="007E6075"/>
    <w:rsid w:val="007F21F5"/>
    <w:rsid w:val="007F7E60"/>
    <w:rsid w:val="00801C88"/>
    <w:rsid w:val="00805C34"/>
    <w:rsid w:val="00806B95"/>
    <w:rsid w:val="00806EE7"/>
    <w:rsid w:val="00814117"/>
    <w:rsid w:val="00815F4A"/>
    <w:rsid w:val="0082564B"/>
    <w:rsid w:val="00825775"/>
    <w:rsid w:val="00833677"/>
    <w:rsid w:val="00834DEE"/>
    <w:rsid w:val="008403FA"/>
    <w:rsid w:val="008438F6"/>
    <w:rsid w:val="00844E56"/>
    <w:rsid w:val="00860812"/>
    <w:rsid w:val="008624B0"/>
    <w:rsid w:val="0086375D"/>
    <w:rsid w:val="00865B4A"/>
    <w:rsid w:val="00873DA0"/>
    <w:rsid w:val="00884770"/>
    <w:rsid w:val="008871F7"/>
    <w:rsid w:val="00890138"/>
    <w:rsid w:val="00891767"/>
    <w:rsid w:val="00891EE1"/>
    <w:rsid w:val="008930E0"/>
    <w:rsid w:val="00896A48"/>
    <w:rsid w:val="008A12AA"/>
    <w:rsid w:val="008A2A82"/>
    <w:rsid w:val="008A3DA6"/>
    <w:rsid w:val="008A43F4"/>
    <w:rsid w:val="008A4C55"/>
    <w:rsid w:val="008A4CA7"/>
    <w:rsid w:val="008A559A"/>
    <w:rsid w:val="008B42E5"/>
    <w:rsid w:val="008B7AAA"/>
    <w:rsid w:val="008C1A43"/>
    <w:rsid w:val="008C3A36"/>
    <w:rsid w:val="008C3A75"/>
    <w:rsid w:val="008C45FE"/>
    <w:rsid w:val="008D0DA4"/>
    <w:rsid w:val="008D301C"/>
    <w:rsid w:val="008D37D5"/>
    <w:rsid w:val="008D6ABD"/>
    <w:rsid w:val="008E20E7"/>
    <w:rsid w:val="008E248F"/>
    <w:rsid w:val="008F5391"/>
    <w:rsid w:val="00900E02"/>
    <w:rsid w:val="0090290E"/>
    <w:rsid w:val="00903E39"/>
    <w:rsid w:val="009059C7"/>
    <w:rsid w:val="00906818"/>
    <w:rsid w:val="00907D3F"/>
    <w:rsid w:val="00923148"/>
    <w:rsid w:val="00932BFD"/>
    <w:rsid w:val="00934885"/>
    <w:rsid w:val="00940946"/>
    <w:rsid w:val="009462C1"/>
    <w:rsid w:val="00950EEB"/>
    <w:rsid w:val="009533C2"/>
    <w:rsid w:val="009604EE"/>
    <w:rsid w:val="0096362D"/>
    <w:rsid w:val="00966960"/>
    <w:rsid w:val="00966D40"/>
    <w:rsid w:val="0097503D"/>
    <w:rsid w:val="0098288E"/>
    <w:rsid w:val="00983E44"/>
    <w:rsid w:val="0099371C"/>
    <w:rsid w:val="0099740B"/>
    <w:rsid w:val="00997DBA"/>
    <w:rsid w:val="009A012E"/>
    <w:rsid w:val="009A1691"/>
    <w:rsid w:val="009B15B7"/>
    <w:rsid w:val="009B774E"/>
    <w:rsid w:val="009E0BDB"/>
    <w:rsid w:val="009E22B9"/>
    <w:rsid w:val="009E4201"/>
    <w:rsid w:val="009F2465"/>
    <w:rsid w:val="009F5086"/>
    <w:rsid w:val="00A05AD0"/>
    <w:rsid w:val="00A0618A"/>
    <w:rsid w:val="00A20114"/>
    <w:rsid w:val="00A33164"/>
    <w:rsid w:val="00A33409"/>
    <w:rsid w:val="00A526CB"/>
    <w:rsid w:val="00A65212"/>
    <w:rsid w:val="00A66837"/>
    <w:rsid w:val="00A73BA8"/>
    <w:rsid w:val="00AA227C"/>
    <w:rsid w:val="00AA432D"/>
    <w:rsid w:val="00AD02F1"/>
    <w:rsid w:val="00AD0E98"/>
    <w:rsid w:val="00AD1AFD"/>
    <w:rsid w:val="00AE0BCA"/>
    <w:rsid w:val="00AE13E3"/>
    <w:rsid w:val="00AE185A"/>
    <w:rsid w:val="00AF0AA7"/>
    <w:rsid w:val="00AF25A7"/>
    <w:rsid w:val="00AF2F84"/>
    <w:rsid w:val="00AF515B"/>
    <w:rsid w:val="00B223DD"/>
    <w:rsid w:val="00B344BE"/>
    <w:rsid w:val="00B373B1"/>
    <w:rsid w:val="00B40E0A"/>
    <w:rsid w:val="00B41040"/>
    <w:rsid w:val="00B425DC"/>
    <w:rsid w:val="00B4351E"/>
    <w:rsid w:val="00B449B4"/>
    <w:rsid w:val="00B465A3"/>
    <w:rsid w:val="00B47FD3"/>
    <w:rsid w:val="00B624E0"/>
    <w:rsid w:val="00B64AAD"/>
    <w:rsid w:val="00B8032C"/>
    <w:rsid w:val="00B806F7"/>
    <w:rsid w:val="00B81B9D"/>
    <w:rsid w:val="00B833E6"/>
    <w:rsid w:val="00B8734B"/>
    <w:rsid w:val="00B94CAD"/>
    <w:rsid w:val="00B96A23"/>
    <w:rsid w:val="00B97806"/>
    <w:rsid w:val="00BA1C34"/>
    <w:rsid w:val="00BA45CC"/>
    <w:rsid w:val="00BA4AE0"/>
    <w:rsid w:val="00BC1200"/>
    <w:rsid w:val="00BC2204"/>
    <w:rsid w:val="00BC2EA5"/>
    <w:rsid w:val="00BD5519"/>
    <w:rsid w:val="00BE57A7"/>
    <w:rsid w:val="00BE7533"/>
    <w:rsid w:val="00BF49C9"/>
    <w:rsid w:val="00BF696A"/>
    <w:rsid w:val="00C0509E"/>
    <w:rsid w:val="00C13DFC"/>
    <w:rsid w:val="00C15CB7"/>
    <w:rsid w:val="00C16326"/>
    <w:rsid w:val="00C21D48"/>
    <w:rsid w:val="00C2353E"/>
    <w:rsid w:val="00C46E99"/>
    <w:rsid w:val="00C53CE2"/>
    <w:rsid w:val="00C640C1"/>
    <w:rsid w:val="00C82330"/>
    <w:rsid w:val="00C84A71"/>
    <w:rsid w:val="00C86A8F"/>
    <w:rsid w:val="00C87D66"/>
    <w:rsid w:val="00C94318"/>
    <w:rsid w:val="00C95233"/>
    <w:rsid w:val="00C9738C"/>
    <w:rsid w:val="00CA4C44"/>
    <w:rsid w:val="00CA6BDF"/>
    <w:rsid w:val="00CB2AF9"/>
    <w:rsid w:val="00CB7A92"/>
    <w:rsid w:val="00CB7C7E"/>
    <w:rsid w:val="00CC2869"/>
    <w:rsid w:val="00CD278F"/>
    <w:rsid w:val="00CD28AB"/>
    <w:rsid w:val="00CD66F3"/>
    <w:rsid w:val="00CD679B"/>
    <w:rsid w:val="00CD7F7A"/>
    <w:rsid w:val="00CE0AAF"/>
    <w:rsid w:val="00CE2059"/>
    <w:rsid w:val="00CE7B5C"/>
    <w:rsid w:val="00D075C7"/>
    <w:rsid w:val="00D104E3"/>
    <w:rsid w:val="00D133CA"/>
    <w:rsid w:val="00D1345E"/>
    <w:rsid w:val="00D150D6"/>
    <w:rsid w:val="00D159F1"/>
    <w:rsid w:val="00D179EA"/>
    <w:rsid w:val="00D224D9"/>
    <w:rsid w:val="00D5150B"/>
    <w:rsid w:val="00D52529"/>
    <w:rsid w:val="00D621F0"/>
    <w:rsid w:val="00D6309F"/>
    <w:rsid w:val="00D74631"/>
    <w:rsid w:val="00D75118"/>
    <w:rsid w:val="00D75F06"/>
    <w:rsid w:val="00D77016"/>
    <w:rsid w:val="00D801DD"/>
    <w:rsid w:val="00D815AA"/>
    <w:rsid w:val="00D83705"/>
    <w:rsid w:val="00D8461B"/>
    <w:rsid w:val="00D92DD9"/>
    <w:rsid w:val="00D945DF"/>
    <w:rsid w:val="00DA08D9"/>
    <w:rsid w:val="00DA336B"/>
    <w:rsid w:val="00DA3DCA"/>
    <w:rsid w:val="00DA4DBC"/>
    <w:rsid w:val="00DA6D44"/>
    <w:rsid w:val="00DB12FE"/>
    <w:rsid w:val="00DB7F65"/>
    <w:rsid w:val="00DC2565"/>
    <w:rsid w:val="00DC6727"/>
    <w:rsid w:val="00DC69C5"/>
    <w:rsid w:val="00DC6B03"/>
    <w:rsid w:val="00DD0D87"/>
    <w:rsid w:val="00DE13E7"/>
    <w:rsid w:val="00DE142F"/>
    <w:rsid w:val="00DE2302"/>
    <w:rsid w:val="00DF5AB6"/>
    <w:rsid w:val="00DF71E4"/>
    <w:rsid w:val="00E04A00"/>
    <w:rsid w:val="00E12259"/>
    <w:rsid w:val="00E17D23"/>
    <w:rsid w:val="00E20395"/>
    <w:rsid w:val="00E268C4"/>
    <w:rsid w:val="00E34E7D"/>
    <w:rsid w:val="00E35DAD"/>
    <w:rsid w:val="00E37C82"/>
    <w:rsid w:val="00E45C2B"/>
    <w:rsid w:val="00E508C0"/>
    <w:rsid w:val="00E5362D"/>
    <w:rsid w:val="00E5382B"/>
    <w:rsid w:val="00E55B60"/>
    <w:rsid w:val="00E569AE"/>
    <w:rsid w:val="00E60086"/>
    <w:rsid w:val="00E6014A"/>
    <w:rsid w:val="00E60F00"/>
    <w:rsid w:val="00E63532"/>
    <w:rsid w:val="00E63C7D"/>
    <w:rsid w:val="00E64427"/>
    <w:rsid w:val="00E8137C"/>
    <w:rsid w:val="00E83BAD"/>
    <w:rsid w:val="00E853CB"/>
    <w:rsid w:val="00E94D85"/>
    <w:rsid w:val="00EA20FE"/>
    <w:rsid w:val="00EA3FDE"/>
    <w:rsid w:val="00EB1F6E"/>
    <w:rsid w:val="00EB4FB9"/>
    <w:rsid w:val="00EB7D0A"/>
    <w:rsid w:val="00EC2735"/>
    <w:rsid w:val="00EC711C"/>
    <w:rsid w:val="00ED688D"/>
    <w:rsid w:val="00EF1B7A"/>
    <w:rsid w:val="00F038ED"/>
    <w:rsid w:val="00F06EC5"/>
    <w:rsid w:val="00F104C6"/>
    <w:rsid w:val="00F2055C"/>
    <w:rsid w:val="00F2393D"/>
    <w:rsid w:val="00F25A3A"/>
    <w:rsid w:val="00F32739"/>
    <w:rsid w:val="00F35A32"/>
    <w:rsid w:val="00F37B29"/>
    <w:rsid w:val="00F44746"/>
    <w:rsid w:val="00F5409C"/>
    <w:rsid w:val="00F676B5"/>
    <w:rsid w:val="00F70A80"/>
    <w:rsid w:val="00F74AFA"/>
    <w:rsid w:val="00F77C18"/>
    <w:rsid w:val="00F8495E"/>
    <w:rsid w:val="00F96005"/>
    <w:rsid w:val="00FA1CBB"/>
    <w:rsid w:val="00FA4FBA"/>
    <w:rsid w:val="00FB235E"/>
    <w:rsid w:val="00FB2EED"/>
    <w:rsid w:val="00FC587E"/>
    <w:rsid w:val="00FC6B5B"/>
    <w:rsid w:val="00FD2B1E"/>
    <w:rsid w:val="00FD5338"/>
    <w:rsid w:val="00FF008F"/>
    <w:rsid w:val="00FF3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76D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330"/>
  </w:style>
  <w:style w:type="paragraph" w:styleId="Heading1">
    <w:name w:val="heading 1"/>
    <w:basedOn w:val="Normal"/>
    <w:next w:val="Normal"/>
    <w:link w:val="Heading1Char"/>
    <w:uiPriority w:val="9"/>
    <w:qFormat/>
    <w:rsid w:val="00377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7D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509E"/>
    <w:pPr>
      <w:spacing w:after="0" w:line="240" w:lineRule="auto"/>
    </w:pPr>
  </w:style>
  <w:style w:type="paragraph" w:styleId="Header">
    <w:name w:val="header"/>
    <w:basedOn w:val="Normal"/>
    <w:link w:val="HeaderChar"/>
    <w:uiPriority w:val="99"/>
    <w:unhideWhenUsed/>
    <w:rsid w:val="008E2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48F"/>
  </w:style>
  <w:style w:type="table" w:styleId="TableGrid">
    <w:name w:val="Table Grid"/>
    <w:basedOn w:val="TableNormal"/>
    <w:uiPriority w:val="59"/>
    <w:rsid w:val="00EF1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F1B7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uiPriority w:val="66"/>
    <w:rsid w:val="00FF00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E420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A16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er">
    <w:name w:val="footer"/>
    <w:basedOn w:val="Normal"/>
    <w:link w:val="FooterChar"/>
    <w:uiPriority w:val="99"/>
    <w:unhideWhenUsed/>
    <w:rsid w:val="00966D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D40"/>
  </w:style>
  <w:style w:type="table" w:styleId="MediumList2-Accent4">
    <w:name w:val="Medium List 2 Accent 4"/>
    <w:basedOn w:val="TableNormal"/>
    <w:uiPriority w:val="66"/>
    <w:rsid w:val="002865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6A2DE4"/>
    <w:rPr>
      <w:color w:val="0000FF" w:themeColor="hyperlink"/>
      <w:u w:val="single"/>
    </w:rPr>
  </w:style>
  <w:style w:type="character" w:customStyle="1" w:styleId="Heading1Char">
    <w:name w:val="Heading 1 Char"/>
    <w:basedOn w:val="DefaultParagraphFont"/>
    <w:link w:val="Heading1"/>
    <w:uiPriority w:val="9"/>
    <w:rsid w:val="00377D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7DF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13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3CA"/>
    <w:rPr>
      <w:rFonts w:ascii="Tahoma" w:hAnsi="Tahoma" w:cs="Tahoma"/>
      <w:sz w:val="16"/>
      <w:szCs w:val="16"/>
    </w:rPr>
  </w:style>
  <w:style w:type="table" w:styleId="LightGrid-Accent1">
    <w:name w:val="Light Grid Accent 1"/>
    <w:basedOn w:val="TableNormal"/>
    <w:uiPriority w:val="62"/>
    <w:rsid w:val="008D0DA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rsid w:val="008D0D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D77016"/>
    <w:rPr>
      <w:color w:val="800080" w:themeColor="followedHyperlink"/>
      <w:u w:val="single"/>
    </w:rPr>
  </w:style>
  <w:style w:type="paragraph" w:styleId="ListParagraph">
    <w:name w:val="List Paragraph"/>
    <w:basedOn w:val="Normal"/>
    <w:uiPriority w:val="34"/>
    <w:qFormat/>
    <w:rsid w:val="00E37C82"/>
    <w:pPr>
      <w:ind w:left="720"/>
      <w:contextualSpacing/>
    </w:pPr>
  </w:style>
  <w:style w:type="character" w:styleId="CommentReference">
    <w:name w:val="annotation reference"/>
    <w:basedOn w:val="DefaultParagraphFont"/>
    <w:uiPriority w:val="99"/>
    <w:semiHidden/>
    <w:unhideWhenUsed/>
    <w:rsid w:val="00801C88"/>
    <w:rPr>
      <w:sz w:val="16"/>
      <w:szCs w:val="16"/>
    </w:rPr>
  </w:style>
  <w:style w:type="paragraph" w:styleId="CommentText">
    <w:name w:val="annotation text"/>
    <w:basedOn w:val="Normal"/>
    <w:link w:val="CommentTextChar"/>
    <w:uiPriority w:val="99"/>
    <w:unhideWhenUsed/>
    <w:rsid w:val="00801C88"/>
    <w:pPr>
      <w:spacing w:line="240" w:lineRule="auto"/>
    </w:pPr>
    <w:rPr>
      <w:sz w:val="20"/>
      <w:szCs w:val="20"/>
    </w:rPr>
  </w:style>
  <w:style w:type="character" w:customStyle="1" w:styleId="CommentTextChar">
    <w:name w:val="Comment Text Char"/>
    <w:basedOn w:val="DefaultParagraphFont"/>
    <w:link w:val="CommentText"/>
    <w:uiPriority w:val="99"/>
    <w:rsid w:val="00801C88"/>
    <w:rPr>
      <w:sz w:val="20"/>
      <w:szCs w:val="20"/>
    </w:rPr>
  </w:style>
  <w:style w:type="paragraph" w:styleId="CommentSubject">
    <w:name w:val="annotation subject"/>
    <w:basedOn w:val="CommentText"/>
    <w:next w:val="CommentText"/>
    <w:link w:val="CommentSubjectChar"/>
    <w:uiPriority w:val="99"/>
    <w:semiHidden/>
    <w:unhideWhenUsed/>
    <w:rsid w:val="00801C88"/>
    <w:rPr>
      <w:b/>
      <w:bCs/>
    </w:rPr>
  </w:style>
  <w:style w:type="character" w:customStyle="1" w:styleId="CommentSubjectChar">
    <w:name w:val="Comment Subject Char"/>
    <w:basedOn w:val="CommentTextChar"/>
    <w:link w:val="CommentSubject"/>
    <w:uiPriority w:val="99"/>
    <w:semiHidden/>
    <w:rsid w:val="00801C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6189">
      <w:bodyDiv w:val="1"/>
      <w:marLeft w:val="0"/>
      <w:marRight w:val="0"/>
      <w:marTop w:val="0"/>
      <w:marBottom w:val="0"/>
      <w:divBdr>
        <w:top w:val="none" w:sz="0" w:space="0" w:color="auto"/>
        <w:left w:val="none" w:sz="0" w:space="0" w:color="auto"/>
        <w:bottom w:val="none" w:sz="0" w:space="0" w:color="auto"/>
        <w:right w:val="none" w:sz="0" w:space="0" w:color="auto"/>
      </w:divBdr>
      <w:divsChild>
        <w:div w:id="1360397486">
          <w:marLeft w:val="533"/>
          <w:marRight w:val="0"/>
          <w:marTop w:val="120"/>
          <w:marBottom w:val="120"/>
          <w:divBdr>
            <w:top w:val="none" w:sz="0" w:space="0" w:color="auto"/>
            <w:left w:val="none" w:sz="0" w:space="0" w:color="auto"/>
            <w:bottom w:val="none" w:sz="0" w:space="0" w:color="auto"/>
            <w:right w:val="none" w:sz="0" w:space="0" w:color="auto"/>
          </w:divBdr>
        </w:div>
      </w:divsChild>
    </w:div>
    <w:div w:id="351304380">
      <w:bodyDiv w:val="1"/>
      <w:marLeft w:val="0"/>
      <w:marRight w:val="0"/>
      <w:marTop w:val="0"/>
      <w:marBottom w:val="0"/>
      <w:divBdr>
        <w:top w:val="none" w:sz="0" w:space="0" w:color="auto"/>
        <w:left w:val="none" w:sz="0" w:space="0" w:color="auto"/>
        <w:bottom w:val="none" w:sz="0" w:space="0" w:color="auto"/>
        <w:right w:val="none" w:sz="0" w:space="0" w:color="auto"/>
      </w:divBdr>
    </w:div>
    <w:div w:id="558902284">
      <w:bodyDiv w:val="1"/>
      <w:marLeft w:val="0"/>
      <w:marRight w:val="0"/>
      <w:marTop w:val="0"/>
      <w:marBottom w:val="0"/>
      <w:divBdr>
        <w:top w:val="none" w:sz="0" w:space="0" w:color="auto"/>
        <w:left w:val="none" w:sz="0" w:space="0" w:color="auto"/>
        <w:bottom w:val="none" w:sz="0" w:space="0" w:color="auto"/>
        <w:right w:val="none" w:sz="0" w:space="0" w:color="auto"/>
      </w:divBdr>
    </w:div>
    <w:div w:id="897865480">
      <w:bodyDiv w:val="1"/>
      <w:marLeft w:val="0"/>
      <w:marRight w:val="0"/>
      <w:marTop w:val="0"/>
      <w:marBottom w:val="0"/>
      <w:divBdr>
        <w:top w:val="none" w:sz="0" w:space="0" w:color="auto"/>
        <w:left w:val="none" w:sz="0" w:space="0" w:color="auto"/>
        <w:bottom w:val="none" w:sz="0" w:space="0" w:color="auto"/>
        <w:right w:val="none" w:sz="0" w:space="0" w:color="auto"/>
      </w:divBdr>
    </w:div>
    <w:div w:id="1283534063">
      <w:bodyDiv w:val="1"/>
      <w:marLeft w:val="0"/>
      <w:marRight w:val="0"/>
      <w:marTop w:val="0"/>
      <w:marBottom w:val="0"/>
      <w:divBdr>
        <w:top w:val="none" w:sz="0" w:space="0" w:color="auto"/>
        <w:left w:val="none" w:sz="0" w:space="0" w:color="auto"/>
        <w:bottom w:val="none" w:sz="0" w:space="0" w:color="auto"/>
        <w:right w:val="none" w:sz="0" w:space="0" w:color="auto"/>
      </w:divBdr>
      <w:divsChild>
        <w:div w:id="1458404531">
          <w:marLeft w:val="0"/>
          <w:marRight w:val="0"/>
          <w:marTop w:val="0"/>
          <w:marBottom w:val="0"/>
          <w:divBdr>
            <w:top w:val="none" w:sz="0" w:space="0" w:color="auto"/>
            <w:left w:val="none" w:sz="0" w:space="0" w:color="auto"/>
            <w:bottom w:val="none" w:sz="0" w:space="0" w:color="auto"/>
            <w:right w:val="none" w:sz="0" w:space="0" w:color="auto"/>
          </w:divBdr>
          <w:divsChild>
            <w:div w:id="371537139">
              <w:marLeft w:val="0"/>
              <w:marRight w:val="0"/>
              <w:marTop w:val="0"/>
              <w:marBottom w:val="0"/>
              <w:divBdr>
                <w:top w:val="single" w:sz="6" w:space="0" w:color="AECAF0"/>
                <w:left w:val="single" w:sz="6" w:space="0" w:color="AECAF0"/>
                <w:bottom w:val="single" w:sz="6" w:space="0" w:color="AECAF0"/>
                <w:right w:val="single" w:sz="6" w:space="0" w:color="AECAF0"/>
              </w:divBdr>
              <w:divsChild>
                <w:div w:id="120618434">
                  <w:marLeft w:val="0"/>
                  <w:marRight w:val="0"/>
                  <w:marTop w:val="0"/>
                  <w:marBottom w:val="0"/>
                  <w:divBdr>
                    <w:top w:val="none" w:sz="0" w:space="0" w:color="auto"/>
                    <w:left w:val="none" w:sz="0" w:space="0" w:color="auto"/>
                    <w:bottom w:val="none" w:sz="0" w:space="0" w:color="auto"/>
                    <w:right w:val="none" w:sz="0" w:space="0" w:color="auto"/>
                  </w:divBdr>
                  <w:divsChild>
                    <w:div w:id="1172839503">
                      <w:marLeft w:val="0"/>
                      <w:marRight w:val="0"/>
                      <w:marTop w:val="0"/>
                      <w:marBottom w:val="0"/>
                      <w:divBdr>
                        <w:top w:val="none" w:sz="0" w:space="0" w:color="auto"/>
                        <w:left w:val="none" w:sz="0" w:space="0" w:color="auto"/>
                        <w:bottom w:val="none" w:sz="0" w:space="0" w:color="auto"/>
                        <w:right w:val="none" w:sz="0" w:space="0" w:color="auto"/>
                      </w:divBdr>
                      <w:divsChild>
                        <w:div w:id="1425954731">
                          <w:marLeft w:val="0"/>
                          <w:marRight w:val="0"/>
                          <w:marTop w:val="0"/>
                          <w:marBottom w:val="0"/>
                          <w:divBdr>
                            <w:top w:val="none" w:sz="0" w:space="0" w:color="auto"/>
                            <w:left w:val="none" w:sz="0" w:space="0" w:color="auto"/>
                            <w:bottom w:val="none" w:sz="0" w:space="0" w:color="auto"/>
                            <w:right w:val="none" w:sz="0" w:space="0" w:color="auto"/>
                          </w:divBdr>
                          <w:divsChild>
                            <w:div w:id="2557701">
                              <w:marLeft w:val="0"/>
                              <w:marRight w:val="0"/>
                              <w:marTop w:val="0"/>
                              <w:marBottom w:val="0"/>
                              <w:divBdr>
                                <w:top w:val="none" w:sz="0" w:space="0" w:color="auto"/>
                                <w:left w:val="none" w:sz="0" w:space="0" w:color="auto"/>
                                <w:bottom w:val="none" w:sz="0" w:space="0" w:color="auto"/>
                                <w:right w:val="none" w:sz="0" w:space="0" w:color="auto"/>
                              </w:divBdr>
                              <w:divsChild>
                                <w:div w:id="1506749847">
                                  <w:marLeft w:val="0"/>
                                  <w:marRight w:val="0"/>
                                  <w:marTop w:val="0"/>
                                  <w:marBottom w:val="0"/>
                                  <w:divBdr>
                                    <w:top w:val="none" w:sz="0" w:space="0" w:color="auto"/>
                                    <w:left w:val="none" w:sz="0" w:space="0" w:color="auto"/>
                                    <w:bottom w:val="none" w:sz="0" w:space="0" w:color="auto"/>
                                    <w:right w:val="none" w:sz="0" w:space="0" w:color="auto"/>
                                  </w:divBdr>
                                  <w:divsChild>
                                    <w:div w:id="1446272819">
                                      <w:marLeft w:val="0"/>
                                      <w:marRight w:val="0"/>
                                      <w:marTop w:val="0"/>
                                      <w:marBottom w:val="0"/>
                                      <w:divBdr>
                                        <w:top w:val="single" w:sz="6" w:space="0" w:color="C0C0C0"/>
                                        <w:left w:val="single" w:sz="6" w:space="0" w:color="C0C0C0"/>
                                        <w:bottom w:val="single" w:sz="6" w:space="0" w:color="C0C0C0"/>
                                        <w:right w:val="single" w:sz="6" w:space="0" w:color="C0C0C0"/>
                                      </w:divBdr>
                                      <w:divsChild>
                                        <w:div w:id="8417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78707">
                          <w:marLeft w:val="0"/>
                          <w:marRight w:val="0"/>
                          <w:marTop w:val="0"/>
                          <w:marBottom w:val="0"/>
                          <w:divBdr>
                            <w:top w:val="none" w:sz="0" w:space="0" w:color="auto"/>
                            <w:left w:val="none" w:sz="0" w:space="0" w:color="auto"/>
                            <w:bottom w:val="none" w:sz="0" w:space="0" w:color="auto"/>
                            <w:right w:val="none" w:sz="0" w:space="0" w:color="auto"/>
                          </w:divBdr>
                          <w:divsChild>
                            <w:div w:id="251474913">
                              <w:marLeft w:val="0"/>
                              <w:marRight w:val="0"/>
                              <w:marTop w:val="0"/>
                              <w:marBottom w:val="0"/>
                              <w:divBdr>
                                <w:top w:val="none" w:sz="0" w:space="0" w:color="auto"/>
                                <w:left w:val="none" w:sz="0" w:space="0" w:color="auto"/>
                                <w:bottom w:val="none" w:sz="0" w:space="0" w:color="auto"/>
                                <w:right w:val="none" w:sz="0" w:space="0" w:color="auto"/>
                              </w:divBdr>
                              <w:divsChild>
                                <w:div w:id="316418995">
                                  <w:marLeft w:val="0"/>
                                  <w:marRight w:val="0"/>
                                  <w:marTop w:val="0"/>
                                  <w:marBottom w:val="0"/>
                                  <w:divBdr>
                                    <w:top w:val="none" w:sz="0" w:space="0" w:color="auto"/>
                                    <w:left w:val="none" w:sz="0" w:space="0" w:color="auto"/>
                                    <w:bottom w:val="none" w:sz="0" w:space="0" w:color="auto"/>
                                    <w:right w:val="none" w:sz="0" w:space="0" w:color="auto"/>
                                  </w:divBdr>
                                  <w:divsChild>
                                    <w:div w:id="2087918321">
                                      <w:marLeft w:val="0"/>
                                      <w:marRight w:val="0"/>
                                      <w:marTop w:val="0"/>
                                      <w:marBottom w:val="0"/>
                                      <w:divBdr>
                                        <w:top w:val="single" w:sz="6" w:space="0" w:color="C0C0C0"/>
                                        <w:left w:val="single" w:sz="6" w:space="0" w:color="C0C0C0"/>
                                        <w:bottom w:val="single" w:sz="6" w:space="0" w:color="C0C0C0"/>
                                        <w:right w:val="single" w:sz="6" w:space="0" w:color="C0C0C0"/>
                                      </w:divBdr>
                                      <w:divsChild>
                                        <w:div w:id="17858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84820">
                          <w:marLeft w:val="0"/>
                          <w:marRight w:val="0"/>
                          <w:marTop w:val="0"/>
                          <w:marBottom w:val="0"/>
                          <w:divBdr>
                            <w:top w:val="none" w:sz="0" w:space="0" w:color="auto"/>
                            <w:left w:val="none" w:sz="0" w:space="0" w:color="auto"/>
                            <w:bottom w:val="none" w:sz="0" w:space="0" w:color="auto"/>
                            <w:right w:val="none" w:sz="0" w:space="0" w:color="auto"/>
                          </w:divBdr>
                          <w:divsChild>
                            <w:div w:id="372268466">
                              <w:marLeft w:val="0"/>
                              <w:marRight w:val="0"/>
                              <w:marTop w:val="0"/>
                              <w:marBottom w:val="0"/>
                              <w:divBdr>
                                <w:top w:val="none" w:sz="0" w:space="0" w:color="auto"/>
                                <w:left w:val="none" w:sz="0" w:space="0" w:color="auto"/>
                                <w:bottom w:val="none" w:sz="0" w:space="0" w:color="auto"/>
                                <w:right w:val="none" w:sz="0" w:space="0" w:color="auto"/>
                              </w:divBdr>
                              <w:divsChild>
                                <w:div w:id="1369643404">
                                  <w:marLeft w:val="0"/>
                                  <w:marRight w:val="0"/>
                                  <w:marTop w:val="0"/>
                                  <w:marBottom w:val="0"/>
                                  <w:divBdr>
                                    <w:top w:val="none" w:sz="0" w:space="0" w:color="auto"/>
                                    <w:left w:val="none" w:sz="0" w:space="0" w:color="auto"/>
                                    <w:bottom w:val="none" w:sz="0" w:space="0" w:color="auto"/>
                                    <w:right w:val="none" w:sz="0" w:space="0" w:color="auto"/>
                                  </w:divBdr>
                                  <w:divsChild>
                                    <w:div w:id="472869951">
                                      <w:marLeft w:val="0"/>
                                      <w:marRight w:val="0"/>
                                      <w:marTop w:val="0"/>
                                      <w:marBottom w:val="0"/>
                                      <w:divBdr>
                                        <w:top w:val="single" w:sz="6" w:space="0" w:color="C0C0C0"/>
                                        <w:left w:val="single" w:sz="6" w:space="0" w:color="C0C0C0"/>
                                        <w:bottom w:val="single" w:sz="6" w:space="0" w:color="C0C0C0"/>
                                        <w:right w:val="single" w:sz="6" w:space="0" w:color="C0C0C0"/>
                                      </w:divBdr>
                                      <w:divsChild>
                                        <w:div w:id="1291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68292">
                          <w:marLeft w:val="0"/>
                          <w:marRight w:val="0"/>
                          <w:marTop w:val="0"/>
                          <w:marBottom w:val="0"/>
                          <w:divBdr>
                            <w:top w:val="none" w:sz="0" w:space="0" w:color="auto"/>
                            <w:left w:val="none" w:sz="0" w:space="0" w:color="auto"/>
                            <w:bottom w:val="none" w:sz="0" w:space="0" w:color="auto"/>
                            <w:right w:val="none" w:sz="0" w:space="0" w:color="auto"/>
                          </w:divBdr>
                          <w:divsChild>
                            <w:div w:id="1068456134">
                              <w:marLeft w:val="0"/>
                              <w:marRight w:val="0"/>
                              <w:marTop w:val="0"/>
                              <w:marBottom w:val="0"/>
                              <w:divBdr>
                                <w:top w:val="none" w:sz="0" w:space="0" w:color="auto"/>
                                <w:left w:val="none" w:sz="0" w:space="0" w:color="auto"/>
                                <w:bottom w:val="none" w:sz="0" w:space="0" w:color="auto"/>
                                <w:right w:val="none" w:sz="0" w:space="0" w:color="auto"/>
                              </w:divBdr>
                              <w:divsChild>
                                <w:div w:id="2059889700">
                                  <w:marLeft w:val="0"/>
                                  <w:marRight w:val="0"/>
                                  <w:marTop w:val="0"/>
                                  <w:marBottom w:val="0"/>
                                  <w:divBdr>
                                    <w:top w:val="none" w:sz="0" w:space="0" w:color="auto"/>
                                    <w:left w:val="none" w:sz="0" w:space="0" w:color="auto"/>
                                    <w:bottom w:val="none" w:sz="0" w:space="0" w:color="auto"/>
                                    <w:right w:val="none" w:sz="0" w:space="0" w:color="auto"/>
                                  </w:divBdr>
                                  <w:divsChild>
                                    <w:div w:id="1261524334">
                                      <w:marLeft w:val="0"/>
                                      <w:marRight w:val="0"/>
                                      <w:marTop w:val="0"/>
                                      <w:marBottom w:val="0"/>
                                      <w:divBdr>
                                        <w:top w:val="single" w:sz="6" w:space="0" w:color="C0C0C0"/>
                                        <w:left w:val="single" w:sz="6" w:space="0" w:color="C0C0C0"/>
                                        <w:bottom w:val="single" w:sz="6" w:space="0" w:color="C0C0C0"/>
                                        <w:right w:val="single" w:sz="6" w:space="0" w:color="C0C0C0"/>
                                      </w:divBdr>
                                      <w:divsChild>
                                        <w:div w:id="43224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1087">
                          <w:marLeft w:val="0"/>
                          <w:marRight w:val="0"/>
                          <w:marTop w:val="0"/>
                          <w:marBottom w:val="0"/>
                          <w:divBdr>
                            <w:top w:val="none" w:sz="0" w:space="0" w:color="auto"/>
                            <w:left w:val="none" w:sz="0" w:space="0" w:color="auto"/>
                            <w:bottom w:val="none" w:sz="0" w:space="0" w:color="auto"/>
                            <w:right w:val="none" w:sz="0" w:space="0" w:color="auto"/>
                          </w:divBdr>
                          <w:divsChild>
                            <w:div w:id="253124951">
                              <w:marLeft w:val="0"/>
                              <w:marRight w:val="0"/>
                              <w:marTop w:val="0"/>
                              <w:marBottom w:val="0"/>
                              <w:divBdr>
                                <w:top w:val="none" w:sz="0" w:space="0" w:color="auto"/>
                                <w:left w:val="none" w:sz="0" w:space="0" w:color="auto"/>
                                <w:bottom w:val="none" w:sz="0" w:space="0" w:color="auto"/>
                                <w:right w:val="none" w:sz="0" w:space="0" w:color="auto"/>
                              </w:divBdr>
                              <w:divsChild>
                                <w:div w:id="666900459">
                                  <w:marLeft w:val="0"/>
                                  <w:marRight w:val="0"/>
                                  <w:marTop w:val="0"/>
                                  <w:marBottom w:val="0"/>
                                  <w:divBdr>
                                    <w:top w:val="none" w:sz="0" w:space="0" w:color="auto"/>
                                    <w:left w:val="none" w:sz="0" w:space="0" w:color="auto"/>
                                    <w:bottom w:val="none" w:sz="0" w:space="0" w:color="auto"/>
                                    <w:right w:val="none" w:sz="0" w:space="0" w:color="auto"/>
                                  </w:divBdr>
                                  <w:divsChild>
                                    <w:div w:id="861282884">
                                      <w:marLeft w:val="0"/>
                                      <w:marRight w:val="0"/>
                                      <w:marTop w:val="0"/>
                                      <w:marBottom w:val="0"/>
                                      <w:divBdr>
                                        <w:top w:val="single" w:sz="6" w:space="0" w:color="C0C0C0"/>
                                        <w:left w:val="single" w:sz="6" w:space="0" w:color="C0C0C0"/>
                                        <w:bottom w:val="single" w:sz="6" w:space="0" w:color="C0C0C0"/>
                                        <w:right w:val="single" w:sz="6" w:space="0" w:color="C0C0C0"/>
                                      </w:divBdr>
                                      <w:divsChild>
                                        <w:div w:id="8839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448894">
                          <w:marLeft w:val="0"/>
                          <w:marRight w:val="0"/>
                          <w:marTop w:val="0"/>
                          <w:marBottom w:val="0"/>
                          <w:divBdr>
                            <w:top w:val="none" w:sz="0" w:space="0" w:color="auto"/>
                            <w:left w:val="none" w:sz="0" w:space="0" w:color="auto"/>
                            <w:bottom w:val="none" w:sz="0" w:space="0" w:color="auto"/>
                            <w:right w:val="none" w:sz="0" w:space="0" w:color="auto"/>
                          </w:divBdr>
                          <w:divsChild>
                            <w:div w:id="1371030172">
                              <w:marLeft w:val="0"/>
                              <w:marRight w:val="0"/>
                              <w:marTop w:val="0"/>
                              <w:marBottom w:val="0"/>
                              <w:divBdr>
                                <w:top w:val="none" w:sz="0" w:space="0" w:color="auto"/>
                                <w:left w:val="none" w:sz="0" w:space="0" w:color="auto"/>
                                <w:bottom w:val="none" w:sz="0" w:space="0" w:color="auto"/>
                                <w:right w:val="none" w:sz="0" w:space="0" w:color="auto"/>
                              </w:divBdr>
                              <w:divsChild>
                                <w:div w:id="1795713567">
                                  <w:marLeft w:val="0"/>
                                  <w:marRight w:val="0"/>
                                  <w:marTop w:val="0"/>
                                  <w:marBottom w:val="0"/>
                                  <w:divBdr>
                                    <w:top w:val="none" w:sz="0" w:space="0" w:color="auto"/>
                                    <w:left w:val="none" w:sz="0" w:space="0" w:color="auto"/>
                                    <w:bottom w:val="none" w:sz="0" w:space="0" w:color="auto"/>
                                    <w:right w:val="none" w:sz="0" w:space="0" w:color="auto"/>
                                  </w:divBdr>
                                  <w:divsChild>
                                    <w:div w:id="1053966667">
                                      <w:marLeft w:val="0"/>
                                      <w:marRight w:val="0"/>
                                      <w:marTop w:val="0"/>
                                      <w:marBottom w:val="0"/>
                                      <w:divBdr>
                                        <w:top w:val="single" w:sz="6" w:space="0" w:color="C0C0C0"/>
                                        <w:left w:val="single" w:sz="6" w:space="0" w:color="C0C0C0"/>
                                        <w:bottom w:val="single" w:sz="6" w:space="0" w:color="C0C0C0"/>
                                        <w:right w:val="single" w:sz="6" w:space="0" w:color="C0C0C0"/>
                                      </w:divBdr>
                                      <w:divsChild>
                                        <w:div w:id="2547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463244">
                          <w:marLeft w:val="0"/>
                          <w:marRight w:val="0"/>
                          <w:marTop w:val="0"/>
                          <w:marBottom w:val="0"/>
                          <w:divBdr>
                            <w:top w:val="none" w:sz="0" w:space="0" w:color="auto"/>
                            <w:left w:val="none" w:sz="0" w:space="0" w:color="auto"/>
                            <w:bottom w:val="none" w:sz="0" w:space="0" w:color="auto"/>
                            <w:right w:val="none" w:sz="0" w:space="0" w:color="auto"/>
                          </w:divBdr>
                          <w:divsChild>
                            <w:div w:id="670179831">
                              <w:marLeft w:val="0"/>
                              <w:marRight w:val="0"/>
                              <w:marTop w:val="0"/>
                              <w:marBottom w:val="0"/>
                              <w:divBdr>
                                <w:top w:val="none" w:sz="0" w:space="0" w:color="auto"/>
                                <w:left w:val="none" w:sz="0" w:space="0" w:color="auto"/>
                                <w:bottom w:val="none" w:sz="0" w:space="0" w:color="auto"/>
                                <w:right w:val="none" w:sz="0" w:space="0" w:color="auto"/>
                              </w:divBdr>
                              <w:divsChild>
                                <w:div w:id="920256640">
                                  <w:marLeft w:val="0"/>
                                  <w:marRight w:val="0"/>
                                  <w:marTop w:val="0"/>
                                  <w:marBottom w:val="0"/>
                                  <w:divBdr>
                                    <w:top w:val="none" w:sz="0" w:space="0" w:color="auto"/>
                                    <w:left w:val="none" w:sz="0" w:space="0" w:color="auto"/>
                                    <w:bottom w:val="none" w:sz="0" w:space="0" w:color="auto"/>
                                    <w:right w:val="none" w:sz="0" w:space="0" w:color="auto"/>
                                  </w:divBdr>
                                  <w:divsChild>
                                    <w:div w:id="841433321">
                                      <w:marLeft w:val="0"/>
                                      <w:marRight w:val="0"/>
                                      <w:marTop w:val="0"/>
                                      <w:marBottom w:val="0"/>
                                      <w:divBdr>
                                        <w:top w:val="single" w:sz="6" w:space="0" w:color="C0C0C0"/>
                                        <w:left w:val="single" w:sz="6" w:space="0" w:color="C0C0C0"/>
                                        <w:bottom w:val="single" w:sz="6" w:space="0" w:color="C0C0C0"/>
                                        <w:right w:val="single" w:sz="6" w:space="0" w:color="C0C0C0"/>
                                      </w:divBdr>
                                      <w:divsChild>
                                        <w:div w:id="2569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0944">
                          <w:marLeft w:val="0"/>
                          <w:marRight w:val="0"/>
                          <w:marTop w:val="0"/>
                          <w:marBottom w:val="0"/>
                          <w:divBdr>
                            <w:top w:val="none" w:sz="0" w:space="0" w:color="auto"/>
                            <w:left w:val="none" w:sz="0" w:space="0" w:color="auto"/>
                            <w:bottom w:val="none" w:sz="0" w:space="0" w:color="auto"/>
                            <w:right w:val="none" w:sz="0" w:space="0" w:color="auto"/>
                          </w:divBdr>
                          <w:divsChild>
                            <w:div w:id="1510288340">
                              <w:marLeft w:val="0"/>
                              <w:marRight w:val="0"/>
                              <w:marTop w:val="0"/>
                              <w:marBottom w:val="0"/>
                              <w:divBdr>
                                <w:top w:val="none" w:sz="0" w:space="0" w:color="auto"/>
                                <w:left w:val="none" w:sz="0" w:space="0" w:color="auto"/>
                                <w:bottom w:val="none" w:sz="0" w:space="0" w:color="auto"/>
                                <w:right w:val="none" w:sz="0" w:space="0" w:color="auto"/>
                              </w:divBdr>
                              <w:divsChild>
                                <w:div w:id="1788037958">
                                  <w:marLeft w:val="0"/>
                                  <w:marRight w:val="0"/>
                                  <w:marTop w:val="0"/>
                                  <w:marBottom w:val="0"/>
                                  <w:divBdr>
                                    <w:top w:val="none" w:sz="0" w:space="0" w:color="auto"/>
                                    <w:left w:val="none" w:sz="0" w:space="0" w:color="auto"/>
                                    <w:bottom w:val="none" w:sz="0" w:space="0" w:color="auto"/>
                                    <w:right w:val="none" w:sz="0" w:space="0" w:color="auto"/>
                                  </w:divBdr>
                                  <w:divsChild>
                                    <w:div w:id="4676627">
                                      <w:marLeft w:val="0"/>
                                      <w:marRight w:val="0"/>
                                      <w:marTop w:val="0"/>
                                      <w:marBottom w:val="0"/>
                                      <w:divBdr>
                                        <w:top w:val="single" w:sz="6" w:space="0" w:color="C0C0C0"/>
                                        <w:left w:val="single" w:sz="6" w:space="0" w:color="C0C0C0"/>
                                        <w:bottom w:val="single" w:sz="6" w:space="0" w:color="C0C0C0"/>
                                        <w:right w:val="single" w:sz="6" w:space="0" w:color="C0C0C0"/>
                                      </w:divBdr>
                                      <w:divsChild>
                                        <w:div w:id="19818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952446">
                          <w:marLeft w:val="0"/>
                          <w:marRight w:val="0"/>
                          <w:marTop w:val="0"/>
                          <w:marBottom w:val="0"/>
                          <w:divBdr>
                            <w:top w:val="none" w:sz="0" w:space="0" w:color="auto"/>
                            <w:left w:val="none" w:sz="0" w:space="0" w:color="auto"/>
                            <w:bottom w:val="none" w:sz="0" w:space="0" w:color="auto"/>
                            <w:right w:val="none" w:sz="0" w:space="0" w:color="auto"/>
                          </w:divBdr>
                          <w:divsChild>
                            <w:div w:id="1519276657">
                              <w:marLeft w:val="0"/>
                              <w:marRight w:val="0"/>
                              <w:marTop w:val="0"/>
                              <w:marBottom w:val="0"/>
                              <w:divBdr>
                                <w:top w:val="none" w:sz="0" w:space="0" w:color="auto"/>
                                <w:left w:val="none" w:sz="0" w:space="0" w:color="auto"/>
                                <w:bottom w:val="none" w:sz="0" w:space="0" w:color="auto"/>
                                <w:right w:val="none" w:sz="0" w:space="0" w:color="auto"/>
                              </w:divBdr>
                              <w:divsChild>
                                <w:div w:id="1735590250">
                                  <w:marLeft w:val="0"/>
                                  <w:marRight w:val="0"/>
                                  <w:marTop w:val="0"/>
                                  <w:marBottom w:val="0"/>
                                  <w:divBdr>
                                    <w:top w:val="none" w:sz="0" w:space="0" w:color="auto"/>
                                    <w:left w:val="none" w:sz="0" w:space="0" w:color="auto"/>
                                    <w:bottom w:val="none" w:sz="0" w:space="0" w:color="auto"/>
                                    <w:right w:val="none" w:sz="0" w:space="0" w:color="auto"/>
                                  </w:divBdr>
                                  <w:divsChild>
                                    <w:div w:id="662708022">
                                      <w:marLeft w:val="0"/>
                                      <w:marRight w:val="0"/>
                                      <w:marTop w:val="0"/>
                                      <w:marBottom w:val="0"/>
                                      <w:divBdr>
                                        <w:top w:val="single" w:sz="6" w:space="0" w:color="C0C0C0"/>
                                        <w:left w:val="single" w:sz="6" w:space="0" w:color="C0C0C0"/>
                                        <w:bottom w:val="single" w:sz="6" w:space="0" w:color="C0C0C0"/>
                                        <w:right w:val="single" w:sz="6" w:space="0" w:color="C0C0C0"/>
                                      </w:divBdr>
                                      <w:divsChild>
                                        <w:div w:id="21159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266400">
                          <w:marLeft w:val="0"/>
                          <w:marRight w:val="0"/>
                          <w:marTop w:val="0"/>
                          <w:marBottom w:val="0"/>
                          <w:divBdr>
                            <w:top w:val="none" w:sz="0" w:space="0" w:color="auto"/>
                            <w:left w:val="none" w:sz="0" w:space="0" w:color="auto"/>
                            <w:bottom w:val="none" w:sz="0" w:space="0" w:color="auto"/>
                            <w:right w:val="none" w:sz="0" w:space="0" w:color="auto"/>
                          </w:divBdr>
                          <w:divsChild>
                            <w:div w:id="1867402331">
                              <w:marLeft w:val="0"/>
                              <w:marRight w:val="0"/>
                              <w:marTop w:val="0"/>
                              <w:marBottom w:val="0"/>
                              <w:divBdr>
                                <w:top w:val="none" w:sz="0" w:space="0" w:color="auto"/>
                                <w:left w:val="none" w:sz="0" w:space="0" w:color="auto"/>
                                <w:bottom w:val="none" w:sz="0" w:space="0" w:color="auto"/>
                                <w:right w:val="none" w:sz="0" w:space="0" w:color="auto"/>
                              </w:divBdr>
                              <w:divsChild>
                                <w:div w:id="12388155">
                                  <w:marLeft w:val="0"/>
                                  <w:marRight w:val="0"/>
                                  <w:marTop w:val="0"/>
                                  <w:marBottom w:val="0"/>
                                  <w:divBdr>
                                    <w:top w:val="none" w:sz="0" w:space="0" w:color="auto"/>
                                    <w:left w:val="none" w:sz="0" w:space="0" w:color="auto"/>
                                    <w:bottom w:val="none" w:sz="0" w:space="0" w:color="auto"/>
                                    <w:right w:val="none" w:sz="0" w:space="0" w:color="auto"/>
                                  </w:divBdr>
                                  <w:divsChild>
                                    <w:div w:id="1417753153">
                                      <w:marLeft w:val="0"/>
                                      <w:marRight w:val="0"/>
                                      <w:marTop w:val="0"/>
                                      <w:marBottom w:val="0"/>
                                      <w:divBdr>
                                        <w:top w:val="single" w:sz="6" w:space="0" w:color="C0C0C0"/>
                                        <w:left w:val="single" w:sz="6" w:space="0" w:color="C0C0C0"/>
                                        <w:bottom w:val="single" w:sz="6" w:space="0" w:color="C0C0C0"/>
                                        <w:right w:val="single" w:sz="6" w:space="0" w:color="C0C0C0"/>
                                      </w:divBdr>
                                      <w:divsChild>
                                        <w:div w:id="2092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085643">
                          <w:marLeft w:val="0"/>
                          <w:marRight w:val="0"/>
                          <w:marTop w:val="0"/>
                          <w:marBottom w:val="0"/>
                          <w:divBdr>
                            <w:top w:val="none" w:sz="0" w:space="0" w:color="auto"/>
                            <w:left w:val="none" w:sz="0" w:space="0" w:color="auto"/>
                            <w:bottom w:val="none" w:sz="0" w:space="0" w:color="auto"/>
                            <w:right w:val="none" w:sz="0" w:space="0" w:color="auto"/>
                          </w:divBdr>
                          <w:divsChild>
                            <w:div w:id="601690565">
                              <w:marLeft w:val="0"/>
                              <w:marRight w:val="0"/>
                              <w:marTop w:val="0"/>
                              <w:marBottom w:val="0"/>
                              <w:divBdr>
                                <w:top w:val="none" w:sz="0" w:space="0" w:color="auto"/>
                                <w:left w:val="none" w:sz="0" w:space="0" w:color="auto"/>
                                <w:bottom w:val="none" w:sz="0" w:space="0" w:color="auto"/>
                                <w:right w:val="none" w:sz="0" w:space="0" w:color="auto"/>
                              </w:divBdr>
                              <w:divsChild>
                                <w:div w:id="1042631009">
                                  <w:marLeft w:val="0"/>
                                  <w:marRight w:val="0"/>
                                  <w:marTop w:val="0"/>
                                  <w:marBottom w:val="0"/>
                                  <w:divBdr>
                                    <w:top w:val="none" w:sz="0" w:space="0" w:color="auto"/>
                                    <w:left w:val="none" w:sz="0" w:space="0" w:color="auto"/>
                                    <w:bottom w:val="none" w:sz="0" w:space="0" w:color="auto"/>
                                    <w:right w:val="none" w:sz="0" w:space="0" w:color="auto"/>
                                  </w:divBdr>
                                  <w:divsChild>
                                    <w:div w:id="1207716467">
                                      <w:marLeft w:val="0"/>
                                      <w:marRight w:val="0"/>
                                      <w:marTop w:val="0"/>
                                      <w:marBottom w:val="0"/>
                                      <w:divBdr>
                                        <w:top w:val="single" w:sz="6" w:space="0" w:color="C0C0C0"/>
                                        <w:left w:val="single" w:sz="6" w:space="0" w:color="C0C0C0"/>
                                        <w:bottom w:val="single" w:sz="6" w:space="0" w:color="C0C0C0"/>
                                        <w:right w:val="single" w:sz="6" w:space="0" w:color="C0C0C0"/>
                                      </w:divBdr>
                                      <w:divsChild>
                                        <w:div w:id="9698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3974182">
      <w:bodyDiv w:val="1"/>
      <w:marLeft w:val="0"/>
      <w:marRight w:val="0"/>
      <w:marTop w:val="0"/>
      <w:marBottom w:val="0"/>
      <w:divBdr>
        <w:top w:val="none" w:sz="0" w:space="0" w:color="auto"/>
        <w:left w:val="none" w:sz="0" w:space="0" w:color="auto"/>
        <w:bottom w:val="none" w:sz="0" w:space="0" w:color="auto"/>
        <w:right w:val="none" w:sz="0" w:space="0" w:color="auto"/>
      </w:divBdr>
    </w:div>
    <w:div w:id="1487548178">
      <w:bodyDiv w:val="1"/>
      <w:marLeft w:val="0"/>
      <w:marRight w:val="0"/>
      <w:marTop w:val="0"/>
      <w:marBottom w:val="0"/>
      <w:divBdr>
        <w:top w:val="none" w:sz="0" w:space="0" w:color="auto"/>
        <w:left w:val="none" w:sz="0" w:space="0" w:color="auto"/>
        <w:bottom w:val="none" w:sz="0" w:space="0" w:color="auto"/>
        <w:right w:val="none" w:sz="0" w:space="0" w:color="auto"/>
      </w:divBdr>
    </w:div>
    <w:div w:id="1502506415">
      <w:bodyDiv w:val="1"/>
      <w:marLeft w:val="0"/>
      <w:marRight w:val="0"/>
      <w:marTop w:val="0"/>
      <w:marBottom w:val="0"/>
      <w:divBdr>
        <w:top w:val="none" w:sz="0" w:space="0" w:color="auto"/>
        <w:left w:val="none" w:sz="0" w:space="0" w:color="auto"/>
        <w:bottom w:val="none" w:sz="0" w:space="0" w:color="auto"/>
        <w:right w:val="none" w:sz="0" w:space="0" w:color="auto"/>
      </w:divBdr>
    </w:div>
    <w:div w:id="1860849438">
      <w:bodyDiv w:val="1"/>
      <w:marLeft w:val="0"/>
      <w:marRight w:val="0"/>
      <w:marTop w:val="0"/>
      <w:marBottom w:val="0"/>
      <w:divBdr>
        <w:top w:val="none" w:sz="0" w:space="0" w:color="auto"/>
        <w:left w:val="none" w:sz="0" w:space="0" w:color="auto"/>
        <w:bottom w:val="none" w:sz="0" w:space="0" w:color="auto"/>
        <w:right w:val="none" w:sz="0" w:space="0" w:color="auto"/>
      </w:divBdr>
    </w:div>
    <w:div w:id="1865483814">
      <w:bodyDiv w:val="1"/>
      <w:marLeft w:val="0"/>
      <w:marRight w:val="0"/>
      <w:marTop w:val="0"/>
      <w:marBottom w:val="0"/>
      <w:divBdr>
        <w:top w:val="none" w:sz="0" w:space="0" w:color="auto"/>
        <w:left w:val="none" w:sz="0" w:space="0" w:color="auto"/>
        <w:bottom w:val="none" w:sz="0" w:space="0" w:color="auto"/>
        <w:right w:val="none" w:sz="0" w:space="0" w:color="auto"/>
      </w:divBdr>
      <w:divsChild>
        <w:div w:id="1226331201">
          <w:marLeft w:val="533"/>
          <w:marRight w:val="0"/>
          <w:marTop w:val="120"/>
          <w:marBottom w:val="0"/>
          <w:divBdr>
            <w:top w:val="none" w:sz="0" w:space="0" w:color="auto"/>
            <w:left w:val="none" w:sz="0" w:space="0" w:color="auto"/>
            <w:bottom w:val="none" w:sz="0" w:space="0" w:color="auto"/>
            <w:right w:val="none" w:sz="0" w:space="0" w:color="auto"/>
          </w:divBdr>
        </w:div>
      </w:divsChild>
    </w:div>
    <w:div w:id="1914006535">
      <w:bodyDiv w:val="1"/>
      <w:marLeft w:val="0"/>
      <w:marRight w:val="0"/>
      <w:marTop w:val="0"/>
      <w:marBottom w:val="0"/>
      <w:divBdr>
        <w:top w:val="none" w:sz="0" w:space="0" w:color="auto"/>
        <w:left w:val="none" w:sz="0" w:space="0" w:color="auto"/>
        <w:bottom w:val="none" w:sz="0" w:space="0" w:color="auto"/>
        <w:right w:val="none" w:sz="0" w:space="0" w:color="auto"/>
      </w:divBdr>
    </w:div>
    <w:div w:id="193620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ergy.gov/eere/femp/downloads/annual-energy-data-report" TargetMode="External"/><Relationship Id="rId18" Type="http://schemas.openxmlformats.org/officeDocument/2006/relationships/hyperlink" Target="https://www.energy.gov/eere/femp/eisa-federal-facility-management-and-benchmarking-reporting-requirements" TargetMode="External"/><Relationship Id="rId26" Type="http://schemas.openxmlformats.org/officeDocument/2006/relationships/hyperlink" Target="https://www.energystar.gov/sites/default/files/tools/QuickConverter_v2014.xl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4.emf"/><Relationship Id="rId42" Type="http://schemas.openxmlformats.org/officeDocument/2006/relationships/hyperlink" Target="mailto:EERE_CTS@ee.doe.gov" TargetMode="External"/><Relationship Id="rId7" Type="http://schemas.openxmlformats.org/officeDocument/2006/relationships/endnotes" Target="endnotes.xml"/><Relationship Id="rId12" Type="http://schemas.openxmlformats.org/officeDocument/2006/relationships/hyperlink" Target="http://energy.gov/eere/femp/federal-facility-consolidated-annual-reporting-requirements" TargetMode="External"/><Relationship Id="rId17" Type="http://schemas.openxmlformats.org/officeDocument/2006/relationships/hyperlink" Target="http://energy.gov/eere/femp/downloads/annual-energy-data-report" TargetMode="External"/><Relationship Id="rId25" Type="http://schemas.openxmlformats.org/officeDocument/2006/relationships/oleObject" Target="embeddings/Microsoft_Excel_97-2003_Worksheet1.xls"/><Relationship Id="rId33" Type="http://schemas.openxmlformats.org/officeDocument/2006/relationships/image" Target="media/image3.emf"/><Relationship Id="rId38" Type="http://schemas.openxmlformats.org/officeDocument/2006/relationships/image" Target="media/image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hris.tremper@ee.doe.gov" TargetMode="External"/><Relationship Id="rId20" Type="http://schemas.openxmlformats.org/officeDocument/2006/relationships/header" Target="header3.xml"/><Relationship Id="rId29" Type="http://schemas.openxmlformats.org/officeDocument/2006/relationships/hyperlink" Target="mailto:chris.tremper@ee.doe.gov"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ergy.gov/eere/femp/federal-facility-annual-energy-reports-and-performance" TargetMode="External"/><Relationship Id="rId24" Type="http://schemas.openxmlformats.org/officeDocument/2006/relationships/image" Target="media/image2.emf"/><Relationship Id="rId32" Type="http://schemas.openxmlformats.org/officeDocument/2006/relationships/hyperlink" Target="https://www.eisa-432-cts.eere.energy.gov/EISACTS/Reports/Reports.aspx" TargetMode="External"/><Relationship Id="rId37" Type="http://schemas.openxmlformats.org/officeDocument/2006/relationships/hyperlink" Target="http://energy.gov/sites/prod/files/2016/01/f28/mv_guide_4_0.pdf" TargetMode="External"/><Relationship Id="rId40" Type="http://schemas.openxmlformats.org/officeDocument/2006/relationships/hyperlink" Target="https://www.eisa-432-cts.eere.energy.gov/%20EISACTS/Reports/Reports.asp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nergy.gov/eere/femp/downloads/guidelines-establishing-criteria-excluding-buildings-energy-performance" TargetMode="External"/><Relationship Id="rId23" Type="http://schemas.openxmlformats.org/officeDocument/2006/relationships/hyperlink" Target="https://www.energy.gov/eere/femp/eisa-federal-facility-management-and-benchmarking-reporting-requirements" TargetMode="External"/><Relationship Id="rId28" Type="http://schemas.openxmlformats.org/officeDocument/2006/relationships/hyperlink" Target="http://energy.gov/eere/femp/downloads/annual-energy-data-report" TargetMode="External"/><Relationship Id="rId36" Type="http://schemas.openxmlformats.org/officeDocument/2006/relationships/hyperlink" Target="http://energy.gov/sites/prod/files/2013/10/f4/eisa_project_guidance.pdf"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s://www.energystar.gov/buildings/tools-and-resources/portfolio-manager-technical-reference-climate-and-weather" TargetMode="External"/><Relationship Id="rId44"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nergy.gov/eere/femp/downloads/annual-energy-data-report" TargetMode="External"/><Relationship Id="rId22" Type="http://schemas.openxmlformats.org/officeDocument/2006/relationships/header" Target="header4.xml"/><Relationship Id="rId27" Type="http://schemas.openxmlformats.org/officeDocument/2006/relationships/hyperlink" Target="http://www.regulations.gov/document?D=EERE-2010-BT-STD-0031-0034" TargetMode="External"/><Relationship Id="rId30" Type="http://schemas.openxmlformats.org/officeDocument/2006/relationships/hyperlink" Target="https://www.sustainability.gov/pdfs/eo13834_instructions.pdf" TargetMode="External"/><Relationship Id="rId35" Type="http://schemas.openxmlformats.org/officeDocument/2006/relationships/hyperlink" Target="https://www.sustainability.gov/pdfs/eo13834_instructions.pdf"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3F22C-5CB2-41D2-8ACB-A0B618CA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4181</Words>
  <Characters>23835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2019-09-30T13:41:00Z</dcterms:created>
  <dcterms:modified xsi:type="dcterms:W3CDTF">2019-09-30T16:45:00Z</dcterms:modified>
</cp:coreProperties>
</file>