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83FC9" w14:textId="528303D7" w:rsidR="00BB118D" w:rsidRDefault="00F45FD7" w:rsidP="00BB118D">
      <w:pPr>
        <w:rPr>
          <w:b/>
          <w:sz w:val="24"/>
          <w:szCs w:val="24"/>
        </w:rPr>
      </w:pP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C644" wp14:editId="1C175B21">
                <wp:simplePos x="0" y="0"/>
                <wp:positionH relativeFrom="column">
                  <wp:posOffset>2534920</wp:posOffset>
                </wp:positionH>
                <wp:positionV relativeFrom="paragraph">
                  <wp:posOffset>-445135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3F936" w14:textId="49E2165D" w:rsidR="00241965" w:rsidRPr="00F45FD7" w:rsidRDefault="00143852" w:rsidP="004764DB">
                            <w:pPr>
                              <w:pStyle w:val="Header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F45FD7">
                              <w:rPr>
                                <w:i/>
                                <w:sz w:val="20"/>
                              </w:rPr>
                              <w:t>Title</w:t>
                            </w:r>
                          </w:p>
                          <w:p w14:paraId="40F474B3" w14:textId="2BEF39B2" w:rsidR="00241965" w:rsidRPr="00F45FD7" w:rsidRDefault="00241965" w:rsidP="004764DB">
                            <w:pPr>
                              <w:pStyle w:val="Header"/>
                              <w:jc w:val="right"/>
                              <w:rPr>
                                <w:sz w:val="20"/>
                              </w:rPr>
                            </w:pPr>
                            <w:r w:rsidRPr="00F45FD7">
                              <w:rPr>
                                <w:sz w:val="20"/>
                              </w:rPr>
                              <w:t>ESPC Process Doc</w:t>
                            </w:r>
                            <w:r w:rsidR="00994009" w:rsidRPr="00F45FD7">
                              <w:rPr>
                                <w:sz w:val="20"/>
                              </w:rPr>
                              <w:t>.</w:t>
                            </w:r>
                            <w:r w:rsidRPr="00F45FD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45FD7">
                              <w:rPr>
                                <w:sz w:val="20"/>
                              </w:rPr>
                              <w:t>P</w:t>
                            </w:r>
                            <w:r w:rsidR="00216EEF" w:rsidRPr="00F45FD7">
                              <w:rPr>
                                <w:sz w:val="20"/>
                              </w:rPr>
                              <w:t>3</w:t>
                            </w:r>
                            <w:proofErr w:type="spellEnd"/>
                            <w:r w:rsidR="00CD00A3">
                              <w:rPr>
                                <w:sz w:val="20"/>
                              </w:rPr>
                              <w:t>-03</w:t>
                            </w:r>
                            <w:r w:rsidRPr="00F45FD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7B45B6F" w14:textId="4E887300" w:rsidR="00241965" w:rsidRPr="00F45FD7" w:rsidRDefault="00B544EB" w:rsidP="004764DB">
                            <w:pPr>
                              <w:pStyle w:val="Header"/>
                              <w:jc w:val="right"/>
                              <w:rPr>
                                <w:sz w:val="20"/>
                              </w:rPr>
                            </w:pPr>
                            <w:r w:rsidRPr="00F45FD7">
                              <w:rPr>
                                <w:sz w:val="20"/>
                              </w:rPr>
                              <w:t xml:space="preserve">r. </w:t>
                            </w:r>
                            <w:r w:rsidR="00CD00A3">
                              <w:rPr>
                                <w:sz w:val="20"/>
                              </w:rPr>
                              <w:t>10-25-14</w:t>
                            </w:r>
                          </w:p>
                          <w:p w14:paraId="35D1EB62" w14:textId="332D79CA" w:rsidR="00241965" w:rsidRPr="00F45FD7" w:rsidRDefault="00241965" w:rsidP="004764DB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F45FD7">
                              <w:rPr>
                                <w:sz w:val="20"/>
                              </w:rPr>
                              <w:t>Responsibility:</w:t>
                            </w:r>
                            <w:r w:rsidRPr="00F45FD7">
                              <w:rPr>
                                <w:noProof/>
                              </w:rPr>
                              <w:t xml:space="preserve"> </w:t>
                            </w:r>
                            <w:r w:rsidRPr="00F45FD7">
                              <w:rPr>
                                <w:sz w:val="20"/>
                              </w:rPr>
                              <w:t xml:space="preserve"> </w:t>
                            </w:r>
                            <w:r w:rsidR="00CD00A3">
                              <w:rPr>
                                <w:sz w:val="20"/>
                              </w:rPr>
                              <w:t xml:space="preserve">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99.6pt;margin-top:-35.05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" filled="f" stroked="f" strokeweight=".5pt">
                <v:textbox>
                  <w:txbxContent>
                    <w:p w14:paraId="0C43F936" w14:textId="49E2165D" w:rsidR="00241965" w:rsidRPr="00F45FD7" w:rsidRDefault="00143852" w:rsidP="004764DB">
                      <w:pPr>
                        <w:pStyle w:val="Header"/>
                        <w:jc w:val="right"/>
                        <w:rPr>
                          <w:i/>
                          <w:sz w:val="20"/>
                        </w:rPr>
                      </w:pPr>
                      <w:r w:rsidRPr="00F45FD7">
                        <w:rPr>
                          <w:i/>
                          <w:sz w:val="20"/>
                        </w:rPr>
                        <w:t>Title</w:t>
                      </w:r>
                    </w:p>
                    <w:p w14:paraId="40F474B3" w14:textId="2BEF39B2" w:rsidR="00241965" w:rsidRPr="00F45FD7" w:rsidRDefault="00241965" w:rsidP="004764DB">
                      <w:pPr>
                        <w:pStyle w:val="Header"/>
                        <w:jc w:val="right"/>
                        <w:rPr>
                          <w:sz w:val="20"/>
                        </w:rPr>
                      </w:pPr>
                      <w:r w:rsidRPr="00F45FD7">
                        <w:rPr>
                          <w:sz w:val="20"/>
                        </w:rPr>
                        <w:t>ESPC Process Doc</w:t>
                      </w:r>
                      <w:r w:rsidR="00994009" w:rsidRPr="00F45FD7">
                        <w:rPr>
                          <w:sz w:val="20"/>
                        </w:rPr>
                        <w:t>.</w:t>
                      </w:r>
                      <w:r w:rsidRPr="00F45FD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F45FD7">
                        <w:rPr>
                          <w:sz w:val="20"/>
                        </w:rPr>
                        <w:t>P</w:t>
                      </w:r>
                      <w:r w:rsidR="00216EEF" w:rsidRPr="00F45FD7">
                        <w:rPr>
                          <w:sz w:val="20"/>
                        </w:rPr>
                        <w:t>3</w:t>
                      </w:r>
                      <w:proofErr w:type="spellEnd"/>
                      <w:r w:rsidR="00CD00A3">
                        <w:rPr>
                          <w:sz w:val="20"/>
                        </w:rPr>
                        <w:t>-03</w:t>
                      </w:r>
                      <w:r w:rsidRPr="00F45FD7">
                        <w:rPr>
                          <w:sz w:val="20"/>
                        </w:rPr>
                        <w:t xml:space="preserve"> </w:t>
                      </w:r>
                    </w:p>
                    <w:p w14:paraId="47B45B6F" w14:textId="4E887300" w:rsidR="00241965" w:rsidRPr="00F45FD7" w:rsidRDefault="00B544EB" w:rsidP="004764DB">
                      <w:pPr>
                        <w:pStyle w:val="Header"/>
                        <w:jc w:val="right"/>
                        <w:rPr>
                          <w:sz w:val="20"/>
                        </w:rPr>
                      </w:pPr>
                      <w:r w:rsidRPr="00F45FD7">
                        <w:rPr>
                          <w:sz w:val="20"/>
                        </w:rPr>
                        <w:t xml:space="preserve">r. </w:t>
                      </w:r>
                      <w:r w:rsidR="00CD00A3">
                        <w:rPr>
                          <w:sz w:val="20"/>
                        </w:rPr>
                        <w:t>10-25-14</w:t>
                      </w:r>
                    </w:p>
                    <w:p w14:paraId="35D1EB62" w14:textId="332D79CA" w:rsidR="00241965" w:rsidRPr="00F45FD7" w:rsidRDefault="00241965" w:rsidP="004764DB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F45FD7">
                        <w:rPr>
                          <w:sz w:val="20"/>
                        </w:rPr>
                        <w:t>Responsibility:</w:t>
                      </w:r>
                      <w:r w:rsidRPr="00F45FD7">
                        <w:rPr>
                          <w:noProof/>
                        </w:rPr>
                        <w:t xml:space="preserve"> </w:t>
                      </w:r>
                      <w:r w:rsidRPr="00F45FD7">
                        <w:rPr>
                          <w:sz w:val="20"/>
                        </w:rPr>
                        <w:t xml:space="preserve"> </w:t>
                      </w:r>
                      <w:r w:rsidR="00CD00A3">
                        <w:rPr>
                          <w:sz w:val="20"/>
                        </w:rPr>
                        <w:t xml:space="preserve"> PF</w:t>
                      </w:r>
                    </w:p>
                  </w:txbxContent>
                </v:textbox>
              </v:shape>
            </w:pict>
          </mc:Fallback>
        </mc:AlternateContent>
      </w:r>
      <w:r w:rsidR="00B6291C">
        <w:rPr>
          <w:i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7531236" wp14:editId="67A7705D">
            <wp:simplePos x="0" y="0"/>
            <wp:positionH relativeFrom="column">
              <wp:posOffset>668020</wp:posOffset>
            </wp:positionH>
            <wp:positionV relativeFrom="paragraph">
              <wp:posOffset>-432435</wp:posOffset>
            </wp:positionV>
            <wp:extent cx="1597025" cy="737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6387F" wp14:editId="0D0AC8D7">
                <wp:simplePos x="0" y="0"/>
                <wp:positionH relativeFrom="column">
                  <wp:posOffset>-1871980</wp:posOffset>
                </wp:positionH>
                <wp:positionV relativeFrom="paragraph">
                  <wp:posOffset>281940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7.4pt,22.2pt" to="35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" strokecolor="#4579b8 [3044]"/>
            </w:pict>
          </mc:Fallback>
        </mc:AlternateContent>
      </w:r>
      <w:r w:rsidR="00940F77">
        <w:rPr>
          <w:noProof/>
        </w:rPr>
        <w:drawing>
          <wp:anchor distT="0" distB="0" distL="114300" distR="114300" simplePos="0" relativeHeight="251656192" behindDoc="1" locked="0" layoutInCell="1" allowOverlap="1" wp14:anchorId="06771704" wp14:editId="073740ED">
            <wp:simplePos x="0" y="0"/>
            <wp:positionH relativeFrom="column">
              <wp:posOffset>-210185</wp:posOffset>
            </wp:positionH>
            <wp:positionV relativeFrom="paragraph">
              <wp:posOffset>-430530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77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CD353" wp14:editId="5E20C6C3">
                <wp:simplePos x="0" y="0"/>
                <wp:positionH relativeFrom="column">
                  <wp:posOffset>-1948180</wp:posOffset>
                </wp:positionH>
                <wp:positionV relativeFrom="paragraph">
                  <wp:posOffset>-613410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53.4pt;margin-top:-48.3pt;width:510pt;height:1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UieOGuAAAAAM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14:paraId="390944FC" w14:textId="4E66AEAA" w:rsidR="000316A0" w:rsidRDefault="00A56E35" w:rsidP="00BB118D">
      <w:pPr>
        <w:rPr>
          <w:b/>
        </w:rPr>
      </w:pPr>
      <w:r>
        <w:rPr>
          <w:b/>
        </w:rPr>
        <w:t xml:space="preserve"> </w:t>
      </w:r>
    </w:p>
    <w:p w14:paraId="33A855CF" w14:textId="33A173F2" w:rsidR="000316A0" w:rsidRDefault="000316A0" w:rsidP="00BB118D">
      <w:pPr>
        <w:rPr>
          <w:b/>
        </w:rPr>
      </w:pPr>
    </w:p>
    <w:p w14:paraId="234719BA" w14:textId="77777777" w:rsidR="00CD00A3" w:rsidRDefault="00CD00A3" w:rsidP="00143852">
      <w:pPr>
        <w:spacing w:after="200"/>
        <w:rPr>
          <w:szCs w:val="24"/>
        </w:rPr>
      </w:pPr>
    </w:p>
    <w:p w14:paraId="62A4885A" w14:textId="77777777" w:rsidR="00CD00A3" w:rsidRPr="00CD00A3" w:rsidRDefault="00CD00A3" w:rsidP="00CD00A3">
      <w:pPr>
        <w:jc w:val="center"/>
        <w:rPr>
          <w:b/>
        </w:rPr>
      </w:pPr>
      <w:r w:rsidRPr="00CD00A3">
        <w:rPr>
          <w:b/>
        </w:rPr>
        <w:t>INVESTMENT-GRADE AUDIT:  REVIEW CHECKLIST</w:t>
      </w:r>
    </w:p>
    <w:p w14:paraId="5D0FDF20" w14:textId="77777777" w:rsidR="00CD00A3" w:rsidRPr="00406E90" w:rsidRDefault="00CD00A3" w:rsidP="00CD00A3">
      <w:pPr>
        <w:jc w:val="center"/>
      </w:pPr>
    </w:p>
    <w:p w14:paraId="44EFC72F" w14:textId="77777777" w:rsidR="00CD00A3" w:rsidRPr="00406E90" w:rsidRDefault="00CD00A3" w:rsidP="00CD00A3">
      <w:pPr>
        <w:jc w:val="center"/>
      </w:pPr>
    </w:p>
    <w:p w14:paraId="3DB939E1" w14:textId="77777777" w:rsidR="00CD00A3" w:rsidRPr="00406E90" w:rsidRDefault="00CD00A3" w:rsidP="00CD00A3">
      <w:pPr>
        <w:spacing w:before="120"/>
      </w:pPr>
      <w:r w:rsidRPr="00406E90">
        <w:t xml:space="preserve">Project name:   </w:t>
      </w:r>
      <w:r w:rsidRPr="00406E90">
        <w:rPr>
          <w:u w:val="single"/>
        </w:rPr>
        <w:t xml:space="preserve">                                             </w:t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</w:p>
    <w:p w14:paraId="05EE447C" w14:textId="77777777" w:rsidR="00CD00A3" w:rsidRPr="00406E90" w:rsidRDefault="00CD00A3" w:rsidP="00CD00A3">
      <w:pPr>
        <w:spacing w:before="120"/>
      </w:pPr>
      <w:proofErr w:type="spellStart"/>
      <w:r w:rsidRPr="00406E90">
        <w:t>FEMP</w:t>
      </w:r>
      <w:proofErr w:type="spellEnd"/>
      <w:r w:rsidRPr="00406E90">
        <w:t xml:space="preserve"> ID#:  </w:t>
      </w:r>
      <w:r w:rsidRPr="00406E90">
        <w:rPr>
          <w:u w:val="single"/>
        </w:rPr>
        <w:t xml:space="preserve">                                      </w:t>
      </w:r>
      <w:r w:rsidRPr="00406E90">
        <w:rPr>
          <w:u w:val="single"/>
        </w:rPr>
        <w:tab/>
        <w:t xml:space="preserve">       </w:t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</w:p>
    <w:p w14:paraId="20C5F110" w14:textId="77777777" w:rsidR="00CD00A3" w:rsidRPr="00406E90" w:rsidRDefault="00CD00A3" w:rsidP="00CD00A3">
      <w:pPr>
        <w:spacing w:before="120"/>
      </w:pPr>
      <w:r w:rsidRPr="00406E90">
        <w:t xml:space="preserve">Agency:  </w:t>
      </w:r>
      <w:r w:rsidRPr="00406E90">
        <w:rPr>
          <w:u w:val="single"/>
        </w:rPr>
        <w:t xml:space="preserve">                                             </w:t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</w:p>
    <w:p w14:paraId="64BDA623" w14:textId="77777777" w:rsidR="00CD00A3" w:rsidRPr="00406E90" w:rsidRDefault="00CD00A3" w:rsidP="00CD00A3">
      <w:pPr>
        <w:spacing w:before="120"/>
      </w:pPr>
      <w:r w:rsidRPr="00406E90">
        <w:t>Project Facilitator:</w:t>
      </w:r>
      <w:r w:rsidRPr="00406E90">
        <w:rPr>
          <w:noProof/>
        </w:rPr>
        <w:t xml:space="preserve"> </w:t>
      </w:r>
      <w:r w:rsidRPr="00406E90">
        <w:t xml:space="preserve"> </w:t>
      </w:r>
      <w:r w:rsidRPr="00406E90">
        <w:rPr>
          <w:u w:val="single"/>
        </w:rPr>
        <w:t xml:space="preserve">                                             </w:t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</w:p>
    <w:p w14:paraId="5A9B76D0" w14:textId="77777777" w:rsidR="00CD00A3" w:rsidRPr="00406E90" w:rsidRDefault="00CD00A3" w:rsidP="00CD00A3">
      <w:pPr>
        <w:spacing w:before="120"/>
        <w:rPr>
          <w:u w:val="single"/>
        </w:rPr>
      </w:pPr>
      <w:r w:rsidRPr="00406E90">
        <w:t xml:space="preserve">Date of Review:  </w:t>
      </w:r>
      <w:r w:rsidRPr="00406E90">
        <w:rPr>
          <w:u w:val="single"/>
        </w:rPr>
        <w:t xml:space="preserve">                                             </w:t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  <w:r w:rsidRPr="00406E90">
        <w:rPr>
          <w:u w:val="single"/>
        </w:rPr>
        <w:tab/>
      </w:r>
    </w:p>
    <w:p w14:paraId="1929EB32" w14:textId="77777777" w:rsidR="00CD00A3" w:rsidRPr="00406E90" w:rsidRDefault="00CD00A3" w:rsidP="00CD00A3">
      <w:pPr>
        <w:spacing w:before="120"/>
        <w:rPr>
          <w:u w:val="single"/>
        </w:rPr>
      </w:pPr>
    </w:p>
    <w:p w14:paraId="7830AAA3" w14:textId="77777777" w:rsidR="00CD00A3" w:rsidRPr="00406E90" w:rsidRDefault="00CD00A3" w:rsidP="00CD00A3">
      <w:pPr>
        <w:rPr>
          <w:u w:val="single"/>
        </w:rPr>
      </w:pPr>
    </w:p>
    <w:p w14:paraId="7E0F285F" w14:textId="77777777" w:rsidR="00CD00A3" w:rsidRPr="00406E90" w:rsidRDefault="00CD00A3" w:rsidP="00CD00A3">
      <w:pPr>
        <w:rPr>
          <w:b/>
        </w:rPr>
      </w:pPr>
      <w:r w:rsidRPr="00406E90">
        <w:rPr>
          <w:b/>
        </w:rPr>
        <w:t>Overall</w:t>
      </w:r>
    </w:p>
    <w:p w14:paraId="268CB9C7" w14:textId="77777777" w:rsidR="00CD00A3" w:rsidRPr="00406E90" w:rsidRDefault="00CD00A3" w:rsidP="00CD00A3"/>
    <w:p w14:paraId="7FBFC51B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IGA content consistent with Agency requirements</w:t>
      </w:r>
    </w:p>
    <w:p w14:paraId="7AF99763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All buildings included in the scope are appropriate given facility master plan</w:t>
      </w:r>
    </w:p>
    <w:p w14:paraId="5431B776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Overall percentage energy and cost savings are reasonable</w:t>
      </w:r>
    </w:p>
    <w:p w14:paraId="12580582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Rebates and incentives were adequately pursued by </w:t>
      </w:r>
      <w:proofErr w:type="spellStart"/>
      <w:r w:rsidRPr="00406E90">
        <w:rPr>
          <w:rFonts w:ascii="Calibri" w:hAnsi="Calibri"/>
        </w:rPr>
        <w:t>ESCO</w:t>
      </w:r>
      <w:proofErr w:type="spellEnd"/>
    </w:p>
    <w:p w14:paraId="55D80552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Risks of emerging/underutilized technologies properly identified and brought to Agency’s attention as necessary</w:t>
      </w:r>
    </w:p>
    <w:p w14:paraId="5B51045D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Where Agency accepting </w:t>
      </w:r>
      <w:proofErr w:type="spellStart"/>
      <w:r w:rsidRPr="00406E90">
        <w:rPr>
          <w:rFonts w:ascii="Calibri" w:hAnsi="Calibri"/>
        </w:rPr>
        <w:t>O&amp;M</w:t>
      </w:r>
      <w:proofErr w:type="spellEnd"/>
      <w:r w:rsidRPr="00406E90">
        <w:rPr>
          <w:rFonts w:ascii="Calibri" w:hAnsi="Calibri"/>
        </w:rPr>
        <w:t xml:space="preserve"> responsibilities, reviewer has assessed the likelihood of problems and their potential impacts, and has brought these to the Agency’s attention</w:t>
      </w:r>
    </w:p>
    <w:p w14:paraId="4E213B00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Risk, Responsibility, and Performance Matrix consistent with Agency expectations</w:t>
      </w:r>
    </w:p>
    <w:p w14:paraId="6BE15952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strategies and costs provide good balance between cost and Agency risk</w:t>
      </w:r>
    </w:p>
    <w:p w14:paraId="3F2C9553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Reviewer has assessed the overall reliance on Option A methods to ensure appropriate, given risks.</w:t>
      </w:r>
    </w:p>
    <w:p w14:paraId="2C6978C8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Reviewer has examined percentage of project savings from electricity, gas, other fuels, water, and </w:t>
      </w:r>
      <w:proofErr w:type="spellStart"/>
      <w:r w:rsidRPr="00406E90">
        <w:rPr>
          <w:rFonts w:ascii="Calibri" w:hAnsi="Calibri"/>
        </w:rPr>
        <w:t>O&amp;M</w:t>
      </w:r>
      <w:proofErr w:type="spellEnd"/>
      <w:r w:rsidRPr="00406E90">
        <w:rPr>
          <w:rFonts w:ascii="Calibri" w:hAnsi="Calibri"/>
        </w:rPr>
        <w:t xml:space="preserve">, to identify where </w:t>
      </w: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should be focused</w:t>
      </w:r>
    </w:p>
    <w:p w14:paraId="654B4C26" w14:textId="77777777" w:rsidR="00CD00A3" w:rsidRPr="00406E90" w:rsidRDefault="00CD00A3" w:rsidP="00CD00A3">
      <w:pPr>
        <w:pStyle w:val="ListParagraph"/>
        <w:numPr>
          <w:ilvl w:val="0"/>
          <w:numId w:val="13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Reviewer’s written comments provided to Agency, and all comments, analysis, and supporting work archived and recallable upon request</w:t>
      </w:r>
    </w:p>
    <w:p w14:paraId="14B53030" w14:textId="77777777" w:rsidR="00CD00A3" w:rsidRPr="00406E90" w:rsidRDefault="00CD00A3" w:rsidP="00CD00A3"/>
    <w:p w14:paraId="060667E0" w14:textId="77777777" w:rsidR="00CD00A3" w:rsidRPr="00406E90" w:rsidRDefault="00CD00A3" w:rsidP="00CD00A3"/>
    <w:p w14:paraId="3ECBA5F6" w14:textId="77777777" w:rsidR="00CD00A3" w:rsidRPr="00406E90" w:rsidRDefault="00CD00A3" w:rsidP="00CD00A3">
      <w:pPr>
        <w:rPr>
          <w:b/>
        </w:rPr>
      </w:pPr>
      <w:r w:rsidRPr="00406E90">
        <w:rPr>
          <w:b/>
        </w:rPr>
        <w:t>For each form of energy and water (duplicate for each type of energy):</w:t>
      </w:r>
    </w:p>
    <w:p w14:paraId="25AAA0F1" w14:textId="77777777" w:rsidR="00CD00A3" w:rsidRPr="00406E90" w:rsidRDefault="00CD00A3" w:rsidP="00CD00A3"/>
    <w:p w14:paraId="1DECF779" w14:textId="77777777" w:rsidR="00CD00A3" w:rsidRPr="00406E90" w:rsidRDefault="00CD00A3" w:rsidP="00CD00A3">
      <w:pPr>
        <w:pStyle w:val="ListParagraph"/>
        <w:numPr>
          <w:ilvl w:val="0"/>
          <w:numId w:val="8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 xml:space="preserve">Energy type:   </w:t>
      </w:r>
      <w:r w:rsidRPr="00406E90">
        <w:rPr>
          <w:rFonts w:ascii="Calibri" w:hAnsi="Calibri"/>
          <w:u w:val="single"/>
        </w:rPr>
        <w:t xml:space="preserve">                                             </w:t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</w:p>
    <w:p w14:paraId="26DEA018" w14:textId="77777777" w:rsidR="00CD00A3" w:rsidRPr="00406E90" w:rsidRDefault="00CD00A3" w:rsidP="00CD00A3">
      <w:pPr>
        <w:pStyle w:val="ListParagraph"/>
        <w:numPr>
          <w:ilvl w:val="0"/>
          <w:numId w:val="8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>Baseline unit rate adequately documented.</w:t>
      </w:r>
    </w:p>
    <w:p w14:paraId="45B088F8" w14:textId="77777777" w:rsidR="00CD00A3" w:rsidRPr="00406E90" w:rsidRDefault="00CD00A3" w:rsidP="00CD00A3">
      <w:pPr>
        <w:pStyle w:val="ListParagraph"/>
        <w:numPr>
          <w:ilvl w:val="0"/>
          <w:numId w:val="8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>If blended rates are used, the methodology for calculating them is valid.</w:t>
      </w:r>
    </w:p>
    <w:p w14:paraId="4167CF36" w14:textId="42CC5FFA" w:rsidR="00CD00A3" w:rsidRPr="00CD00A3" w:rsidRDefault="00CD00A3" w:rsidP="00CD00A3">
      <w:pPr>
        <w:pStyle w:val="ListParagraph"/>
        <w:numPr>
          <w:ilvl w:val="0"/>
          <w:numId w:val="8"/>
        </w:numPr>
        <w:spacing w:after="0"/>
        <w:rPr>
          <w:rFonts w:ascii="Calibri" w:hAnsi="Calibri"/>
          <w:u w:val="single"/>
        </w:rPr>
      </w:pPr>
      <w:r w:rsidRPr="00406E90">
        <w:rPr>
          <w:rFonts w:ascii="Calibri" w:hAnsi="Calibri"/>
        </w:rPr>
        <w:t xml:space="preserve">Escalation rate adequately documented and consistent with </w:t>
      </w:r>
      <w:proofErr w:type="spellStart"/>
      <w:r w:rsidRPr="00406E90">
        <w:rPr>
          <w:rFonts w:ascii="Calibri" w:hAnsi="Calibri"/>
        </w:rPr>
        <w:t>FEMP</w:t>
      </w:r>
      <w:proofErr w:type="spellEnd"/>
      <w:r w:rsidRPr="00406E90">
        <w:rPr>
          <w:rFonts w:ascii="Calibri" w:hAnsi="Calibri"/>
        </w:rPr>
        <w:t xml:space="preserve"> guidance.</w:t>
      </w:r>
      <w:r w:rsidRPr="00CD00A3">
        <w:rPr>
          <w:rFonts w:ascii="Calibri" w:hAnsi="Calibri"/>
          <w:u w:val="single"/>
        </w:rPr>
        <w:br w:type="page"/>
      </w:r>
    </w:p>
    <w:p w14:paraId="46853371" w14:textId="77777777" w:rsidR="00CD00A3" w:rsidRPr="00406E90" w:rsidRDefault="00CD00A3" w:rsidP="00CD00A3">
      <w:pPr>
        <w:rPr>
          <w:b/>
        </w:rPr>
      </w:pPr>
      <w:r w:rsidRPr="00406E90">
        <w:rPr>
          <w:b/>
        </w:rPr>
        <w:lastRenderedPageBreak/>
        <w:t xml:space="preserve">For each </w:t>
      </w:r>
      <w:proofErr w:type="spellStart"/>
      <w:r w:rsidRPr="00406E90">
        <w:rPr>
          <w:b/>
        </w:rPr>
        <w:t>ECM</w:t>
      </w:r>
      <w:proofErr w:type="spellEnd"/>
      <w:r w:rsidRPr="00406E90">
        <w:rPr>
          <w:b/>
        </w:rPr>
        <w:t xml:space="preserve"> (duplicate for each </w:t>
      </w:r>
      <w:proofErr w:type="spellStart"/>
      <w:r w:rsidRPr="00406E90">
        <w:rPr>
          <w:b/>
        </w:rPr>
        <w:t>ECM</w:t>
      </w:r>
      <w:proofErr w:type="spellEnd"/>
      <w:r w:rsidRPr="00406E90">
        <w:rPr>
          <w:b/>
        </w:rPr>
        <w:t>):</w:t>
      </w:r>
    </w:p>
    <w:p w14:paraId="7F13544F" w14:textId="77777777" w:rsidR="00CD00A3" w:rsidRPr="00406E90" w:rsidRDefault="00CD00A3" w:rsidP="00CD00A3"/>
    <w:p w14:paraId="239647DF" w14:textId="77777777" w:rsidR="00CD00A3" w:rsidRPr="00406E90" w:rsidRDefault="00CD00A3" w:rsidP="00CD00A3">
      <w:pPr>
        <w:pStyle w:val="ListParagraph"/>
        <w:numPr>
          <w:ilvl w:val="0"/>
          <w:numId w:val="16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Technical Category: </w:t>
      </w:r>
      <w:r w:rsidRPr="00406E90">
        <w:rPr>
          <w:rFonts w:ascii="Calibri" w:hAnsi="Calibri"/>
          <w:u w:val="single"/>
        </w:rPr>
        <w:t xml:space="preserve">                                             </w:t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</w:p>
    <w:p w14:paraId="57500283" w14:textId="77777777" w:rsidR="00CD00A3" w:rsidRPr="00406E90" w:rsidRDefault="00CD00A3" w:rsidP="00CD00A3">
      <w:pPr>
        <w:pStyle w:val="ListParagraph"/>
        <w:numPr>
          <w:ilvl w:val="0"/>
          <w:numId w:val="16"/>
        </w:numPr>
        <w:spacing w:before="240" w:after="0"/>
        <w:rPr>
          <w:rFonts w:ascii="Calibri" w:hAnsi="Calibri"/>
        </w:rPr>
      </w:pPr>
      <w:proofErr w:type="spellStart"/>
      <w:r w:rsidRPr="00406E90">
        <w:rPr>
          <w:rFonts w:ascii="Calibri" w:hAnsi="Calibri"/>
        </w:rPr>
        <w:t>ECM</w:t>
      </w:r>
      <w:proofErr w:type="spellEnd"/>
      <w:r w:rsidRPr="00406E90">
        <w:rPr>
          <w:rFonts w:ascii="Calibri" w:hAnsi="Calibri"/>
        </w:rPr>
        <w:t xml:space="preserve"> Name:</w:t>
      </w:r>
      <w:r w:rsidRPr="00406E90">
        <w:rPr>
          <w:rFonts w:ascii="Calibri" w:hAnsi="Calibri"/>
          <w:u w:val="single"/>
        </w:rPr>
        <w:t xml:space="preserve">                                             </w:t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  <w:r w:rsidRPr="00406E90">
        <w:rPr>
          <w:rFonts w:ascii="Calibri" w:hAnsi="Calibri"/>
          <w:u w:val="single"/>
        </w:rPr>
        <w:tab/>
      </w:r>
    </w:p>
    <w:p w14:paraId="337D46E3" w14:textId="77777777" w:rsidR="00CD00A3" w:rsidRPr="00406E90" w:rsidRDefault="00CD00A3" w:rsidP="00CD00A3">
      <w:pPr>
        <w:pStyle w:val="ListParagraph"/>
        <w:numPr>
          <w:ilvl w:val="0"/>
          <w:numId w:val="16"/>
        </w:numPr>
        <w:spacing w:before="240" w:after="0"/>
        <w:rPr>
          <w:rFonts w:ascii="Calibri" w:hAnsi="Calibri"/>
        </w:rPr>
      </w:pPr>
      <w:proofErr w:type="spellStart"/>
      <w:r w:rsidRPr="00406E90">
        <w:rPr>
          <w:rFonts w:ascii="Calibri" w:hAnsi="Calibri"/>
        </w:rPr>
        <w:t>FPE</w:t>
      </w:r>
      <w:proofErr w:type="spellEnd"/>
      <w:r w:rsidRPr="00406E90">
        <w:rPr>
          <w:rFonts w:ascii="Calibri" w:hAnsi="Calibri"/>
        </w:rPr>
        <w:t xml:space="preserve"> notified of need for technology expert review, if necessary</w:t>
      </w:r>
    </w:p>
    <w:p w14:paraId="6815507F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proofErr w:type="spellStart"/>
      <w:r w:rsidRPr="00406E90">
        <w:rPr>
          <w:rFonts w:ascii="Calibri" w:hAnsi="Calibri"/>
        </w:rPr>
        <w:t>ECM</w:t>
      </w:r>
      <w:proofErr w:type="spellEnd"/>
      <w:r w:rsidRPr="00406E90">
        <w:rPr>
          <w:rFonts w:ascii="Calibri" w:hAnsi="Calibri"/>
        </w:rPr>
        <w:t xml:space="preserve"> suitable for intended purpose and consistent with agency requirements</w:t>
      </w:r>
    </w:p>
    <w:p w14:paraId="14BE16C5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Construction cost consistent with similar </w:t>
      </w:r>
      <w:proofErr w:type="spellStart"/>
      <w:r w:rsidRPr="00406E90">
        <w:rPr>
          <w:rFonts w:ascii="Calibri" w:hAnsi="Calibri"/>
        </w:rPr>
        <w:t>ECMs</w:t>
      </w:r>
      <w:proofErr w:type="spellEnd"/>
      <w:r w:rsidRPr="00406E90">
        <w:rPr>
          <w:rFonts w:ascii="Calibri" w:hAnsi="Calibri"/>
        </w:rPr>
        <w:t xml:space="preserve"> in recent projects</w:t>
      </w:r>
    </w:p>
    <w:p w14:paraId="5B7C35FE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>Proposed construction schedule reasonable and consistent with previous projects</w:t>
      </w:r>
    </w:p>
    <w:p w14:paraId="4730347A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>Commissioning plan is adequate</w:t>
      </w:r>
    </w:p>
    <w:p w14:paraId="1F5A190B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>Methodology used to calculate baseline energy use adequate and supported by the included measured data</w:t>
      </w:r>
    </w:p>
    <w:p w14:paraId="5E7F83FA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>Operating hour and other assumptions are reasonable and well-documented</w:t>
      </w:r>
    </w:p>
    <w:p w14:paraId="5CF6E483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Energy savings estimate consistent with similar </w:t>
      </w:r>
      <w:proofErr w:type="spellStart"/>
      <w:r w:rsidRPr="00406E90">
        <w:rPr>
          <w:rFonts w:ascii="Calibri" w:hAnsi="Calibri"/>
        </w:rPr>
        <w:t>ECMs</w:t>
      </w:r>
      <w:proofErr w:type="spellEnd"/>
      <w:r w:rsidRPr="00406E90">
        <w:rPr>
          <w:rFonts w:ascii="Calibri" w:hAnsi="Calibri"/>
        </w:rPr>
        <w:t xml:space="preserve"> in recent projects, and is adequately documented</w:t>
      </w:r>
    </w:p>
    <w:p w14:paraId="06A95580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Interactive effects with other </w:t>
      </w:r>
      <w:proofErr w:type="spellStart"/>
      <w:r w:rsidRPr="00406E90">
        <w:rPr>
          <w:rFonts w:ascii="Calibri" w:hAnsi="Calibri"/>
        </w:rPr>
        <w:t>ECMs</w:t>
      </w:r>
      <w:proofErr w:type="spellEnd"/>
      <w:r w:rsidRPr="00406E90">
        <w:rPr>
          <w:rFonts w:ascii="Calibri" w:hAnsi="Calibri"/>
        </w:rPr>
        <w:t xml:space="preserve"> considered in the calculations</w:t>
      </w:r>
    </w:p>
    <w:p w14:paraId="2941D629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Assessed the need for expert review of building models (DOE-2, </w:t>
      </w:r>
      <w:proofErr w:type="spellStart"/>
      <w:r w:rsidRPr="00406E90">
        <w:rPr>
          <w:rFonts w:ascii="Calibri" w:hAnsi="Calibri"/>
        </w:rPr>
        <w:t>EnergyPlus</w:t>
      </w:r>
      <w:proofErr w:type="spellEnd"/>
      <w:r w:rsidRPr="00406E90">
        <w:rPr>
          <w:rFonts w:ascii="Calibri" w:hAnsi="Calibri"/>
        </w:rPr>
        <w:t>, etc.) and obtained secondary reviews as necessary</w:t>
      </w:r>
    </w:p>
    <w:p w14:paraId="5DC1A162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>Simulation models adequately calibrated</w:t>
      </w:r>
    </w:p>
    <w:p w14:paraId="6859192C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>Sampling of equipment to calculate baseline performed correctly</w:t>
      </w:r>
    </w:p>
    <w:p w14:paraId="3D278E64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>Energy cost savings calculation consistent with energy savings estimate and baseline energy unit prices.</w:t>
      </w:r>
    </w:p>
    <w:p w14:paraId="318E7143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Energy-related </w:t>
      </w:r>
      <w:proofErr w:type="spellStart"/>
      <w:r w:rsidRPr="00406E90">
        <w:rPr>
          <w:rFonts w:ascii="Calibri" w:hAnsi="Calibri"/>
        </w:rPr>
        <w:t>O&amp;M</w:t>
      </w:r>
      <w:proofErr w:type="spellEnd"/>
      <w:r w:rsidRPr="00406E90">
        <w:rPr>
          <w:rFonts w:ascii="Calibri" w:hAnsi="Calibri"/>
        </w:rPr>
        <w:t xml:space="preserve"> cost savings reasonable, well-documented and consistent with </w:t>
      </w:r>
      <w:proofErr w:type="spellStart"/>
      <w:r w:rsidRPr="00406E90">
        <w:rPr>
          <w:rFonts w:ascii="Calibri" w:hAnsi="Calibri"/>
        </w:rPr>
        <w:t>FEMP</w:t>
      </w:r>
      <w:proofErr w:type="spellEnd"/>
      <w:r w:rsidRPr="00406E90">
        <w:rPr>
          <w:rFonts w:ascii="Calibri" w:hAnsi="Calibri"/>
        </w:rPr>
        <w:t xml:space="preserve"> guidance, and supported by customer evaluation</w:t>
      </w:r>
    </w:p>
    <w:p w14:paraId="409BF680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Added </w:t>
      </w:r>
      <w:proofErr w:type="spellStart"/>
      <w:r w:rsidRPr="00406E90">
        <w:rPr>
          <w:rFonts w:ascii="Calibri" w:hAnsi="Calibri"/>
        </w:rPr>
        <w:t>O&amp;M</w:t>
      </w:r>
      <w:proofErr w:type="spellEnd"/>
      <w:r w:rsidRPr="00406E90">
        <w:rPr>
          <w:rFonts w:ascii="Calibri" w:hAnsi="Calibri"/>
        </w:rPr>
        <w:t xml:space="preserve"> costs for additional equipment adequately documented, and included in cash flow</w:t>
      </w:r>
    </w:p>
    <w:p w14:paraId="3A4C5A34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For </w:t>
      </w:r>
      <w:proofErr w:type="spellStart"/>
      <w:r w:rsidRPr="00406E90">
        <w:rPr>
          <w:rFonts w:ascii="Calibri" w:hAnsi="Calibri"/>
        </w:rPr>
        <w:t>ECMs</w:t>
      </w:r>
      <w:proofErr w:type="spellEnd"/>
      <w:r w:rsidRPr="00406E90">
        <w:rPr>
          <w:rFonts w:ascii="Calibri" w:hAnsi="Calibri"/>
        </w:rPr>
        <w:t xml:space="preserve"> with expected useful life less than project term, replacement plan is documented</w:t>
      </w:r>
    </w:p>
    <w:p w14:paraId="1E2D3E3B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Post-installation </w:t>
      </w: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activities appropriate and adequate to determine potential to provide savings</w:t>
      </w:r>
    </w:p>
    <w:p w14:paraId="48B91FE5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Annual </w:t>
      </w: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activities adequate and consistent with current </w:t>
      </w:r>
      <w:proofErr w:type="spellStart"/>
      <w:r w:rsidRPr="00406E90">
        <w:rPr>
          <w:rFonts w:ascii="Calibri" w:hAnsi="Calibri"/>
        </w:rPr>
        <w:t>FEMP</w:t>
      </w:r>
      <w:proofErr w:type="spellEnd"/>
      <w:r w:rsidRPr="00406E90">
        <w:rPr>
          <w:rFonts w:ascii="Calibri" w:hAnsi="Calibri"/>
        </w:rPr>
        <w:t xml:space="preserve"> guidance</w:t>
      </w:r>
    </w:p>
    <w:p w14:paraId="01097275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Planned measurements during post-acceptance </w:t>
      </w: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confirm performance as opposed to confirming operation</w:t>
      </w:r>
    </w:p>
    <w:p w14:paraId="627892F2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Any sampling performed during </w:t>
      </w: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is adequate and consistent with </w:t>
      </w:r>
      <w:proofErr w:type="spellStart"/>
      <w:r w:rsidRPr="00406E90">
        <w:rPr>
          <w:rFonts w:ascii="Calibri" w:hAnsi="Calibri"/>
        </w:rPr>
        <w:t>FEMP</w:t>
      </w:r>
      <w:proofErr w:type="spellEnd"/>
      <w:r w:rsidRPr="00406E90">
        <w:rPr>
          <w:rFonts w:ascii="Calibri" w:hAnsi="Calibri"/>
        </w:rPr>
        <w:t xml:space="preserve"> guidelines</w:t>
      </w:r>
    </w:p>
    <w:p w14:paraId="46AA40B5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Where </w:t>
      </w: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method depends on customer-maintained equipment, reviewer comments address the potential risks and/or recommend backup plan</w:t>
      </w:r>
    </w:p>
    <w:p w14:paraId="0C812930" w14:textId="77777777" w:rsidR="00CD00A3" w:rsidRPr="00406E90" w:rsidRDefault="00CD00A3" w:rsidP="00CD00A3">
      <w:pPr>
        <w:pStyle w:val="ListParagraph"/>
        <w:numPr>
          <w:ilvl w:val="0"/>
          <w:numId w:val="9"/>
        </w:numPr>
        <w:spacing w:before="24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Where </w:t>
      </w:r>
      <w:proofErr w:type="spellStart"/>
      <w:r w:rsidRPr="00406E90">
        <w:rPr>
          <w:rFonts w:ascii="Calibri" w:hAnsi="Calibri"/>
        </w:rPr>
        <w:t>ECMs</w:t>
      </w:r>
      <w:proofErr w:type="spellEnd"/>
      <w:r w:rsidRPr="00406E90">
        <w:rPr>
          <w:rFonts w:ascii="Calibri" w:hAnsi="Calibri"/>
        </w:rPr>
        <w:t xml:space="preserve"> or </w:t>
      </w: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depend on connection to military LAN, reviewer comments address potential risks </w:t>
      </w:r>
    </w:p>
    <w:p w14:paraId="5215CA36" w14:textId="77777777" w:rsidR="00CD00A3" w:rsidRPr="00406E90" w:rsidRDefault="00CD00A3" w:rsidP="00CD00A3"/>
    <w:p w14:paraId="28FB672A" w14:textId="77777777" w:rsidR="00CD00A3" w:rsidRDefault="00CD00A3" w:rsidP="00CD00A3"/>
    <w:p w14:paraId="358ACCEB" w14:textId="77777777" w:rsidR="00CD00A3" w:rsidRPr="00406E90" w:rsidRDefault="00CD00A3" w:rsidP="00CD00A3"/>
    <w:p w14:paraId="4FB17F2A" w14:textId="77777777" w:rsidR="00CD00A3" w:rsidRPr="00406E90" w:rsidRDefault="00CD00A3" w:rsidP="00CD00A3"/>
    <w:p w14:paraId="67683DFB" w14:textId="77777777" w:rsidR="00CD00A3" w:rsidRPr="00406E90" w:rsidRDefault="00CD00A3" w:rsidP="00CD00A3"/>
    <w:p w14:paraId="251EAA37" w14:textId="77777777" w:rsidR="00CD00A3" w:rsidRPr="00406E90" w:rsidRDefault="00CD00A3" w:rsidP="00CD00A3">
      <w:pPr>
        <w:rPr>
          <w:b/>
        </w:rPr>
      </w:pPr>
      <w:r w:rsidRPr="00406E90">
        <w:rPr>
          <w:b/>
        </w:rPr>
        <w:lastRenderedPageBreak/>
        <w:t>TO Schedules</w:t>
      </w:r>
    </w:p>
    <w:p w14:paraId="2474C644" w14:textId="77777777" w:rsidR="00CD00A3" w:rsidRPr="00406E90" w:rsidRDefault="00CD00A3" w:rsidP="00CD00A3"/>
    <w:p w14:paraId="2EE6E0B7" w14:textId="77777777" w:rsidR="00CD00A3" w:rsidRPr="00406E90" w:rsidRDefault="00CD00A3" w:rsidP="00CD00A3">
      <w:pPr>
        <w:rPr>
          <w:u w:val="single"/>
        </w:rPr>
      </w:pPr>
      <w:r w:rsidRPr="00406E90">
        <w:rPr>
          <w:u w:val="single"/>
        </w:rPr>
        <w:t>TO-1</w:t>
      </w:r>
    </w:p>
    <w:p w14:paraId="6A47A74B" w14:textId="77777777" w:rsidR="00CD00A3" w:rsidRPr="00406E90" w:rsidRDefault="00CD00A3" w:rsidP="00CD00A3">
      <w:pPr>
        <w:rPr>
          <w:u w:val="single"/>
        </w:rPr>
      </w:pPr>
    </w:p>
    <w:p w14:paraId="59E9C7C7" w14:textId="77777777" w:rsidR="00CD00A3" w:rsidRPr="00406E90" w:rsidRDefault="00CD00A3" w:rsidP="00CD00A3">
      <w:pPr>
        <w:pStyle w:val="ListParagraph"/>
        <w:numPr>
          <w:ilvl w:val="0"/>
          <w:numId w:val="10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Implementation period savings and payments consistent with Agency expectations and </w:t>
      </w:r>
      <w:proofErr w:type="spellStart"/>
      <w:r w:rsidRPr="00406E90">
        <w:rPr>
          <w:rFonts w:ascii="Calibri" w:hAnsi="Calibri"/>
        </w:rPr>
        <w:t>FEMP</w:t>
      </w:r>
      <w:proofErr w:type="spellEnd"/>
      <w:r w:rsidRPr="00406E90">
        <w:rPr>
          <w:rFonts w:ascii="Calibri" w:hAnsi="Calibri"/>
        </w:rPr>
        <w:t xml:space="preserve"> guidance</w:t>
      </w:r>
    </w:p>
    <w:p w14:paraId="78A20DD5" w14:textId="77777777" w:rsidR="00CD00A3" w:rsidRPr="00406E90" w:rsidRDefault="00CD00A3" w:rsidP="00CD00A3">
      <w:pPr>
        <w:pStyle w:val="ListParagraph"/>
        <w:numPr>
          <w:ilvl w:val="0"/>
          <w:numId w:val="10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 xml:space="preserve">Estimated annual cost savings traceable to and consistent with </w:t>
      </w:r>
      <w:proofErr w:type="spellStart"/>
      <w:r w:rsidRPr="00406E90">
        <w:rPr>
          <w:rFonts w:ascii="Calibri" w:hAnsi="Calibri"/>
        </w:rPr>
        <w:t>ECM</w:t>
      </w:r>
      <w:proofErr w:type="spellEnd"/>
      <w:r w:rsidRPr="00406E90">
        <w:rPr>
          <w:rFonts w:ascii="Calibri" w:hAnsi="Calibri"/>
        </w:rPr>
        <w:t>-level calculations</w:t>
      </w:r>
    </w:p>
    <w:p w14:paraId="7BF99DD6" w14:textId="77777777" w:rsidR="00CD00A3" w:rsidRPr="00406E90" w:rsidRDefault="00CD00A3" w:rsidP="00CD00A3">
      <w:pPr>
        <w:pStyle w:val="ListParagraph"/>
        <w:numPr>
          <w:ilvl w:val="0"/>
          <w:numId w:val="10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Guaranteed cost savings consistent with estimated annual cost savings</w:t>
      </w:r>
    </w:p>
    <w:p w14:paraId="32290584" w14:textId="77777777" w:rsidR="00CD00A3" w:rsidRPr="00406E90" w:rsidRDefault="00CD00A3" w:rsidP="00CD00A3">
      <w:pPr>
        <w:pStyle w:val="ListParagraph"/>
        <w:numPr>
          <w:ilvl w:val="0"/>
          <w:numId w:val="10"/>
        </w:numPr>
        <w:spacing w:before="120" w:after="0"/>
        <w:rPr>
          <w:rFonts w:ascii="Calibri" w:hAnsi="Calibri"/>
        </w:rPr>
      </w:pPr>
      <w:r w:rsidRPr="00406E90">
        <w:rPr>
          <w:rFonts w:ascii="Calibri" w:hAnsi="Calibri"/>
        </w:rPr>
        <w:t>Annual contractor payments consistent with guaranteed cost savings, and are less than guaranteed savings in each contract year</w:t>
      </w:r>
    </w:p>
    <w:p w14:paraId="6AC56CA5" w14:textId="77777777" w:rsidR="00CD00A3" w:rsidRPr="00406E90" w:rsidRDefault="00CD00A3" w:rsidP="00CD00A3"/>
    <w:p w14:paraId="32E5F206" w14:textId="77777777" w:rsidR="00CD00A3" w:rsidRPr="00406E90" w:rsidRDefault="00CD00A3" w:rsidP="00CD00A3">
      <w:pPr>
        <w:rPr>
          <w:u w:val="single"/>
        </w:rPr>
      </w:pPr>
      <w:r w:rsidRPr="00406E90">
        <w:rPr>
          <w:u w:val="single"/>
        </w:rPr>
        <w:t>TO-2</w:t>
      </w:r>
    </w:p>
    <w:p w14:paraId="3A82A23A" w14:textId="77777777" w:rsidR="00CD00A3" w:rsidRPr="00406E90" w:rsidRDefault="00CD00A3" w:rsidP="00CD00A3"/>
    <w:p w14:paraId="409660F0" w14:textId="77777777" w:rsidR="00CD00A3" w:rsidRPr="00406E90" w:rsidRDefault="00CD00A3" w:rsidP="00CD00A3">
      <w:pPr>
        <w:pStyle w:val="ListParagraph"/>
        <w:numPr>
          <w:ilvl w:val="0"/>
          <w:numId w:val="14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 xml:space="preserve">Implementation expense of each </w:t>
      </w:r>
      <w:proofErr w:type="spellStart"/>
      <w:r w:rsidRPr="00406E90">
        <w:rPr>
          <w:rFonts w:ascii="Calibri" w:hAnsi="Calibri"/>
        </w:rPr>
        <w:t>ECM</w:t>
      </w:r>
      <w:proofErr w:type="spellEnd"/>
      <w:r w:rsidRPr="00406E90">
        <w:rPr>
          <w:rFonts w:ascii="Calibri" w:hAnsi="Calibri"/>
        </w:rPr>
        <w:t xml:space="preserve"> traceable to pricing calculations in body of IGA</w:t>
      </w:r>
    </w:p>
    <w:p w14:paraId="6411B72B" w14:textId="77777777" w:rsidR="00CD00A3" w:rsidRPr="00406E90" w:rsidRDefault="00CD00A3" w:rsidP="00CD00A3">
      <w:pPr>
        <w:pStyle w:val="ListParagraph"/>
        <w:numPr>
          <w:ilvl w:val="0"/>
          <w:numId w:val="14"/>
        </w:numPr>
        <w:spacing w:after="0"/>
        <w:rPr>
          <w:rFonts w:ascii="Calibri" w:hAnsi="Calibri"/>
        </w:rPr>
      </w:pPr>
      <w:proofErr w:type="spellStart"/>
      <w:r w:rsidRPr="00406E90">
        <w:rPr>
          <w:rFonts w:ascii="Calibri" w:hAnsi="Calibri"/>
        </w:rPr>
        <w:t>M&amp;V</w:t>
      </w:r>
      <w:proofErr w:type="spellEnd"/>
      <w:r w:rsidRPr="00406E90">
        <w:rPr>
          <w:rFonts w:ascii="Calibri" w:hAnsi="Calibri"/>
        </w:rPr>
        <w:t xml:space="preserve"> expense for each </w:t>
      </w:r>
      <w:proofErr w:type="spellStart"/>
      <w:r w:rsidRPr="00406E90">
        <w:rPr>
          <w:rFonts w:ascii="Calibri" w:hAnsi="Calibri"/>
        </w:rPr>
        <w:t>ECM</w:t>
      </w:r>
      <w:proofErr w:type="spellEnd"/>
      <w:r w:rsidRPr="00406E90">
        <w:rPr>
          <w:rFonts w:ascii="Calibri" w:hAnsi="Calibri"/>
        </w:rPr>
        <w:t xml:space="preserve"> adequately documented</w:t>
      </w:r>
    </w:p>
    <w:p w14:paraId="16ACE09D" w14:textId="77777777" w:rsidR="00CD00A3" w:rsidRPr="00406E90" w:rsidRDefault="00CD00A3" w:rsidP="00CD00A3">
      <w:pPr>
        <w:ind w:left="360"/>
      </w:pPr>
    </w:p>
    <w:p w14:paraId="0131A169" w14:textId="77777777" w:rsidR="00CD00A3" w:rsidRPr="00406E90" w:rsidRDefault="00CD00A3" w:rsidP="00CD00A3">
      <w:pPr>
        <w:rPr>
          <w:u w:val="single"/>
        </w:rPr>
      </w:pPr>
      <w:r w:rsidRPr="00406E90">
        <w:rPr>
          <w:u w:val="single"/>
        </w:rPr>
        <w:t>TO-3</w:t>
      </w:r>
    </w:p>
    <w:p w14:paraId="6809D95D" w14:textId="77777777" w:rsidR="00CD00A3" w:rsidRPr="00406E90" w:rsidRDefault="00CD00A3" w:rsidP="00CD00A3">
      <w:pPr>
        <w:rPr>
          <w:u w:val="single"/>
        </w:rPr>
      </w:pPr>
    </w:p>
    <w:p w14:paraId="5CE4A2AC" w14:textId="77777777" w:rsidR="00CD00A3" w:rsidRPr="00406E90" w:rsidRDefault="00CD00A3" w:rsidP="00CD00A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>Implementation price consistent with total on schedule TO-2</w:t>
      </w:r>
    </w:p>
    <w:p w14:paraId="4A417647" w14:textId="77777777" w:rsidR="00CD00A3" w:rsidRPr="00406E90" w:rsidRDefault="00CD00A3" w:rsidP="00CD00A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>Performance period service prices adequately documented and consistent with previous projects of this size</w:t>
      </w:r>
    </w:p>
    <w:p w14:paraId="4C635ACF" w14:textId="77777777" w:rsidR="00CD00A3" w:rsidRPr="00406E90" w:rsidRDefault="00CD00A3" w:rsidP="00CD00A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>Interest payments for each year consistent with project interest rate and loan balance</w:t>
      </w:r>
    </w:p>
    <w:p w14:paraId="1A9F88F3" w14:textId="77777777" w:rsidR="00CD00A3" w:rsidRPr="00406E90" w:rsidRDefault="00CD00A3" w:rsidP="00CD00A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>Loan balance correct for each year</w:t>
      </w:r>
    </w:p>
    <w:p w14:paraId="75558C45" w14:textId="77777777" w:rsidR="00CD00A3" w:rsidRPr="00406E90" w:rsidRDefault="00CD00A3" w:rsidP="00CD00A3"/>
    <w:p w14:paraId="6DF32388" w14:textId="77777777" w:rsidR="00CD00A3" w:rsidRPr="00406E90" w:rsidRDefault="00CD00A3" w:rsidP="00CD00A3">
      <w:pPr>
        <w:rPr>
          <w:u w:val="single"/>
        </w:rPr>
      </w:pPr>
      <w:r w:rsidRPr="00406E90">
        <w:rPr>
          <w:u w:val="single"/>
        </w:rPr>
        <w:t>TO-4</w:t>
      </w:r>
    </w:p>
    <w:p w14:paraId="23A70AF9" w14:textId="77777777" w:rsidR="00CD00A3" w:rsidRPr="00406E90" w:rsidRDefault="00CD00A3" w:rsidP="00CD00A3">
      <w:pPr>
        <w:rPr>
          <w:u w:val="single"/>
        </w:rPr>
      </w:pPr>
    </w:p>
    <w:p w14:paraId="5A5CC1F4" w14:textId="77777777" w:rsidR="00CD00A3" w:rsidRPr="00406E90" w:rsidRDefault="00CD00A3" w:rsidP="00CD00A3">
      <w:pPr>
        <w:pStyle w:val="ListParagraph"/>
        <w:numPr>
          <w:ilvl w:val="0"/>
          <w:numId w:val="12"/>
        </w:numPr>
        <w:spacing w:after="120"/>
        <w:rPr>
          <w:rFonts w:ascii="Calibri" w:hAnsi="Calibri"/>
        </w:rPr>
      </w:pPr>
      <w:r w:rsidRPr="00406E90">
        <w:rPr>
          <w:rFonts w:ascii="Calibri" w:hAnsi="Calibri"/>
        </w:rPr>
        <w:t xml:space="preserve">Energy baseline and savings for each </w:t>
      </w:r>
      <w:proofErr w:type="spellStart"/>
      <w:r w:rsidRPr="00406E90">
        <w:rPr>
          <w:rFonts w:ascii="Calibri" w:hAnsi="Calibri"/>
        </w:rPr>
        <w:t>ECM</w:t>
      </w:r>
      <w:proofErr w:type="spellEnd"/>
      <w:r w:rsidRPr="00406E90">
        <w:rPr>
          <w:rFonts w:ascii="Calibri" w:hAnsi="Calibri"/>
        </w:rPr>
        <w:t xml:space="preserve"> and each form of energy consistent with calculations provided in the IGA</w:t>
      </w:r>
    </w:p>
    <w:p w14:paraId="3389A321" w14:textId="77777777" w:rsidR="00CD00A3" w:rsidRPr="00406E90" w:rsidRDefault="00CD00A3" w:rsidP="00CD00A3">
      <w:pPr>
        <w:pStyle w:val="ListParagraph"/>
        <w:numPr>
          <w:ilvl w:val="0"/>
          <w:numId w:val="12"/>
        </w:numPr>
        <w:spacing w:after="120"/>
        <w:rPr>
          <w:rFonts w:ascii="Calibri" w:hAnsi="Calibri"/>
        </w:rPr>
      </w:pPr>
      <w:r w:rsidRPr="00406E90">
        <w:rPr>
          <w:rFonts w:ascii="Calibri" w:hAnsi="Calibri"/>
        </w:rPr>
        <w:t xml:space="preserve">Energy cost savings for each </w:t>
      </w:r>
      <w:proofErr w:type="spellStart"/>
      <w:r w:rsidRPr="00406E90">
        <w:rPr>
          <w:rFonts w:ascii="Calibri" w:hAnsi="Calibri"/>
        </w:rPr>
        <w:t>ECM</w:t>
      </w:r>
      <w:proofErr w:type="spellEnd"/>
      <w:r w:rsidRPr="00406E90">
        <w:rPr>
          <w:rFonts w:ascii="Calibri" w:hAnsi="Calibri"/>
        </w:rPr>
        <w:t xml:space="preserve"> and each form of energy consistent with energy savings and energy unit costs</w:t>
      </w:r>
    </w:p>
    <w:p w14:paraId="4243FBA2" w14:textId="77777777" w:rsidR="00CD00A3" w:rsidRPr="00406E90" w:rsidRDefault="00CD00A3" w:rsidP="00CD00A3">
      <w:pPr>
        <w:pStyle w:val="ListParagraph"/>
        <w:numPr>
          <w:ilvl w:val="0"/>
          <w:numId w:val="12"/>
        </w:numPr>
        <w:spacing w:after="120"/>
        <w:rPr>
          <w:rFonts w:ascii="Calibri" w:hAnsi="Calibri"/>
        </w:rPr>
      </w:pPr>
      <w:r w:rsidRPr="00406E90">
        <w:rPr>
          <w:rFonts w:ascii="Calibri" w:hAnsi="Calibri"/>
        </w:rPr>
        <w:t xml:space="preserve">Other energy-related </w:t>
      </w:r>
      <w:proofErr w:type="spellStart"/>
      <w:r w:rsidRPr="00406E90">
        <w:rPr>
          <w:rFonts w:ascii="Calibri" w:hAnsi="Calibri"/>
        </w:rPr>
        <w:t>O&amp;M</w:t>
      </w:r>
      <w:proofErr w:type="spellEnd"/>
      <w:r w:rsidRPr="00406E90">
        <w:rPr>
          <w:rFonts w:ascii="Calibri" w:hAnsi="Calibri"/>
        </w:rPr>
        <w:t xml:space="preserve"> costs for each </w:t>
      </w:r>
      <w:proofErr w:type="spellStart"/>
      <w:r w:rsidRPr="00406E90">
        <w:rPr>
          <w:rFonts w:ascii="Calibri" w:hAnsi="Calibri"/>
        </w:rPr>
        <w:t>ECM</w:t>
      </w:r>
      <w:proofErr w:type="spellEnd"/>
      <w:r w:rsidRPr="00406E90">
        <w:rPr>
          <w:rFonts w:ascii="Calibri" w:hAnsi="Calibri"/>
        </w:rPr>
        <w:t xml:space="preserve"> consistent with documentation in IGA</w:t>
      </w:r>
    </w:p>
    <w:p w14:paraId="45195D1A" w14:textId="77777777" w:rsidR="00CD00A3" w:rsidRPr="00406E90" w:rsidRDefault="00CD00A3" w:rsidP="00CD00A3"/>
    <w:p w14:paraId="791593D2" w14:textId="77777777" w:rsidR="00CD00A3" w:rsidRPr="00406E90" w:rsidRDefault="00CD00A3" w:rsidP="00CD00A3">
      <w:pPr>
        <w:rPr>
          <w:u w:val="single"/>
        </w:rPr>
      </w:pPr>
      <w:r w:rsidRPr="00406E90">
        <w:rPr>
          <w:u w:val="single"/>
        </w:rPr>
        <w:t>TO-5</w:t>
      </w:r>
    </w:p>
    <w:p w14:paraId="4BD4D646" w14:textId="77777777" w:rsidR="00CD00A3" w:rsidRPr="00406E90" w:rsidRDefault="00CD00A3" w:rsidP="00CD00A3"/>
    <w:p w14:paraId="3F2D265A" w14:textId="77777777" w:rsidR="00CD00A3" w:rsidRPr="00406E90" w:rsidRDefault="00CD00A3" w:rsidP="00CD00A3">
      <w:pPr>
        <w:pStyle w:val="ListParagraph"/>
        <w:numPr>
          <w:ilvl w:val="0"/>
          <w:numId w:val="15"/>
        </w:numPr>
        <w:spacing w:after="0"/>
        <w:rPr>
          <w:rFonts w:ascii="Calibri" w:hAnsi="Calibri"/>
        </w:rPr>
      </w:pPr>
      <w:r w:rsidRPr="00406E90">
        <w:rPr>
          <w:rFonts w:ascii="Calibri" w:hAnsi="Calibri"/>
        </w:rPr>
        <w:t>Cancellation ceiling for each year is consistent with remaining principle per Schedule TO-3 and agreed-upon cancellation penalty ceiling</w:t>
      </w:r>
    </w:p>
    <w:p w14:paraId="42252C41" w14:textId="77777777" w:rsidR="00CD00A3" w:rsidRPr="00406E90" w:rsidRDefault="00CD00A3" w:rsidP="00CD00A3"/>
    <w:p w14:paraId="271F801F" w14:textId="77777777" w:rsidR="00CD00A3" w:rsidRDefault="00CD00A3" w:rsidP="00CD00A3"/>
    <w:p w14:paraId="0FDC75DA" w14:textId="77777777" w:rsidR="00CD00A3" w:rsidRPr="00406E90" w:rsidRDefault="00CD00A3" w:rsidP="00CD00A3"/>
    <w:p w14:paraId="28E417B5" w14:textId="7EE86375" w:rsidR="00CD00A3" w:rsidRDefault="00CD00A3" w:rsidP="00CD00A3">
      <w:pPr>
        <w:rPr>
          <w:b/>
        </w:rPr>
      </w:pPr>
      <w:r w:rsidRPr="00CD00A3">
        <w:rPr>
          <w:b/>
        </w:rPr>
        <w:t>Summary of Key Issues/Findings</w:t>
      </w:r>
      <w:bookmarkStart w:id="0" w:name="_GoBack"/>
      <w:bookmarkEnd w:id="0"/>
    </w:p>
    <w:p w14:paraId="343C7EE2" w14:textId="77777777" w:rsidR="00CD00A3" w:rsidRPr="00CD00A3" w:rsidRDefault="00CD00A3" w:rsidP="00CD00A3">
      <w:pPr>
        <w:rPr>
          <w:b/>
        </w:rPr>
      </w:pPr>
    </w:p>
    <w:p w14:paraId="7E82FC2D" w14:textId="516E4768" w:rsidR="00CD00A3" w:rsidRPr="00406E90" w:rsidRDefault="00CD00A3" w:rsidP="00CD00A3">
      <w:r w:rsidRPr="00406E90">
        <w:t xml:space="preserve"> In addition to formal comments, list main areas of concern identified in review.</w:t>
      </w:r>
    </w:p>
    <w:p w14:paraId="02113F2A" w14:textId="77777777" w:rsidR="00CD00A3" w:rsidRPr="00406E90" w:rsidRDefault="00CD00A3" w:rsidP="00CD00A3"/>
    <w:p w14:paraId="6AB0E8A0" w14:textId="77777777" w:rsidR="00CD00A3" w:rsidRPr="00406E90" w:rsidRDefault="00CD00A3" w:rsidP="00CD00A3"/>
    <w:p w14:paraId="79B2AE90" w14:textId="77777777" w:rsidR="00CD00A3" w:rsidRPr="00143852" w:rsidRDefault="00CD00A3" w:rsidP="00143852">
      <w:pPr>
        <w:spacing w:after="200"/>
        <w:rPr>
          <w:szCs w:val="24"/>
        </w:rPr>
      </w:pPr>
    </w:p>
    <w:sectPr w:rsidR="00CD00A3" w:rsidRPr="00143852" w:rsidSect="001704F7">
      <w:headerReference w:type="default" r:id="rId13"/>
      <w:footerReference w:type="default" r:id="rId14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8757E" w14:textId="77777777" w:rsidR="00B921C8" w:rsidRDefault="00B921C8" w:rsidP="00FF7786">
      <w:r>
        <w:separator/>
      </w:r>
    </w:p>
  </w:endnote>
  <w:endnote w:type="continuationSeparator" w:id="0">
    <w:p w14:paraId="4A451522" w14:textId="77777777" w:rsidR="00B921C8" w:rsidRDefault="00B921C8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9543" w14:textId="0103F9A5" w:rsidR="00241965" w:rsidRDefault="00241965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D610B4">
      <w:rPr>
        <w:noProof/>
        <w:sz w:val="20"/>
      </w:rPr>
      <w:t>3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080D" w14:textId="77777777" w:rsidR="00B921C8" w:rsidRDefault="00B921C8" w:rsidP="00FF7786">
      <w:r>
        <w:separator/>
      </w:r>
    </w:p>
  </w:footnote>
  <w:footnote w:type="continuationSeparator" w:id="0">
    <w:p w14:paraId="462A139C" w14:textId="77777777" w:rsidR="00B921C8" w:rsidRDefault="00B921C8" w:rsidP="00FF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26B1" w14:textId="24687E8D" w:rsidR="00241965" w:rsidRDefault="00241965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14:paraId="1449EA63" w14:textId="1E4F7A7C" w:rsidR="00241965" w:rsidRDefault="002419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876"/>
    <w:multiLevelType w:val="hybridMultilevel"/>
    <w:tmpl w:val="CCBA7060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4FFB"/>
    <w:multiLevelType w:val="hybridMultilevel"/>
    <w:tmpl w:val="315C0EE8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5179"/>
    <w:multiLevelType w:val="hybridMultilevel"/>
    <w:tmpl w:val="8C783FA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A5587"/>
    <w:multiLevelType w:val="hybridMultilevel"/>
    <w:tmpl w:val="E7B83338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6381"/>
    <w:multiLevelType w:val="hybridMultilevel"/>
    <w:tmpl w:val="50900C0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0D43"/>
    <w:multiLevelType w:val="hybridMultilevel"/>
    <w:tmpl w:val="CAF47E94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B6BB1"/>
    <w:multiLevelType w:val="hybridMultilevel"/>
    <w:tmpl w:val="4FF61C80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753AC"/>
    <w:multiLevelType w:val="hybridMultilevel"/>
    <w:tmpl w:val="6ABC143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62E8A"/>
    <w:multiLevelType w:val="hybridMultilevel"/>
    <w:tmpl w:val="422E2C84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C"/>
    <w:rsid w:val="00016427"/>
    <w:rsid w:val="00024749"/>
    <w:rsid w:val="00027D60"/>
    <w:rsid w:val="000316A0"/>
    <w:rsid w:val="000C20E0"/>
    <w:rsid w:val="000D5758"/>
    <w:rsid w:val="000E0FC1"/>
    <w:rsid w:val="000F0735"/>
    <w:rsid w:val="00130E0E"/>
    <w:rsid w:val="00143852"/>
    <w:rsid w:val="001704F7"/>
    <w:rsid w:val="00216EEF"/>
    <w:rsid w:val="00241965"/>
    <w:rsid w:val="002E7A73"/>
    <w:rsid w:val="00367271"/>
    <w:rsid w:val="00372345"/>
    <w:rsid w:val="00406076"/>
    <w:rsid w:val="004352FC"/>
    <w:rsid w:val="004763DB"/>
    <w:rsid w:val="004764DB"/>
    <w:rsid w:val="004933CD"/>
    <w:rsid w:val="005209FD"/>
    <w:rsid w:val="00524D2E"/>
    <w:rsid w:val="005B4327"/>
    <w:rsid w:val="00633715"/>
    <w:rsid w:val="006553B8"/>
    <w:rsid w:val="006B6E33"/>
    <w:rsid w:val="00711F38"/>
    <w:rsid w:val="00735889"/>
    <w:rsid w:val="00783A47"/>
    <w:rsid w:val="007E741E"/>
    <w:rsid w:val="00880842"/>
    <w:rsid w:val="00880FDB"/>
    <w:rsid w:val="008D1B8C"/>
    <w:rsid w:val="008F4287"/>
    <w:rsid w:val="00915721"/>
    <w:rsid w:val="00940F77"/>
    <w:rsid w:val="00991149"/>
    <w:rsid w:val="00994009"/>
    <w:rsid w:val="009D0D2D"/>
    <w:rsid w:val="00A26C22"/>
    <w:rsid w:val="00A56E35"/>
    <w:rsid w:val="00A75EF7"/>
    <w:rsid w:val="00AD1C11"/>
    <w:rsid w:val="00B544EB"/>
    <w:rsid w:val="00B6291C"/>
    <w:rsid w:val="00B921C8"/>
    <w:rsid w:val="00BB118D"/>
    <w:rsid w:val="00BB3FD1"/>
    <w:rsid w:val="00BB7993"/>
    <w:rsid w:val="00BF646E"/>
    <w:rsid w:val="00C002DE"/>
    <w:rsid w:val="00C22B88"/>
    <w:rsid w:val="00C52B75"/>
    <w:rsid w:val="00C65D72"/>
    <w:rsid w:val="00CA4485"/>
    <w:rsid w:val="00CB0275"/>
    <w:rsid w:val="00CB2A0F"/>
    <w:rsid w:val="00CD00A3"/>
    <w:rsid w:val="00CF7E87"/>
    <w:rsid w:val="00D610B4"/>
    <w:rsid w:val="00D7247C"/>
    <w:rsid w:val="00DF4527"/>
    <w:rsid w:val="00E03AF1"/>
    <w:rsid w:val="00E177C0"/>
    <w:rsid w:val="00E20A0F"/>
    <w:rsid w:val="00E37A76"/>
    <w:rsid w:val="00E54669"/>
    <w:rsid w:val="00ED553A"/>
    <w:rsid w:val="00F154A6"/>
    <w:rsid w:val="00F45FD7"/>
    <w:rsid w:val="00FB3934"/>
    <w:rsid w:val="00FC5AA1"/>
    <w:rsid w:val="00FC6972"/>
    <w:rsid w:val="00FD3096"/>
    <w:rsid w:val="00FE40C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4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Terry R.</dc:creator>
  <cp:lastModifiedBy>E Atkin</cp:lastModifiedBy>
  <cp:revision>2</cp:revision>
  <cp:lastPrinted>2014-10-06T17:59:00Z</cp:lastPrinted>
  <dcterms:created xsi:type="dcterms:W3CDTF">2015-04-27T19:41:00Z</dcterms:created>
  <dcterms:modified xsi:type="dcterms:W3CDTF">2015-04-27T19:41:00Z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