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A7C" w:rsidRPr="00EC72AC" w:rsidRDefault="00380A7C" w:rsidP="00380A7C">
      <w:pPr>
        <w:pStyle w:val="Title"/>
        <w:rPr>
          <w:rFonts w:asciiTheme="minorHAnsi" w:hAnsiTheme="minorHAnsi"/>
        </w:rPr>
      </w:pPr>
      <w:r w:rsidRPr="00EC72AC">
        <w:rPr>
          <w:rFonts w:asciiTheme="minorHAnsi" w:hAnsiTheme="minorHAnsi"/>
        </w:rPr>
        <w:t>Department of Energy</w:t>
      </w:r>
    </w:p>
    <w:p w:rsidR="00380A7C" w:rsidRPr="00EC72AC" w:rsidRDefault="00380A7C" w:rsidP="00380A7C">
      <w:pPr>
        <w:pStyle w:val="Title"/>
        <w:rPr>
          <w:rFonts w:asciiTheme="minorHAnsi" w:hAnsiTheme="minorHAnsi"/>
          <w:sz w:val="52"/>
          <w:szCs w:val="52"/>
        </w:rPr>
      </w:pPr>
      <w:r w:rsidRPr="00EC72AC">
        <w:rPr>
          <w:rFonts w:asciiTheme="minorHAnsi" w:hAnsiTheme="minorHAnsi"/>
          <w:sz w:val="52"/>
          <w:szCs w:val="52"/>
        </w:rPr>
        <w:t>FY 201</w:t>
      </w:r>
      <w:r w:rsidR="00776B5B">
        <w:rPr>
          <w:rFonts w:asciiTheme="minorHAnsi" w:hAnsiTheme="minorHAnsi"/>
          <w:sz w:val="52"/>
          <w:szCs w:val="52"/>
        </w:rPr>
        <w:t>2</w:t>
      </w:r>
      <w:r w:rsidRPr="00EC72AC">
        <w:rPr>
          <w:rFonts w:asciiTheme="minorHAnsi" w:hAnsiTheme="minorHAnsi"/>
          <w:sz w:val="52"/>
          <w:szCs w:val="52"/>
        </w:rPr>
        <w:t xml:space="preserve"> Service Contract Inventory Analysis</w:t>
      </w:r>
    </w:p>
    <w:p w:rsidR="00380A7C" w:rsidRPr="00EC72AC" w:rsidRDefault="00380A7C" w:rsidP="00380A7C">
      <w:pPr>
        <w:pStyle w:val="Subtitle"/>
        <w:rPr>
          <w:rFonts w:asciiTheme="minorHAnsi" w:hAnsiTheme="minorHAnsi"/>
          <w:sz w:val="32"/>
          <w:szCs w:val="32"/>
        </w:rPr>
      </w:pPr>
      <w:r w:rsidRPr="00EC72AC">
        <w:rPr>
          <w:rFonts w:asciiTheme="minorHAnsi" w:hAnsiTheme="minorHAnsi"/>
          <w:sz w:val="32"/>
          <w:szCs w:val="32"/>
        </w:rPr>
        <w:t>Department of Energy</w:t>
      </w:r>
    </w:p>
    <w:p w:rsidR="00380A7C" w:rsidRPr="00EC72AC" w:rsidRDefault="00380A7C" w:rsidP="00380A7C">
      <w:pPr>
        <w:pStyle w:val="Subtitle"/>
        <w:ind w:left="360" w:hanging="360"/>
        <w:rPr>
          <w:rFonts w:asciiTheme="minorHAnsi" w:hAnsiTheme="minorHAnsi"/>
          <w:sz w:val="32"/>
          <w:szCs w:val="32"/>
        </w:rPr>
      </w:pPr>
      <w:r w:rsidRPr="00EC72AC">
        <w:rPr>
          <w:rFonts w:asciiTheme="minorHAnsi" w:hAnsiTheme="minorHAnsi"/>
          <w:sz w:val="32"/>
          <w:szCs w:val="32"/>
        </w:rPr>
        <w:t xml:space="preserve">Office of </w:t>
      </w:r>
      <w:r w:rsidR="00F31AB0" w:rsidRPr="00EC72AC">
        <w:rPr>
          <w:rFonts w:asciiTheme="minorHAnsi" w:hAnsiTheme="minorHAnsi"/>
          <w:sz w:val="32"/>
          <w:szCs w:val="32"/>
        </w:rPr>
        <w:t xml:space="preserve">Acquisition </w:t>
      </w:r>
      <w:r w:rsidR="00237A04" w:rsidRPr="00EC72AC">
        <w:rPr>
          <w:rFonts w:asciiTheme="minorHAnsi" w:hAnsiTheme="minorHAnsi"/>
          <w:sz w:val="32"/>
          <w:szCs w:val="32"/>
        </w:rPr>
        <w:t>and</w:t>
      </w:r>
      <w:r w:rsidR="00F31AB0" w:rsidRPr="00EC72AC">
        <w:rPr>
          <w:rFonts w:asciiTheme="minorHAnsi" w:hAnsiTheme="minorHAnsi"/>
          <w:sz w:val="32"/>
          <w:szCs w:val="32"/>
        </w:rPr>
        <w:t xml:space="preserve"> Project Management</w:t>
      </w:r>
      <w:r w:rsidRPr="00EC72AC">
        <w:rPr>
          <w:rFonts w:asciiTheme="minorHAnsi" w:hAnsiTheme="minorHAnsi"/>
          <w:sz w:val="32"/>
          <w:szCs w:val="32"/>
        </w:rPr>
        <w:t xml:space="preserve"> </w:t>
      </w:r>
    </w:p>
    <w:p w:rsidR="00380A7C" w:rsidRPr="00EC72AC" w:rsidRDefault="00380A7C" w:rsidP="00380A7C">
      <w:pPr>
        <w:pStyle w:val="Subtitle"/>
        <w:rPr>
          <w:rFonts w:asciiTheme="minorHAnsi" w:hAnsiTheme="minorHAnsi"/>
          <w:sz w:val="32"/>
          <w:szCs w:val="32"/>
        </w:rPr>
      </w:pPr>
      <w:r w:rsidRPr="00EC72AC">
        <w:rPr>
          <w:rFonts w:asciiTheme="minorHAnsi" w:hAnsiTheme="minorHAnsi"/>
          <w:sz w:val="32"/>
          <w:szCs w:val="32"/>
        </w:rPr>
        <w:t>Strategic Programs Division (MA-622)</w:t>
      </w: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Subtitle"/>
        <w:rPr>
          <w:rFonts w:asciiTheme="minorHAnsi" w:hAnsiTheme="minorHAnsi"/>
          <w:sz w:val="28"/>
          <w:szCs w:val="28"/>
        </w:rPr>
      </w:pPr>
      <w:r w:rsidRPr="00EC72AC">
        <w:rPr>
          <w:rFonts w:asciiTheme="minorHAnsi" w:hAnsiTheme="minorHAnsi"/>
          <w:sz w:val="28"/>
          <w:szCs w:val="28"/>
        </w:rPr>
        <w:t>December 201</w:t>
      </w:r>
      <w:r w:rsidR="00935E86">
        <w:rPr>
          <w:rFonts w:asciiTheme="minorHAnsi" w:hAnsiTheme="minorHAnsi"/>
          <w:sz w:val="28"/>
          <w:szCs w:val="28"/>
        </w:rPr>
        <w:t>3</w:t>
      </w: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Subtitle"/>
        <w:rPr>
          <w:rFonts w:asciiTheme="minorHAnsi" w:hAnsiTheme="minorHAnsi"/>
          <w:sz w:val="28"/>
          <w:szCs w:val="28"/>
        </w:rPr>
      </w:pPr>
    </w:p>
    <w:p w:rsidR="00380A7C" w:rsidRPr="00EC72AC" w:rsidRDefault="00380A7C" w:rsidP="00380A7C">
      <w:pPr>
        <w:pStyle w:val="Contents"/>
        <w:jc w:val="center"/>
      </w:pPr>
      <w:r w:rsidRPr="00EC72AC">
        <w:rPr>
          <w:noProof/>
        </w:rPr>
        <w:drawing>
          <wp:inline distT="0" distB="0" distL="0" distR="0">
            <wp:extent cx="2481398" cy="2481398"/>
            <wp:effectExtent l="19050" t="0" r="0" b="0"/>
            <wp:docPr id="4" name="Picture 1" descr="New_DOE_Seal_Color_Hi-Res_0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OE_Seal_Color_Hi-Res_042808.jpg"/>
                    <pic:cNvPicPr/>
                  </pic:nvPicPr>
                  <pic:blipFill>
                    <a:blip r:embed="rId8"/>
                    <a:stretch>
                      <a:fillRect/>
                    </a:stretch>
                  </pic:blipFill>
                  <pic:spPr>
                    <a:xfrm>
                      <a:off x="0" y="0"/>
                      <a:ext cx="2482305" cy="2482305"/>
                    </a:xfrm>
                    <a:prstGeom prst="rect">
                      <a:avLst/>
                    </a:prstGeom>
                  </pic:spPr>
                </pic:pic>
              </a:graphicData>
            </a:graphic>
          </wp:inline>
        </w:drawing>
      </w:r>
    </w:p>
    <w:p w:rsidR="00380A7C" w:rsidRPr="00EC72AC" w:rsidRDefault="00380A7C" w:rsidP="00380A7C"/>
    <w:p w:rsidR="00380A7C" w:rsidRPr="00EC72AC" w:rsidRDefault="00380A7C" w:rsidP="00380A7C">
      <w:pPr>
        <w:sectPr w:rsidR="00380A7C" w:rsidRPr="00EC72AC" w:rsidSect="0059123A">
          <w:headerReference w:type="default" r:id="rId9"/>
          <w:footerReference w:type="default" r:id="rId10"/>
          <w:pgSz w:w="12242" w:h="15842" w:code="1"/>
          <w:pgMar w:top="1440" w:right="1440" w:bottom="1440" w:left="1440" w:header="709" w:footer="567" w:gutter="0"/>
          <w:pgNumType w:start="1"/>
          <w:cols w:space="708"/>
          <w:titlePg/>
          <w:docGrid w:linePitch="360"/>
        </w:sectPr>
      </w:pPr>
    </w:p>
    <w:p w:rsidR="000D618C" w:rsidRPr="00EC72AC" w:rsidRDefault="00EA4301" w:rsidP="00EA4301">
      <w:pPr>
        <w:pStyle w:val="Contents"/>
        <w:rPr>
          <w:rFonts w:asciiTheme="minorHAnsi" w:hAnsiTheme="minorHAnsi"/>
        </w:rPr>
      </w:pPr>
      <w:r w:rsidRPr="00EC72AC">
        <w:rPr>
          <w:rFonts w:asciiTheme="minorHAnsi" w:hAnsiTheme="minorHAnsi"/>
        </w:rPr>
        <w:lastRenderedPageBreak/>
        <w:t>Contents</w:t>
      </w:r>
    </w:p>
    <w:p w:rsidR="009261A6" w:rsidRPr="00EC72AC" w:rsidRDefault="00380A7C" w:rsidP="00380A7C">
      <w:pPr>
        <w:pStyle w:val="TOC1"/>
        <w:rPr>
          <w:rFonts w:asciiTheme="minorHAnsi" w:hAnsiTheme="minorHAnsi"/>
          <w:b/>
          <w:sz w:val="24"/>
          <w:szCs w:val="24"/>
          <w:lang w:val="en-US"/>
        </w:rPr>
      </w:pPr>
      <w:r w:rsidRPr="00EC72AC">
        <w:rPr>
          <w:rFonts w:asciiTheme="minorHAnsi" w:hAnsiTheme="minorHAnsi"/>
          <w:b/>
          <w:sz w:val="24"/>
          <w:szCs w:val="24"/>
          <w:lang w:val="en-US"/>
        </w:rPr>
        <w:tab/>
      </w:r>
      <w:r w:rsidR="009261A6" w:rsidRPr="00EC72AC">
        <w:rPr>
          <w:rFonts w:asciiTheme="minorHAnsi" w:hAnsiTheme="minorHAnsi"/>
          <w:b/>
          <w:sz w:val="24"/>
          <w:szCs w:val="24"/>
          <w:lang w:val="en-US"/>
        </w:rPr>
        <w:t>Page</w:t>
      </w:r>
    </w:p>
    <w:p w:rsidR="00B10FA7" w:rsidRDefault="008E6271">
      <w:pPr>
        <w:pStyle w:val="TOC1"/>
        <w:rPr>
          <w:rFonts w:asciiTheme="minorHAnsi" w:eastAsiaTheme="minorEastAsia" w:hAnsiTheme="minorHAnsi" w:cstheme="minorBidi"/>
          <w:noProof/>
          <w:sz w:val="22"/>
          <w:szCs w:val="22"/>
          <w:lang w:val="en-US"/>
        </w:rPr>
      </w:pPr>
      <w:r w:rsidRPr="00EC72AC">
        <w:rPr>
          <w:rFonts w:asciiTheme="minorHAnsi" w:hAnsiTheme="minorHAnsi"/>
          <w:sz w:val="24"/>
          <w:szCs w:val="24"/>
          <w:lang w:val="en-US"/>
        </w:rPr>
        <w:fldChar w:fldCharType="begin"/>
      </w:r>
      <w:r w:rsidR="00DB0FA2" w:rsidRPr="00EC72AC">
        <w:rPr>
          <w:rFonts w:asciiTheme="minorHAnsi" w:hAnsiTheme="minorHAnsi"/>
          <w:sz w:val="24"/>
          <w:szCs w:val="24"/>
          <w:lang w:val="en-US"/>
        </w:rPr>
        <w:instrText xml:space="preserve"> TOC \h \z \t "Section Title,1,Appendix Title,1,Section Title Span,1,Appendix Title Span,1" </w:instrText>
      </w:r>
      <w:r w:rsidRPr="00EC72AC">
        <w:rPr>
          <w:rFonts w:asciiTheme="minorHAnsi" w:hAnsiTheme="minorHAnsi"/>
          <w:sz w:val="24"/>
          <w:szCs w:val="24"/>
          <w:lang w:val="en-US"/>
        </w:rPr>
        <w:fldChar w:fldCharType="separate"/>
      </w:r>
      <w:hyperlink w:anchor="_Toc344382181" w:history="1">
        <w:r w:rsidR="00B10FA7" w:rsidRPr="00E75471">
          <w:rPr>
            <w:rStyle w:val="Hyperlink"/>
            <w:noProof/>
          </w:rPr>
          <w:t>Section 1: Scope</w:t>
        </w:r>
        <w:r w:rsidR="00B10FA7">
          <w:rPr>
            <w:noProof/>
            <w:webHidden/>
          </w:rPr>
          <w:tab/>
        </w:r>
        <w:r>
          <w:rPr>
            <w:noProof/>
            <w:webHidden/>
          </w:rPr>
          <w:fldChar w:fldCharType="begin"/>
        </w:r>
        <w:r w:rsidR="00B10FA7">
          <w:rPr>
            <w:noProof/>
            <w:webHidden/>
          </w:rPr>
          <w:instrText xml:space="preserve"> PAGEREF _Toc344382181 \h </w:instrText>
        </w:r>
        <w:r>
          <w:rPr>
            <w:noProof/>
            <w:webHidden/>
          </w:rPr>
        </w:r>
        <w:r>
          <w:rPr>
            <w:noProof/>
            <w:webHidden/>
          </w:rPr>
          <w:fldChar w:fldCharType="separate"/>
        </w:r>
        <w:r w:rsidR="0065762E">
          <w:rPr>
            <w:noProof/>
            <w:webHidden/>
          </w:rPr>
          <w:t>2</w:t>
        </w:r>
        <w:r>
          <w:rPr>
            <w:noProof/>
            <w:webHidden/>
          </w:rPr>
          <w:fldChar w:fldCharType="end"/>
        </w:r>
      </w:hyperlink>
    </w:p>
    <w:p w:rsidR="00B10FA7" w:rsidRDefault="008E6271">
      <w:pPr>
        <w:pStyle w:val="TOC1"/>
        <w:rPr>
          <w:rFonts w:asciiTheme="minorHAnsi" w:eastAsiaTheme="minorEastAsia" w:hAnsiTheme="minorHAnsi" w:cstheme="minorBidi"/>
          <w:noProof/>
          <w:sz w:val="22"/>
          <w:szCs w:val="22"/>
          <w:lang w:val="en-US"/>
        </w:rPr>
      </w:pPr>
      <w:hyperlink w:anchor="_Toc344382182" w:history="1">
        <w:r w:rsidR="00B10FA7" w:rsidRPr="00E75471">
          <w:rPr>
            <w:rStyle w:val="Hyperlink"/>
            <w:noProof/>
          </w:rPr>
          <w:t>Section 2: Methodology</w:t>
        </w:r>
        <w:r w:rsidR="00B10FA7">
          <w:rPr>
            <w:noProof/>
            <w:webHidden/>
          </w:rPr>
          <w:tab/>
        </w:r>
        <w:r>
          <w:rPr>
            <w:noProof/>
            <w:webHidden/>
          </w:rPr>
          <w:fldChar w:fldCharType="begin"/>
        </w:r>
        <w:r w:rsidR="00B10FA7">
          <w:rPr>
            <w:noProof/>
            <w:webHidden/>
          </w:rPr>
          <w:instrText xml:space="preserve"> PAGEREF _Toc344382182 \h </w:instrText>
        </w:r>
        <w:r>
          <w:rPr>
            <w:noProof/>
            <w:webHidden/>
          </w:rPr>
        </w:r>
        <w:r>
          <w:rPr>
            <w:noProof/>
            <w:webHidden/>
          </w:rPr>
          <w:fldChar w:fldCharType="separate"/>
        </w:r>
        <w:r w:rsidR="0065762E">
          <w:rPr>
            <w:noProof/>
            <w:webHidden/>
          </w:rPr>
          <w:t>4</w:t>
        </w:r>
        <w:r>
          <w:rPr>
            <w:noProof/>
            <w:webHidden/>
          </w:rPr>
          <w:fldChar w:fldCharType="end"/>
        </w:r>
      </w:hyperlink>
    </w:p>
    <w:p w:rsidR="00B10FA7" w:rsidRDefault="008E6271">
      <w:pPr>
        <w:pStyle w:val="TOC1"/>
        <w:rPr>
          <w:rFonts w:asciiTheme="minorHAnsi" w:eastAsiaTheme="minorEastAsia" w:hAnsiTheme="minorHAnsi" w:cstheme="minorBidi"/>
          <w:noProof/>
          <w:sz w:val="22"/>
          <w:szCs w:val="22"/>
          <w:lang w:val="en-US"/>
        </w:rPr>
      </w:pPr>
      <w:hyperlink w:anchor="_Toc344382183" w:history="1">
        <w:r w:rsidR="00B10FA7" w:rsidRPr="00E75471">
          <w:rPr>
            <w:rStyle w:val="Hyperlink"/>
            <w:noProof/>
          </w:rPr>
          <w:t>Section 3: Findings</w:t>
        </w:r>
        <w:r w:rsidR="00B10FA7">
          <w:rPr>
            <w:noProof/>
            <w:webHidden/>
          </w:rPr>
          <w:tab/>
        </w:r>
        <w:r>
          <w:rPr>
            <w:noProof/>
            <w:webHidden/>
          </w:rPr>
          <w:fldChar w:fldCharType="begin"/>
        </w:r>
        <w:r w:rsidR="00B10FA7">
          <w:rPr>
            <w:noProof/>
            <w:webHidden/>
          </w:rPr>
          <w:instrText xml:space="preserve"> PAGEREF _Toc344382183 \h </w:instrText>
        </w:r>
        <w:r>
          <w:rPr>
            <w:noProof/>
            <w:webHidden/>
          </w:rPr>
        </w:r>
        <w:r>
          <w:rPr>
            <w:noProof/>
            <w:webHidden/>
          </w:rPr>
          <w:fldChar w:fldCharType="separate"/>
        </w:r>
        <w:r w:rsidR="0065762E">
          <w:rPr>
            <w:noProof/>
            <w:webHidden/>
          </w:rPr>
          <w:t>6</w:t>
        </w:r>
        <w:r>
          <w:rPr>
            <w:noProof/>
            <w:webHidden/>
          </w:rPr>
          <w:fldChar w:fldCharType="end"/>
        </w:r>
      </w:hyperlink>
    </w:p>
    <w:p w:rsidR="00B10FA7" w:rsidRDefault="008E6271">
      <w:pPr>
        <w:pStyle w:val="TOC1"/>
        <w:rPr>
          <w:rFonts w:asciiTheme="minorHAnsi" w:eastAsiaTheme="minorEastAsia" w:hAnsiTheme="minorHAnsi" w:cstheme="minorBidi"/>
          <w:noProof/>
          <w:sz w:val="22"/>
          <w:szCs w:val="22"/>
          <w:lang w:val="en-US"/>
        </w:rPr>
      </w:pPr>
      <w:hyperlink w:anchor="_Toc344382184" w:history="1">
        <w:r w:rsidR="00B10FA7" w:rsidRPr="00E75471">
          <w:rPr>
            <w:rStyle w:val="Hyperlink"/>
            <w:noProof/>
          </w:rPr>
          <w:t>Section 4: Actions Taken or Planned</w:t>
        </w:r>
        <w:r w:rsidR="00B10FA7">
          <w:rPr>
            <w:noProof/>
            <w:webHidden/>
          </w:rPr>
          <w:tab/>
        </w:r>
        <w:r>
          <w:rPr>
            <w:noProof/>
            <w:webHidden/>
          </w:rPr>
          <w:fldChar w:fldCharType="begin"/>
        </w:r>
        <w:r w:rsidR="00B10FA7">
          <w:rPr>
            <w:noProof/>
            <w:webHidden/>
          </w:rPr>
          <w:instrText xml:space="preserve"> PAGEREF _Toc344382184 \h </w:instrText>
        </w:r>
        <w:r>
          <w:rPr>
            <w:noProof/>
            <w:webHidden/>
          </w:rPr>
        </w:r>
        <w:r>
          <w:rPr>
            <w:noProof/>
            <w:webHidden/>
          </w:rPr>
          <w:fldChar w:fldCharType="separate"/>
        </w:r>
        <w:r w:rsidR="0065762E">
          <w:rPr>
            <w:noProof/>
            <w:webHidden/>
          </w:rPr>
          <w:t>8</w:t>
        </w:r>
        <w:r>
          <w:rPr>
            <w:noProof/>
            <w:webHidden/>
          </w:rPr>
          <w:fldChar w:fldCharType="end"/>
        </w:r>
      </w:hyperlink>
    </w:p>
    <w:p w:rsidR="00AD7D97" w:rsidRPr="00EC72AC" w:rsidRDefault="008E6271" w:rsidP="001F3D58">
      <w:pPr>
        <w:tabs>
          <w:tab w:val="right" w:pos="9090"/>
        </w:tabs>
        <w:rPr>
          <w:rFonts w:asciiTheme="minorHAnsi" w:hAnsiTheme="minorHAnsi"/>
        </w:rPr>
      </w:pPr>
      <w:r w:rsidRPr="00EC72AC">
        <w:rPr>
          <w:rFonts w:asciiTheme="minorHAnsi" w:hAnsiTheme="minorHAnsi"/>
          <w:sz w:val="24"/>
          <w:szCs w:val="24"/>
        </w:rPr>
        <w:fldChar w:fldCharType="end"/>
      </w:r>
    </w:p>
    <w:p w:rsidR="00EA4301" w:rsidRPr="00EC72AC" w:rsidRDefault="00EA4301" w:rsidP="00EA4301">
      <w:pPr>
        <w:pStyle w:val="BodyText"/>
        <w:rPr>
          <w:rFonts w:asciiTheme="minorHAnsi" w:hAnsiTheme="minorHAnsi"/>
        </w:rPr>
      </w:pPr>
    </w:p>
    <w:p w:rsidR="00EA4301" w:rsidRPr="00EC72AC" w:rsidRDefault="00EA4301" w:rsidP="00EA4301">
      <w:pPr>
        <w:pStyle w:val="BodyText"/>
        <w:rPr>
          <w:rFonts w:asciiTheme="minorHAnsi" w:hAnsiTheme="minorHAnsi"/>
        </w:rPr>
        <w:sectPr w:rsidR="00EA4301" w:rsidRPr="00EC72AC" w:rsidSect="0059123A">
          <w:headerReference w:type="first" r:id="rId11"/>
          <w:pgSz w:w="12242" w:h="15842" w:code="1"/>
          <w:pgMar w:top="1440" w:right="1440" w:bottom="1440" w:left="1440" w:header="709" w:footer="567" w:gutter="0"/>
          <w:pgNumType w:start="1"/>
          <w:cols w:space="708"/>
          <w:titlePg/>
          <w:docGrid w:linePitch="360"/>
        </w:sectPr>
      </w:pPr>
    </w:p>
    <w:p w:rsidR="0006670B" w:rsidRPr="00EC72AC" w:rsidRDefault="0050648A" w:rsidP="00D83BAA">
      <w:pPr>
        <w:pStyle w:val="SectionTitle"/>
        <w:spacing w:after="600"/>
        <w:rPr>
          <w:rFonts w:asciiTheme="minorHAnsi" w:hAnsiTheme="minorHAnsi"/>
        </w:rPr>
      </w:pPr>
      <w:bookmarkStart w:id="0" w:name="_Toc179170489"/>
      <w:bookmarkStart w:id="1" w:name="_Toc344382181"/>
      <w:r w:rsidRPr="00EC72AC">
        <w:rPr>
          <w:rFonts w:asciiTheme="minorHAnsi" w:hAnsiTheme="minorHAnsi"/>
        </w:rPr>
        <w:lastRenderedPageBreak/>
        <w:t xml:space="preserve">Section </w:t>
      </w:r>
      <w:bookmarkEnd w:id="0"/>
      <w:r w:rsidR="003A3855" w:rsidRPr="00EC72AC">
        <w:rPr>
          <w:rFonts w:asciiTheme="minorHAnsi" w:hAnsiTheme="minorHAnsi"/>
        </w:rPr>
        <w:t xml:space="preserve">1: </w:t>
      </w:r>
      <w:r w:rsidR="008474BA" w:rsidRPr="00EC72AC">
        <w:rPr>
          <w:rFonts w:asciiTheme="minorHAnsi" w:hAnsiTheme="minorHAnsi"/>
        </w:rPr>
        <w:t>Scope</w:t>
      </w:r>
      <w:bookmarkEnd w:id="1"/>
    </w:p>
    <w:p w:rsidR="00E569EA" w:rsidRPr="00EC72AC" w:rsidRDefault="00E569EA" w:rsidP="002A4427">
      <w:pPr>
        <w:pStyle w:val="BodyText"/>
        <w:spacing w:after="120" w:line="240" w:lineRule="auto"/>
        <w:rPr>
          <w:rFonts w:asciiTheme="minorHAnsi" w:hAnsiTheme="minorHAnsi"/>
          <w:b/>
          <w:sz w:val="28"/>
          <w:szCs w:val="28"/>
        </w:rPr>
      </w:pPr>
      <w:r w:rsidRPr="00EC72AC">
        <w:rPr>
          <w:rFonts w:asciiTheme="minorHAnsi" w:hAnsiTheme="minorHAnsi"/>
          <w:b/>
          <w:sz w:val="28"/>
          <w:szCs w:val="28"/>
        </w:rPr>
        <w:t>Service Contract Inventories</w:t>
      </w:r>
    </w:p>
    <w:p w:rsidR="00E569EA" w:rsidRPr="00EC72AC" w:rsidRDefault="00E569EA" w:rsidP="00E569EA">
      <w:pPr>
        <w:pStyle w:val="BodyText"/>
        <w:rPr>
          <w:rFonts w:asciiTheme="minorHAnsi" w:hAnsiTheme="minorHAnsi"/>
          <w:szCs w:val="22"/>
        </w:rPr>
      </w:pPr>
      <w:r w:rsidRPr="00EC72AC">
        <w:rPr>
          <w:rFonts w:asciiTheme="minorHAnsi" w:hAnsiTheme="minorHAnsi"/>
          <w:szCs w:val="22"/>
        </w:rPr>
        <w:t>Section 743 of Division C of the FY 2010 Consolidated Appropriations Act, P.L. 111-117, requires civilian agencies to prepare</w:t>
      </w:r>
      <w:r w:rsidR="002A07AE">
        <w:rPr>
          <w:rFonts w:asciiTheme="minorHAnsi" w:hAnsiTheme="minorHAnsi"/>
          <w:szCs w:val="22"/>
        </w:rPr>
        <w:t xml:space="preserve"> and analyze</w:t>
      </w:r>
      <w:r w:rsidRPr="00EC72AC">
        <w:rPr>
          <w:rFonts w:asciiTheme="minorHAnsi" w:hAnsiTheme="minorHAnsi"/>
          <w:szCs w:val="22"/>
        </w:rPr>
        <w:t xml:space="preserve"> an annual inventory of their service contracts.  Office of Management and Budget’s (OMB)</w:t>
      </w:r>
      <w:r w:rsidR="002A07AE">
        <w:rPr>
          <w:rFonts w:asciiTheme="minorHAnsi" w:hAnsiTheme="minorHAnsi"/>
          <w:szCs w:val="22"/>
        </w:rPr>
        <w:t xml:space="preserve"> memorandum dated</w:t>
      </w:r>
      <w:r w:rsidRPr="00EC72AC">
        <w:rPr>
          <w:rFonts w:asciiTheme="minorHAnsi" w:hAnsiTheme="minorHAnsi"/>
          <w:szCs w:val="22"/>
        </w:rPr>
        <w:t xml:space="preserve"> November 5, 2010</w:t>
      </w:r>
      <w:r w:rsidR="002A07AE">
        <w:rPr>
          <w:rFonts w:asciiTheme="minorHAnsi" w:hAnsiTheme="minorHAnsi"/>
          <w:szCs w:val="22"/>
        </w:rPr>
        <w:t>, Subj:</w:t>
      </w:r>
      <w:r w:rsidRPr="00EC72AC">
        <w:rPr>
          <w:rFonts w:asciiTheme="minorHAnsi" w:hAnsiTheme="minorHAnsi"/>
          <w:szCs w:val="22"/>
        </w:rPr>
        <w:t xml:space="preserve"> “Service Contract Inventories,” provided additional guidance to agencies on how to prepare and analyze a survey of service contracting actions in FY 2010.  Each agency </w:t>
      </w:r>
      <w:r w:rsidR="002A07AE">
        <w:rPr>
          <w:rFonts w:asciiTheme="minorHAnsi" w:hAnsiTheme="minorHAnsi"/>
          <w:szCs w:val="22"/>
        </w:rPr>
        <w:t xml:space="preserve">was to </w:t>
      </w:r>
      <w:r w:rsidRPr="00EC72AC">
        <w:rPr>
          <w:rFonts w:asciiTheme="minorHAnsi" w:hAnsiTheme="minorHAnsi"/>
          <w:szCs w:val="22"/>
        </w:rPr>
        <w:t xml:space="preserve">conduct a meaningful analysis of the data in the inventory for the purpose of determining if contract labor is being used in an appropriate and effective manner and if the mix of federal employees and contractors in the agency is effectively balanced.  </w:t>
      </w:r>
    </w:p>
    <w:p w:rsidR="00E569EA" w:rsidRPr="00EC72AC" w:rsidRDefault="00E569EA" w:rsidP="00E569EA">
      <w:pPr>
        <w:pStyle w:val="BodyText"/>
        <w:rPr>
          <w:rFonts w:asciiTheme="minorHAnsi" w:hAnsiTheme="minorHAnsi"/>
          <w:szCs w:val="22"/>
        </w:rPr>
      </w:pPr>
      <w:r w:rsidRPr="00EC72AC">
        <w:rPr>
          <w:rFonts w:asciiTheme="minorHAnsi" w:hAnsiTheme="minorHAnsi"/>
          <w:szCs w:val="22"/>
        </w:rPr>
        <w:t>As directed by the OMB Memorandum, the Department</w:t>
      </w:r>
      <w:r w:rsidR="002A07AE">
        <w:rPr>
          <w:rFonts w:asciiTheme="minorHAnsi" w:hAnsiTheme="minorHAnsi"/>
          <w:szCs w:val="22"/>
        </w:rPr>
        <w:t xml:space="preserve"> of Energy</w:t>
      </w:r>
      <w:r w:rsidRPr="00EC72AC">
        <w:rPr>
          <w:rFonts w:asciiTheme="minorHAnsi" w:hAnsiTheme="minorHAnsi"/>
          <w:szCs w:val="22"/>
        </w:rPr>
        <w:t xml:space="preserve"> used the data elements cited in section 743 of Division C of the FY 2010 Consolidated Appropriations Act, P.L. 111-117 and </w:t>
      </w:r>
      <w:r w:rsidR="002A07AE">
        <w:rPr>
          <w:rFonts w:asciiTheme="minorHAnsi" w:hAnsiTheme="minorHAnsi"/>
          <w:szCs w:val="22"/>
        </w:rPr>
        <w:t xml:space="preserve">followed </w:t>
      </w:r>
      <w:r w:rsidRPr="00EC72AC">
        <w:rPr>
          <w:rFonts w:asciiTheme="minorHAnsi" w:hAnsiTheme="minorHAnsi"/>
          <w:szCs w:val="22"/>
        </w:rPr>
        <w:t xml:space="preserve"> the guidance </w:t>
      </w:r>
      <w:r w:rsidR="002A07AE">
        <w:rPr>
          <w:rFonts w:asciiTheme="minorHAnsi" w:hAnsiTheme="minorHAnsi"/>
          <w:szCs w:val="22"/>
        </w:rPr>
        <w:t xml:space="preserve">outlined </w:t>
      </w:r>
      <w:r w:rsidRPr="00EC72AC">
        <w:rPr>
          <w:rFonts w:asciiTheme="minorHAnsi" w:hAnsiTheme="minorHAnsi"/>
          <w:szCs w:val="22"/>
        </w:rPr>
        <w:t xml:space="preserve">in OMB’s Office of Federal Procurement Policy’s Policy (OFPP) Letter 11-01 “Performance of Inherently Governmental and Critical Functions” (dated September 12, 2011).  OMB provided </w:t>
      </w:r>
      <w:r w:rsidR="002A07AE">
        <w:rPr>
          <w:rFonts w:asciiTheme="minorHAnsi" w:hAnsiTheme="minorHAnsi"/>
          <w:szCs w:val="22"/>
        </w:rPr>
        <w:t>a reminder of those requirements in a memorandum dated</w:t>
      </w:r>
      <w:r w:rsidRPr="00EC72AC">
        <w:rPr>
          <w:rFonts w:asciiTheme="minorHAnsi" w:hAnsiTheme="minorHAnsi"/>
          <w:szCs w:val="22"/>
        </w:rPr>
        <w:t xml:space="preserve"> December 21, 2012, </w:t>
      </w:r>
      <w:r w:rsidR="002A07AE">
        <w:rPr>
          <w:rFonts w:asciiTheme="minorHAnsi" w:hAnsiTheme="minorHAnsi"/>
          <w:szCs w:val="22"/>
        </w:rPr>
        <w:t>Subj:</w:t>
      </w:r>
      <w:r w:rsidRPr="00EC72AC">
        <w:rPr>
          <w:rFonts w:asciiTheme="minorHAnsi" w:hAnsiTheme="minorHAnsi"/>
          <w:szCs w:val="22"/>
        </w:rPr>
        <w:t xml:space="preserve"> </w:t>
      </w:r>
      <w:r w:rsidR="002A07AE">
        <w:rPr>
          <w:rFonts w:asciiTheme="minorHAnsi" w:hAnsiTheme="minorHAnsi"/>
          <w:szCs w:val="22"/>
        </w:rPr>
        <w:t>“</w:t>
      </w:r>
      <w:r w:rsidRPr="00EC72AC">
        <w:rPr>
          <w:rFonts w:asciiTheme="minorHAnsi" w:hAnsiTheme="minorHAnsi"/>
          <w:szCs w:val="22"/>
        </w:rPr>
        <w:t>Development and Analysis of Service Contract Inventories</w:t>
      </w:r>
      <w:r w:rsidR="002A07AE">
        <w:rPr>
          <w:rFonts w:asciiTheme="minorHAnsi" w:hAnsiTheme="minorHAnsi"/>
          <w:szCs w:val="22"/>
        </w:rPr>
        <w:t>”</w:t>
      </w:r>
      <w:r w:rsidRPr="00EC72AC">
        <w:rPr>
          <w:rFonts w:asciiTheme="minorHAnsi" w:hAnsiTheme="minorHAnsi"/>
          <w:szCs w:val="22"/>
        </w:rPr>
        <w:t>.</w:t>
      </w:r>
    </w:p>
    <w:p w:rsidR="00E569EA" w:rsidRPr="00EC72AC" w:rsidRDefault="00E569EA" w:rsidP="00E569EA">
      <w:pPr>
        <w:pStyle w:val="BodyText"/>
        <w:rPr>
          <w:rFonts w:asciiTheme="minorHAnsi" w:hAnsiTheme="minorHAnsi"/>
          <w:szCs w:val="22"/>
          <w:vertAlign w:val="superscript"/>
        </w:rPr>
      </w:pPr>
      <w:r w:rsidRPr="00EC72AC">
        <w:rPr>
          <w:rFonts w:asciiTheme="minorHAnsi" w:hAnsiTheme="minorHAnsi"/>
          <w:szCs w:val="22"/>
        </w:rPr>
        <w:t xml:space="preserve">OMB provided a list of priority functions for review called Special Interest Functions (SIFs).  OMB </w:t>
      </w:r>
      <w:r w:rsidR="00346E7F">
        <w:rPr>
          <w:rFonts w:asciiTheme="minorHAnsi" w:hAnsiTheme="minorHAnsi"/>
          <w:szCs w:val="22"/>
        </w:rPr>
        <w:t>i</w:t>
      </w:r>
      <w:r w:rsidRPr="00EC72AC">
        <w:rPr>
          <w:rFonts w:asciiTheme="minorHAnsi" w:hAnsiTheme="minorHAnsi"/>
          <w:szCs w:val="22"/>
        </w:rPr>
        <w:t>dentified the SIFs for increased management consideration for review based on concerns of increased risk of losing control of mission and operations as identified through a review of recent Government reports</w:t>
      </w:r>
      <w:r w:rsidR="00D56090" w:rsidRPr="00D56090">
        <w:rPr>
          <w:vertAlign w:val="superscript"/>
        </w:rPr>
        <w:footnoteReference w:id="1"/>
      </w:r>
      <w:r w:rsidRPr="00EC72AC">
        <w:rPr>
          <w:rFonts w:asciiTheme="minorHAnsi" w:hAnsiTheme="minorHAnsi"/>
          <w:szCs w:val="22"/>
        </w:rPr>
        <w:t xml:space="preserve"> and its own analysis.  The SIFs for increased management attention are listed by their Product Service Codes (PSC) in </w:t>
      </w:r>
      <w:r w:rsidRPr="00EC72AC">
        <w:rPr>
          <w:rFonts w:asciiTheme="minorHAnsi" w:hAnsiTheme="minorHAnsi"/>
          <w:i/>
          <w:szCs w:val="22"/>
        </w:rPr>
        <w:t xml:space="preserve">Figure 1: </w:t>
      </w:r>
      <w:r w:rsidR="00D83BAA" w:rsidRPr="00EC72AC">
        <w:rPr>
          <w:rFonts w:asciiTheme="minorHAnsi" w:hAnsiTheme="minorHAnsi"/>
          <w:i/>
          <w:szCs w:val="22"/>
        </w:rPr>
        <w:t xml:space="preserve">OMB Designated </w:t>
      </w:r>
      <w:r w:rsidRPr="00EC72AC">
        <w:rPr>
          <w:rFonts w:asciiTheme="minorHAnsi" w:hAnsiTheme="minorHAnsi"/>
          <w:i/>
          <w:szCs w:val="22"/>
        </w:rPr>
        <w:t>Special Interest Functions</w:t>
      </w:r>
      <w:r w:rsidRPr="00EC72AC">
        <w:rPr>
          <w:rFonts w:asciiTheme="minorHAnsi" w:hAnsiTheme="minorHAnsi"/>
          <w:szCs w:val="22"/>
        </w:rPr>
        <w:t>.</w:t>
      </w:r>
      <w:r w:rsidRPr="00EC72AC">
        <w:rPr>
          <w:vertAlign w:val="superscript"/>
        </w:rPr>
        <w:footnoteReference w:id="2"/>
      </w:r>
      <w:r w:rsidRPr="00EC72AC">
        <w:rPr>
          <w:rFonts w:asciiTheme="minorHAnsi" w:hAnsiTheme="minorHAnsi"/>
          <w:szCs w:val="22"/>
          <w:vertAlign w:val="superscript"/>
        </w:rPr>
        <w:t xml:space="preserve"> </w:t>
      </w:r>
    </w:p>
    <w:tbl>
      <w:tblPr>
        <w:tblW w:w="7101" w:type="dxa"/>
        <w:jc w:val="center"/>
        <w:tblInd w:w="101" w:type="dxa"/>
        <w:tblLook w:val="04A0"/>
      </w:tblPr>
      <w:tblGrid>
        <w:gridCol w:w="599"/>
        <w:gridCol w:w="6502"/>
      </w:tblGrid>
      <w:tr w:rsidR="00E569EA" w:rsidRPr="00EC72AC" w:rsidTr="00E569EA">
        <w:trPr>
          <w:trHeight w:val="225"/>
          <w:jc w:val="center"/>
        </w:trPr>
        <w:tc>
          <w:tcPr>
            <w:tcW w:w="7101" w:type="dxa"/>
            <w:gridSpan w:val="2"/>
            <w:tcBorders>
              <w:top w:val="nil"/>
              <w:left w:val="nil"/>
              <w:bottom w:val="single" w:sz="4" w:space="0" w:color="auto"/>
              <w:right w:val="nil"/>
            </w:tcBorders>
            <w:shd w:val="clear" w:color="000000" w:fill="FFFFFF"/>
            <w:noWrap/>
            <w:vAlign w:val="bottom"/>
            <w:hideMark/>
          </w:tcPr>
          <w:p w:rsidR="00E569EA" w:rsidRPr="00EC72AC" w:rsidRDefault="00E569EA" w:rsidP="00E569EA">
            <w:pPr>
              <w:jc w:val="center"/>
              <w:rPr>
                <w:rFonts w:ascii="Arial" w:hAnsi="Arial"/>
                <w:b/>
                <w:bCs/>
                <w:sz w:val="16"/>
                <w:szCs w:val="16"/>
              </w:rPr>
            </w:pPr>
            <w:r w:rsidRPr="00EC72AC">
              <w:rPr>
                <w:rFonts w:ascii="Arial" w:hAnsi="Arial"/>
                <w:b/>
                <w:bCs/>
                <w:sz w:val="16"/>
                <w:szCs w:val="16"/>
              </w:rPr>
              <w:t>Special Interest Functions</w:t>
            </w:r>
          </w:p>
        </w:tc>
      </w:tr>
      <w:tr w:rsidR="00E569EA" w:rsidRPr="00EC72AC" w:rsidTr="00E569EA">
        <w:trPr>
          <w:trHeight w:val="225"/>
          <w:jc w:val="center"/>
        </w:trPr>
        <w:tc>
          <w:tcPr>
            <w:tcW w:w="599"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rsidR="00E569EA" w:rsidRPr="00EC72AC" w:rsidRDefault="00E569EA" w:rsidP="00E569EA">
            <w:pPr>
              <w:jc w:val="center"/>
              <w:rPr>
                <w:rFonts w:ascii="Arial" w:hAnsi="Arial"/>
                <w:b/>
                <w:bCs/>
                <w:sz w:val="16"/>
                <w:szCs w:val="16"/>
              </w:rPr>
            </w:pPr>
            <w:r w:rsidRPr="00EC72AC">
              <w:rPr>
                <w:rFonts w:ascii="Arial" w:hAnsi="Arial"/>
                <w:b/>
                <w:bCs/>
                <w:sz w:val="16"/>
                <w:szCs w:val="16"/>
              </w:rPr>
              <w:t>PSC</w:t>
            </w:r>
          </w:p>
        </w:tc>
        <w:tc>
          <w:tcPr>
            <w:tcW w:w="6502"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E569EA" w:rsidRPr="00EC72AC" w:rsidRDefault="00E569EA" w:rsidP="00E569EA">
            <w:pPr>
              <w:jc w:val="center"/>
              <w:rPr>
                <w:rFonts w:ascii="Arial" w:hAnsi="Arial"/>
                <w:b/>
                <w:bCs/>
                <w:sz w:val="16"/>
                <w:szCs w:val="16"/>
              </w:rPr>
            </w:pPr>
            <w:r w:rsidRPr="00EC72AC">
              <w:rPr>
                <w:rFonts w:ascii="Arial" w:hAnsi="Arial"/>
                <w:b/>
                <w:bCs/>
                <w:sz w:val="16"/>
                <w:szCs w:val="16"/>
              </w:rPr>
              <w:t>PSC Description</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D302</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IT and Telecom- Systems Development</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D307</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IT and Telecom- IT Strategy and Architecture</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D310</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IT ad Telecom- Cyber Security and Data Backup</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D314</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IT and Telecom- System Acquisition Support</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R408</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Professional: Program Management/Support</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R413</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Professional: Intelligence</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R414</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Systems Engineering Services</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R421</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Technical Assistance</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R423</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Professional: Intelligence</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R425</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Professional: Engineering/Technical</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R497</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Professional: Personal Services Contracts</w:t>
            </w:r>
          </w:p>
        </w:tc>
      </w:tr>
      <w:tr w:rsidR="00E569EA" w:rsidRPr="00EC72AC" w:rsidTr="00E569EA">
        <w:trPr>
          <w:trHeight w:val="225"/>
          <w:jc w:val="center"/>
        </w:trPr>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R707</w:t>
            </w:r>
          </w:p>
        </w:tc>
        <w:tc>
          <w:tcPr>
            <w:tcW w:w="6502" w:type="dxa"/>
            <w:tcBorders>
              <w:top w:val="nil"/>
              <w:left w:val="nil"/>
              <w:bottom w:val="single" w:sz="4" w:space="0" w:color="auto"/>
              <w:right w:val="single" w:sz="4" w:space="0" w:color="auto"/>
            </w:tcBorders>
            <w:shd w:val="clear" w:color="auto" w:fill="auto"/>
            <w:noWrap/>
            <w:vAlign w:val="bottom"/>
            <w:hideMark/>
          </w:tcPr>
          <w:p w:rsidR="00E569EA" w:rsidRPr="00EC72AC" w:rsidRDefault="00E569EA" w:rsidP="00E569EA">
            <w:pPr>
              <w:rPr>
                <w:rFonts w:ascii="Arial" w:hAnsi="Arial"/>
                <w:sz w:val="16"/>
                <w:szCs w:val="16"/>
              </w:rPr>
            </w:pPr>
            <w:r w:rsidRPr="00EC72AC">
              <w:rPr>
                <w:rFonts w:ascii="Arial" w:hAnsi="Arial"/>
                <w:sz w:val="16"/>
                <w:szCs w:val="16"/>
              </w:rPr>
              <w:t>Support - Management: Contract/Procurement/Acquisition Support</w:t>
            </w:r>
          </w:p>
        </w:tc>
      </w:tr>
    </w:tbl>
    <w:p w:rsidR="00E569EA" w:rsidRPr="00EC72AC" w:rsidRDefault="00E569EA" w:rsidP="00E569EA">
      <w:pPr>
        <w:pStyle w:val="Caption"/>
        <w:jc w:val="center"/>
        <w:rPr>
          <w:rFonts w:asciiTheme="minorHAnsi" w:hAnsiTheme="minorHAnsi"/>
          <w:b w:val="0"/>
          <w:color w:val="auto"/>
        </w:rPr>
      </w:pPr>
      <w:r w:rsidRPr="00EC72AC">
        <w:rPr>
          <w:rFonts w:asciiTheme="minorHAnsi" w:hAnsiTheme="minorHAnsi"/>
          <w:color w:val="auto"/>
        </w:rPr>
        <w:t xml:space="preserve">Figure 1: </w:t>
      </w:r>
      <w:r w:rsidR="00D83BAA" w:rsidRPr="00EC72AC">
        <w:rPr>
          <w:rFonts w:asciiTheme="minorHAnsi" w:hAnsiTheme="minorHAnsi"/>
          <w:color w:val="auto"/>
        </w:rPr>
        <w:t xml:space="preserve">OMB Designated </w:t>
      </w:r>
      <w:r w:rsidRPr="00EC72AC">
        <w:rPr>
          <w:rFonts w:asciiTheme="minorHAnsi" w:hAnsiTheme="minorHAnsi"/>
          <w:color w:val="auto"/>
        </w:rPr>
        <w:t>Special Interest Functions</w:t>
      </w:r>
    </w:p>
    <w:p w:rsidR="00064D41" w:rsidRPr="00EC72AC" w:rsidRDefault="00064D41" w:rsidP="002A4427">
      <w:pPr>
        <w:pStyle w:val="BodyText"/>
        <w:spacing w:after="120" w:line="240" w:lineRule="auto"/>
        <w:rPr>
          <w:rFonts w:asciiTheme="minorHAnsi" w:hAnsiTheme="minorHAnsi"/>
          <w:b/>
          <w:sz w:val="28"/>
          <w:szCs w:val="28"/>
        </w:rPr>
      </w:pPr>
      <w:r w:rsidRPr="00EC72AC">
        <w:rPr>
          <w:rFonts w:asciiTheme="minorHAnsi" w:hAnsiTheme="minorHAnsi"/>
          <w:b/>
          <w:sz w:val="28"/>
          <w:szCs w:val="28"/>
        </w:rPr>
        <w:t>Management of Support Services</w:t>
      </w:r>
    </w:p>
    <w:p w:rsidR="00064D41" w:rsidRPr="00EC72AC" w:rsidRDefault="00064D41" w:rsidP="00064D41">
      <w:pPr>
        <w:pStyle w:val="BodyText"/>
        <w:rPr>
          <w:rFonts w:asciiTheme="minorHAnsi" w:hAnsiTheme="minorHAnsi"/>
          <w:szCs w:val="22"/>
        </w:rPr>
      </w:pPr>
      <w:r w:rsidRPr="00EC72AC">
        <w:rPr>
          <w:rFonts w:asciiTheme="minorHAnsi" w:hAnsiTheme="minorHAnsi"/>
          <w:szCs w:val="22"/>
        </w:rPr>
        <w:lastRenderedPageBreak/>
        <w:t>OMB</w:t>
      </w:r>
      <w:r w:rsidR="0076720E">
        <w:rPr>
          <w:rFonts w:asciiTheme="minorHAnsi" w:hAnsiTheme="minorHAnsi"/>
          <w:szCs w:val="22"/>
        </w:rPr>
        <w:t xml:space="preserve"> memorandum dated</w:t>
      </w:r>
      <w:r w:rsidRPr="00EC72AC">
        <w:rPr>
          <w:rFonts w:asciiTheme="minorHAnsi" w:hAnsiTheme="minorHAnsi"/>
          <w:szCs w:val="22"/>
        </w:rPr>
        <w:t xml:space="preserve"> November 7, 2011 </w:t>
      </w:r>
      <w:r w:rsidR="0076720E">
        <w:rPr>
          <w:rFonts w:asciiTheme="minorHAnsi" w:hAnsiTheme="minorHAnsi"/>
          <w:szCs w:val="22"/>
        </w:rPr>
        <w:t xml:space="preserve"> Subj:</w:t>
      </w:r>
      <w:r w:rsidRPr="00EC72AC">
        <w:rPr>
          <w:rFonts w:asciiTheme="minorHAnsi" w:hAnsiTheme="minorHAnsi"/>
          <w:szCs w:val="22"/>
        </w:rPr>
        <w:t xml:space="preserve"> “Reduced Contract Spending for Management Support Services,” was issued to agencies to highlight the objective of reducing expenditures for Management Support Services (M</w:t>
      </w:r>
      <w:r w:rsidR="0076720E">
        <w:rPr>
          <w:rFonts w:asciiTheme="minorHAnsi" w:hAnsiTheme="minorHAnsi"/>
          <w:szCs w:val="22"/>
        </w:rPr>
        <w:t>S</w:t>
      </w:r>
      <w:r w:rsidRPr="00EC72AC">
        <w:rPr>
          <w:rFonts w:asciiTheme="minorHAnsi" w:hAnsiTheme="minorHAnsi"/>
          <w:szCs w:val="22"/>
        </w:rPr>
        <w:t xml:space="preserve">S) </w:t>
      </w:r>
      <w:r w:rsidR="0076720E">
        <w:rPr>
          <w:rFonts w:asciiTheme="minorHAnsi" w:hAnsiTheme="minorHAnsi"/>
          <w:szCs w:val="22"/>
        </w:rPr>
        <w:t>a</w:t>
      </w:r>
      <w:r w:rsidRPr="00EC72AC">
        <w:rPr>
          <w:rFonts w:asciiTheme="minorHAnsi" w:hAnsiTheme="minorHAnsi"/>
          <w:szCs w:val="22"/>
        </w:rPr>
        <w:t>s an important component of the Campaign to Cut Waste and the Executive Order on Delivering an Efficient , Effective , and Accountable Government.</w:t>
      </w:r>
    </w:p>
    <w:p w:rsidR="00064D41" w:rsidRPr="00EC72AC" w:rsidRDefault="00064D41" w:rsidP="00064D41">
      <w:pPr>
        <w:pStyle w:val="BodyText"/>
        <w:rPr>
          <w:rFonts w:asciiTheme="minorHAnsi" w:hAnsiTheme="minorHAnsi"/>
          <w:szCs w:val="22"/>
        </w:rPr>
      </w:pPr>
      <w:r w:rsidRPr="00EC72AC">
        <w:rPr>
          <w:rFonts w:asciiTheme="minorHAnsi" w:hAnsiTheme="minorHAnsi"/>
          <w:szCs w:val="22"/>
        </w:rPr>
        <w:t>During the White House Forum on Accountability in Federal Contracting in the summer of 2011, OMB announced a goal of reducing spending on MSS contracts by 15 percent by the end of FY 2012.  For the purposes of this initiative, OMB identified the MSS as functions covered by twelve PSCs which are identical to the SIF codes identified in the Service Contract Inventory guidance.</w:t>
      </w:r>
    </w:p>
    <w:p w:rsidR="00B042EE" w:rsidRDefault="00064D41" w:rsidP="008474BA">
      <w:pPr>
        <w:pStyle w:val="BodyText"/>
        <w:rPr>
          <w:rFonts w:asciiTheme="minorHAnsi" w:hAnsiTheme="minorHAnsi"/>
          <w:szCs w:val="22"/>
        </w:rPr>
      </w:pPr>
      <w:r w:rsidRPr="00EC72AC">
        <w:rPr>
          <w:rFonts w:asciiTheme="minorHAnsi" w:hAnsiTheme="minorHAnsi"/>
          <w:szCs w:val="22"/>
        </w:rPr>
        <w:t>I</w:t>
      </w:r>
      <w:r w:rsidR="00B042EE" w:rsidRPr="00EC72AC">
        <w:rPr>
          <w:rFonts w:asciiTheme="minorHAnsi" w:hAnsiTheme="minorHAnsi"/>
          <w:szCs w:val="22"/>
        </w:rPr>
        <w:t>n order to better align the other OMB/OFPP Service Contract related initiatives</w:t>
      </w:r>
      <w:r w:rsidR="00B410DF">
        <w:rPr>
          <w:rFonts w:asciiTheme="minorHAnsi" w:hAnsiTheme="minorHAnsi"/>
          <w:szCs w:val="22"/>
        </w:rPr>
        <w:t xml:space="preserve"> to include the OMB MSS initiative</w:t>
      </w:r>
      <w:r w:rsidR="00B042EE" w:rsidRPr="00EC72AC">
        <w:rPr>
          <w:rFonts w:asciiTheme="minorHAnsi" w:hAnsiTheme="minorHAnsi"/>
          <w:szCs w:val="22"/>
        </w:rPr>
        <w:t>, the list of S</w:t>
      </w:r>
      <w:r w:rsidRPr="00EC72AC">
        <w:rPr>
          <w:rFonts w:asciiTheme="minorHAnsi" w:hAnsiTheme="minorHAnsi"/>
          <w:szCs w:val="22"/>
        </w:rPr>
        <w:t>IFs</w:t>
      </w:r>
      <w:r w:rsidR="00B042EE" w:rsidRPr="00EC72AC">
        <w:rPr>
          <w:rFonts w:asciiTheme="minorHAnsi" w:hAnsiTheme="minorHAnsi"/>
          <w:szCs w:val="22"/>
        </w:rPr>
        <w:t xml:space="preserve"> was further exp</w:t>
      </w:r>
      <w:r w:rsidR="00237A04" w:rsidRPr="00EC72AC">
        <w:rPr>
          <w:rFonts w:asciiTheme="minorHAnsi" w:hAnsiTheme="minorHAnsi"/>
          <w:szCs w:val="22"/>
        </w:rPr>
        <w:t>and</w:t>
      </w:r>
      <w:r w:rsidR="00B042EE" w:rsidRPr="00EC72AC">
        <w:rPr>
          <w:rFonts w:asciiTheme="minorHAnsi" w:hAnsiTheme="minorHAnsi"/>
          <w:szCs w:val="22"/>
        </w:rPr>
        <w:t xml:space="preserve">ed </w:t>
      </w:r>
      <w:r w:rsidR="00E569EA" w:rsidRPr="00EC72AC">
        <w:rPr>
          <w:rFonts w:asciiTheme="minorHAnsi" w:hAnsiTheme="minorHAnsi"/>
          <w:szCs w:val="22"/>
        </w:rPr>
        <w:t xml:space="preserve">for use with the </w:t>
      </w:r>
      <w:r w:rsidR="00B410DF">
        <w:rPr>
          <w:rFonts w:asciiTheme="minorHAnsi" w:hAnsiTheme="minorHAnsi"/>
          <w:szCs w:val="22"/>
        </w:rPr>
        <w:t xml:space="preserve">Department identified </w:t>
      </w:r>
      <w:r w:rsidR="00B042EE" w:rsidRPr="00EC72AC">
        <w:rPr>
          <w:rFonts w:asciiTheme="minorHAnsi" w:hAnsiTheme="minorHAnsi"/>
          <w:szCs w:val="22"/>
        </w:rPr>
        <w:t>spending reduction initiative</w:t>
      </w:r>
      <w:r w:rsidR="00B410DF">
        <w:rPr>
          <w:rFonts w:asciiTheme="minorHAnsi" w:hAnsiTheme="minorHAnsi"/>
          <w:szCs w:val="22"/>
        </w:rPr>
        <w:t>s</w:t>
      </w:r>
      <w:r w:rsidR="00B042EE" w:rsidRPr="00EC72AC">
        <w:rPr>
          <w:rFonts w:asciiTheme="minorHAnsi" w:hAnsiTheme="minorHAnsi"/>
          <w:szCs w:val="22"/>
        </w:rPr>
        <w:t xml:space="preserve">. </w:t>
      </w:r>
      <w:r w:rsidR="008474BA" w:rsidRPr="00EC72AC">
        <w:rPr>
          <w:rFonts w:asciiTheme="minorHAnsi" w:hAnsiTheme="minorHAnsi"/>
          <w:szCs w:val="22"/>
        </w:rPr>
        <w:t xml:space="preserve"> </w:t>
      </w:r>
      <w:r w:rsidR="00B042EE" w:rsidRPr="00EC72AC">
        <w:rPr>
          <w:rFonts w:asciiTheme="minorHAnsi" w:hAnsiTheme="minorHAnsi"/>
          <w:szCs w:val="22"/>
        </w:rPr>
        <w:t xml:space="preserve">Many of the SIF PSCs </w:t>
      </w:r>
      <w:r w:rsidR="00237A04" w:rsidRPr="00EC72AC">
        <w:rPr>
          <w:rFonts w:asciiTheme="minorHAnsi" w:hAnsiTheme="minorHAnsi"/>
          <w:szCs w:val="22"/>
        </w:rPr>
        <w:t>and</w:t>
      </w:r>
      <w:r w:rsidR="00B042EE" w:rsidRPr="00EC72AC">
        <w:rPr>
          <w:rFonts w:asciiTheme="minorHAnsi" w:hAnsiTheme="minorHAnsi"/>
          <w:szCs w:val="22"/>
        </w:rPr>
        <w:t xml:space="preserve"> M</w:t>
      </w:r>
      <w:r w:rsidR="0076720E">
        <w:rPr>
          <w:rFonts w:asciiTheme="minorHAnsi" w:hAnsiTheme="minorHAnsi"/>
          <w:szCs w:val="22"/>
        </w:rPr>
        <w:t>S</w:t>
      </w:r>
      <w:r w:rsidR="00B042EE" w:rsidRPr="00EC72AC">
        <w:rPr>
          <w:rFonts w:asciiTheme="minorHAnsi" w:hAnsiTheme="minorHAnsi"/>
          <w:szCs w:val="22"/>
        </w:rPr>
        <w:t xml:space="preserve">S PSCs are duplicative as highlighted in </w:t>
      </w:r>
      <w:r w:rsidR="00B042EE" w:rsidRPr="00EC72AC">
        <w:rPr>
          <w:rFonts w:asciiTheme="minorHAnsi" w:hAnsiTheme="minorHAnsi"/>
          <w:i/>
          <w:szCs w:val="22"/>
        </w:rPr>
        <w:t xml:space="preserve">Figure 2: </w:t>
      </w:r>
      <w:r w:rsidR="00D83BAA" w:rsidRPr="00EC72AC">
        <w:rPr>
          <w:rFonts w:asciiTheme="minorHAnsi" w:hAnsiTheme="minorHAnsi"/>
          <w:i/>
          <w:szCs w:val="22"/>
        </w:rPr>
        <w:t>FY 201</w:t>
      </w:r>
      <w:r w:rsidR="00776B5B">
        <w:rPr>
          <w:rFonts w:asciiTheme="minorHAnsi" w:hAnsiTheme="minorHAnsi"/>
          <w:i/>
          <w:szCs w:val="22"/>
        </w:rPr>
        <w:t>2</w:t>
      </w:r>
      <w:r w:rsidR="00D83BAA" w:rsidRPr="00EC72AC">
        <w:rPr>
          <w:rFonts w:asciiTheme="minorHAnsi" w:hAnsiTheme="minorHAnsi"/>
          <w:i/>
          <w:szCs w:val="22"/>
        </w:rPr>
        <w:t xml:space="preserve"> Special Interest Functions</w:t>
      </w:r>
      <w:r w:rsidR="00B042EE" w:rsidRPr="00EC72AC">
        <w:rPr>
          <w:rFonts w:asciiTheme="minorHAnsi" w:hAnsiTheme="minorHAnsi"/>
          <w:szCs w:val="22"/>
        </w:rPr>
        <w:t>.</w:t>
      </w:r>
    </w:p>
    <w:p w:rsidR="00C4115A" w:rsidRPr="00EC72AC" w:rsidRDefault="00C4115A" w:rsidP="00C4115A">
      <w:pPr>
        <w:pStyle w:val="BodyText"/>
        <w:jc w:val="center"/>
        <w:rPr>
          <w:rFonts w:asciiTheme="minorHAnsi" w:hAnsiTheme="minorHAnsi"/>
          <w:szCs w:val="22"/>
        </w:rPr>
      </w:pPr>
      <w:r w:rsidRPr="00C4115A">
        <w:rPr>
          <w:szCs w:val="22"/>
        </w:rPr>
        <w:drawing>
          <wp:inline distT="0" distB="0" distL="0" distR="0">
            <wp:extent cx="4828903" cy="280908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30237" cy="2809858"/>
                    </a:xfrm>
                    <a:prstGeom prst="rect">
                      <a:avLst/>
                    </a:prstGeom>
                    <a:noFill/>
                    <a:ln w="9525">
                      <a:noFill/>
                      <a:miter lim="800000"/>
                      <a:headEnd/>
                      <a:tailEnd/>
                    </a:ln>
                  </pic:spPr>
                </pic:pic>
              </a:graphicData>
            </a:graphic>
          </wp:inline>
        </w:drawing>
      </w:r>
    </w:p>
    <w:p w:rsidR="00B96D0A" w:rsidRPr="00EC72AC" w:rsidRDefault="00B96D0A" w:rsidP="00EC6893">
      <w:pPr>
        <w:pStyle w:val="Caption"/>
        <w:jc w:val="center"/>
        <w:rPr>
          <w:rFonts w:asciiTheme="minorHAnsi" w:hAnsiTheme="minorHAnsi"/>
          <w:b w:val="0"/>
          <w:color w:val="auto"/>
        </w:rPr>
      </w:pPr>
      <w:r w:rsidRPr="00EC72AC">
        <w:rPr>
          <w:rFonts w:asciiTheme="minorHAnsi" w:hAnsiTheme="minorHAnsi"/>
          <w:color w:val="auto"/>
        </w:rPr>
        <w:t xml:space="preserve">Figure 2: </w:t>
      </w:r>
      <w:r w:rsidR="00D83BAA" w:rsidRPr="00EC72AC">
        <w:rPr>
          <w:rFonts w:asciiTheme="minorHAnsi" w:hAnsiTheme="minorHAnsi"/>
          <w:color w:val="auto"/>
        </w:rPr>
        <w:t>FY 201</w:t>
      </w:r>
      <w:r w:rsidR="00776B5B">
        <w:rPr>
          <w:rFonts w:asciiTheme="minorHAnsi" w:hAnsiTheme="minorHAnsi"/>
          <w:color w:val="auto"/>
        </w:rPr>
        <w:t>2</w:t>
      </w:r>
      <w:r w:rsidR="00D83BAA" w:rsidRPr="00EC72AC">
        <w:rPr>
          <w:rFonts w:asciiTheme="minorHAnsi" w:hAnsiTheme="minorHAnsi"/>
          <w:color w:val="auto"/>
        </w:rPr>
        <w:t xml:space="preserve"> Special Interest Functions</w:t>
      </w:r>
    </w:p>
    <w:p w:rsidR="007B5CFA" w:rsidRPr="00EC72AC" w:rsidRDefault="006C168A" w:rsidP="00EC6893">
      <w:pPr>
        <w:rPr>
          <w:rFonts w:asciiTheme="minorHAnsi" w:hAnsiTheme="minorHAnsi"/>
        </w:rPr>
      </w:pPr>
      <w:r>
        <w:rPr>
          <w:rFonts w:asciiTheme="minorHAnsi" w:hAnsiTheme="minorHAnsi"/>
        </w:rPr>
        <w:t xml:space="preserve">The Department of Energy studied the SIFs/PSCs reflected in Figure 2 above.  The applicable contracts were selected for review based upon their being encompassed in OMB’s list of SIFs, as well as DOE’s list of contracts to be studied.  </w:t>
      </w:r>
      <w:r w:rsidR="00852BC5" w:rsidRPr="00EC72AC">
        <w:rPr>
          <w:rFonts w:asciiTheme="minorHAnsi" w:hAnsiTheme="minorHAnsi"/>
        </w:rPr>
        <w:t xml:space="preserve">The </w:t>
      </w:r>
      <w:r>
        <w:rPr>
          <w:rFonts w:asciiTheme="minorHAnsi" w:hAnsiTheme="minorHAnsi"/>
        </w:rPr>
        <w:t xml:space="preserve">total </w:t>
      </w:r>
      <w:r w:rsidR="00852BC5" w:rsidRPr="00EC72AC">
        <w:rPr>
          <w:rFonts w:asciiTheme="minorHAnsi" w:hAnsiTheme="minorHAnsi"/>
        </w:rPr>
        <w:t>dollars obligated to those specific PSCs</w:t>
      </w:r>
      <w:r>
        <w:rPr>
          <w:rFonts w:asciiTheme="minorHAnsi" w:hAnsiTheme="minorHAnsi"/>
        </w:rPr>
        <w:t xml:space="preserve"> were </w:t>
      </w:r>
      <w:r w:rsidR="00EC6893" w:rsidRPr="00EC6893">
        <w:rPr>
          <w:rFonts w:asciiTheme="minorHAnsi" w:hAnsiTheme="minorHAnsi"/>
        </w:rPr>
        <w:t>$</w:t>
      </w:r>
      <w:r w:rsidR="00C4115A" w:rsidRPr="00C4115A">
        <w:rPr>
          <w:rFonts w:asciiTheme="minorHAnsi" w:hAnsiTheme="minorHAnsi"/>
        </w:rPr>
        <w:t>2,403,944,520</w:t>
      </w:r>
      <w:r w:rsidRPr="00EC6893">
        <w:rPr>
          <w:rFonts w:asciiTheme="minorHAnsi" w:hAnsiTheme="minorHAnsi"/>
        </w:rPr>
        <w:t>,</w:t>
      </w:r>
      <w:r w:rsidRPr="00935E86">
        <w:rPr>
          <w:rFonts w:asciiTheme="minorHAnsi" w:hAnsiTheme="minorHAnsi"/>
          <w:highlight w:val="yellow"/>
        </w:rPr>
        <w:t xml:space="preserve"> </w:t>
      </w:r>
      <w:r w:rsidRPr="00EC6893">
        <w:rPr>
          <w:rFonts w:asciiTheme="minorHAnsi" w:hAnsiTheme="minorHAnsi"/>
        </w:rPr>
        <w:t xml:space="preserve">representing </w:t>
      </w:r>
      <w:r w:rsidR="00C4115A">
        <w:rPr>
          <w:rFonts w:asciiTheme="minorHAnsi" w:hAnsiTheme="minorHAnsi"/>
        </w:rPr>
        <w:t>9.57</w:t>
      </w:r>
      <w:r w:rsidRPr="00EC6893">
        <w:rPr>
          <w:rFonts w:asciiTheme="minorHAnsi" w:hAnsiTheme="minorHAnsi"/>
        </w:rPr>
        <w:t>% of total</w:t>
      </w:r>
      <w:r>
        <w:rPr>
          <w:rFonts w:asciiTheme="minorHAnsi" w:hAnsiTheme="minorHAnsi"/>
        </w:rPr>
        <w:t xml:space="preserve"> oblig</w:t>
      </w:r>
      <w:r w:rsidR="00935E86">
        <w:rPr>
          <w:rFonts w:asciiTheme="minorHAnsi" w:hAnsiTheme="minorHAnsi"/>
        </w:rPr>
        <w:t>ations.  The number of contract actions</w:t>
      </w:r>
      <w:r>
        <w:rPr>
          <w:rFonts w:asciiTheme="minorHAnsi" w:hAnsiTheme="minorHAnsi"/>
        </w:rPr>
        <w:t xml:space="preserve"> reviewed totaled </w:t>
      </w:r>
      <w:r w:rsidR="004D5718">
        <w:rPr>
          <w:rFonts w:asciiTheme="minorHAnsi" w:hAnsiTheme="minorHAnsi"/>
        </w:rPr>
        <w:t>3,549</w:t>
      </w:r>
      <w:r w:rsidR="007B5CFA" w:rsidRPr="00EC72AC">
        <w:rPr>
          <w:rFonts w:asciiTheme="minorHAnsi" w:hAnsiTheme="minorHAnsi"/>
        </w:rPr>
        <w:t>.</w:t>
      </w:r>
    </w:p>
    <w:p w:rsidR="00B23026" w:rsidRPr="00EC72AC" w:rsidRDefault="00B23026" w:rsidP="00D21EBE">
      <w:pPr>
        <w:pStyle w:val="BodyText"/>
        <w:spacing w:after="120" w:line="240" w:lineRule="auto"/>
        <w:rPr>
          <w:rFonts w:asciiTheme="minorHAnsi" w:hAnsiTheme="minorHAnsi"/>
          <w:highlight w:val="yellow"/>
        </w:rPr>
      </w:pPr>
    </w:p>
    <w:p w:rsidR="00B23026" w:rsidRPr="00EC72AC" w:rsidRDefault="00B23026" w:rsidP="00D21EBE">
      <w:pPr>
        <w:pStyle w:val="BodyText"/>
        <w:spacing w:after="120" w:line="240" w:lineRule="auto"/>
        <w:rPr>
          <w:rFonts w:asciiTheme="minorHAnsi" w:hAnsiTheme="minorHAnsi"/>
          <w:highlight w:val="yellow"/>
        </w:rPr>
      </w:pPr>
    </w:p>
    <w:p w:rsidR="008474BA" w:rsidRPr="00EC72AC" w:rsidRDefault="008474BA" w:rsidP="00F21F2A">
      <w:pPr>
        <w:pStyle w:val="BodyText"/>
        <w:rPr>
          <w:rFonts w:asciiTheme="minorHAnsi" w:hAnsiTheme="minorHAnsi"/>
        </w:rPr>
        <w:sectPr w:rsidR="008474BA" w:rsidRPr="00EC72AC" w:rsidSect="00A6373F">
          <w:footerReference w:type="default" r:id="rId13"/>
          <w:pgSz w:w="12242" w:h="15842" w:code="1"/>
          <w:pgMar w:top="1440" w:right="1440" w:bottom="1440" w:left="1440" w:header="709" w:footer="567" w:gutter="0"/>
          <w:cols w:space="708"/>
          <w:docGrid w:linePitch="360"/>
        </w:sectPr>
      </w:pPr>
    </w:p>
    <w:p w:rsidR="003A3855" w:rsidRPr="00EC72AC" w:rsidRDefault="003A3855" w:rsidP="002A4427">
      <w:pPr>
        <w:pStyle w:val="SectionTitle"/>
        <w:spacing w:after="600"/>
        <w:rPr>
          <w:rFonts w:asciiTheme="minorHAnsi" w:hAnsiTheme="minorHAnsi"/>
        </w:rPr>
      </w:pPr>
      <w:bookmarkStart w:id="2" w:name="_Toc344382182"/>
      <w:r w:rsidRPr="00EC72AC">
        <w:rPr>
          <w:rFonts w:asciiTheme="minorHAnsi" w:hAnsiTheme="minorHAnsi"/>
        </w:rPr>
        <w:lastRenderedPageBreak/>
        <w:t>Section 2</w:t>
      </w:r>
      <w:r w:rsidR="0075292C" w:rsidRPr="00EC72AC">
        <w:rPr>
          <w:rFonts w:asciiTheme="minorHAnsi" w:hAnsiTheme="minorHAnsi"/>
        </w:rPr>
        <w:t xml:space="preserve">: </w:t>
      </w:r>
      <w:r w:rsidR="008474BA" w:rsidRPr="00EC72AC">
        <w:rPr>
          <w:rFonts w:asciiTheme="minorHAnsi" w:hAnsiTheme="minorHAnsi"/>
        </w:rPr>
        <w:t>Methodology</w:t>
      </w:r>
      <w:bookmarkEnd w:id="2"/>
    </w:p>
    <w:p w:rsidR="00935E86" w:rsidRDefault="00935E86" w:rsidP="00935E86">
      <w:pPr>
        <w:pStyle w:val="BodyText"/>
        <w:rPr>
          <w:rFonts w:asciiTheme="minorHAnsi" w:hAnsiTheme="minorHAnsi"/>
          <w:szCs w:val="22"/>
        </w:rPr>
      </w:pPr>
      <w:r>
        <w:rPr>
          <w:rFonts w:asciiTheme="minorHAnsi" w:hAnsiTheme="minorHAnsi"/>
          <w:szCs w:val="22"/>
        </w:rPr>
        <w:t xml:space="preserve">The </w:t>
      </w:r>
      <w:r w:rsidRPr="00D751DF">
        <w:rPr>
          <w:rFonts w:asciiTheme="minorHAnsi" w:hAnsiTheme="minorHAnsi"/>
          <w:szCs w:val="22"/>
        </w:rPr>
        <w:t>DOE</w:t>
      </w:r>
      <w:r>
        <w:rPr>
          <w:rFonts w:asciiTheme="minorHAnsi" w:hAnsiTheme="minorHAnsi"/>
          <w:szCs w:val="22"/>
        </w:rPr>
        <w:t xml:space="preserve"> and NNSA</w:t>
      </w:r>
      <w:r w:rsidRPr="00D751DF">
        <w:rPr>
          <w:rFonts w:asciiTheme="minorHAnsi" w:hAnsiTheme="minorHAnsi"/>
          <w:szCs w:val="22"/>
        </w:rPr>
        <w:t xml:space="preserve"> approach </w:t>
      </w:r>
      <w:r>
        <w:rPr>
          <w:rFonts w:asciiTheme="minorHAnsi" w:hAnsiTheme="minorHAnsi"/>
          <w:szCs w:val="22"/>
        </w:rPr>
        <w:t xml:space="preserve">was </w:t>
      </w:r>
      <w:r w:rsidRPr="00D751DF">
        <w:rPr>
          <w:rFonts w:asciiTheme="minorHAnsi" w:hAnsiTheme="minorHAnsi"/>
          <w:szCs w:val="22"/>
        </w:rPr>
        <w:t>performed in accordance with the criteria set out in Consolidated Appropriations Act, 2010, (Pub. L. No. 111-117, § 743 (2009)) and Appendix D of the November 5, 2010 O</w:t>
      </w:r>
      <w:r>
        <w:rPr>
          <w:rFonts w:asciiTheme="minorHAnsi" w:hAnsiTheme="minorHAnsi"/>
          <w:szCs w:val="22"/>
        </w:rPr>
        <w:t>ffice of Management and Budget (OMB)</w:t>
      </w:r>
      <w:r w:rsidRPr="00D751DF">
        <w:rPr>
          <w:rFonts w:asciiTheme="minorHAnsi" w:hAnsiTheme="minorHAnsi"/>
          <w:szCs w:val="22"/>
        </w:rPr>
        <w:t xml:space="preserve"> Memorandum on Service Contract Inventories, and will ultimately identify contracts for a more in-depth review.</w:t>
      </w:r>
    </w:p>
    <w:p w:rsidR="00935E86" w:rsidRDefault="00935E86" w:rsidP="00935E86">
      <w:pPr>
        <w:pStyle w:val="BodyText"/>
        <w:rPr>
          <w:rFonts w:asciiTheme="minorHAnsi" w:hAnsiTheme="minorHAnsi"/>
          <w:szCs w:val="22"/>
        </w:rPr>
      </w:pPr>
      <w:r>
        <w:rPr>
          <w:rFonts w:asciiTheme="minorHAnsi" w:hAnsiTheme="minorHAnsi"/>
          <w:szCs w:val="22"/>
        </w:rPr>
        <w:t>The DOE Office of Acquisition and Project Management (</w:t>
      </w:r>
      <w:r w:rsidRPr="00D751DF">
        <w:rPr>
          <w:rFonts w:asciiTheme="minorHAnsi" w:hAnsiTheme="minorHAnsi"/>
          <w:szCs w:val="22"/>
        </w:rPr>
        <w:t>APM</w:t>
      </w:r>
      <w:r>
        <w:rPr>
          <w:rFonts w:asciiTheme="minorHAnsi" w:hAnsiTheme="minorHAnsi"/>
          <w:szCs w:val="22"/>
        </w:rPr>
        <w:t>)</w:t>
      </w:r>
      <w:r w:rsidRPr="00D751DF">
        <w:rPr>
          <w:rFonts w:asciiTheme="minorHAnsi" w:hAnsiTheme="minorHAnsi"/>
          <w:szCs w:val="22"/>
        </w:rPr>
        <w:t xml:space="preserve"> </w:t>
      </w:r>
      <w:r>
        <w:rPr>
          <w:rFonts w:asciiTheme="minorHAnsi" w:hAnsiTheme="minorHAnsi"/>
          <w:szCs w:val="22"/>
        </w:rPr>
        <w:t xml:space="preserve">and NNSA Acquisition Management (AM) </w:t>
      </w:r>
      <w:r w:rsidRPr="00D751DF">
        <w:rPr>
          <w:rFonts w:asciiTheme="minorHAnsi" w:hAnsiTheme="minorHAnsi"/>
          <w:szCs w:val="22"/>
        </w:rPr>
        <w:t>develop</w:t>
      </w:r>
      <w:r>
        <w:rPr>
          <w:rFonts w:asciiTheme="minorHAnsi" w:hAnsiTheme="minorHAnsi"/>
          <w:szCs w:val="22"/>
        </w:rPr>
        <w:t>ed</w:t>
      </w:r>
      <w:r w:rsidRPr="00D751DF">
        <w:rPr>
          <w:rFonts w:asciiTheme="minorHAnsi" w:hAnsiTheme="minorHAnsi"/>
          <w:szCs w:val="22"/>
        </w:rPr>
        <w:t xml:space="preserve"> the basic inventory in accordance with OMB guidance </w:t>
      </w:r>
      <w:r>
        <w:rPr>
          <w:rFonts w:asciiTheme="minorHAnsi" w:hAnsiTheme="minorHAnsi"/>
          <w:szCs w:val="22"/>
        </w:rPr>
        <w:t>with the help of the Heads of Contracting Activities (HCA)</w:t>
      </w:r>
      <w:r w:rsidRPr="00D751DF">
        <w:rPr>
          <w:rFonts w:asciiTheme="minorHAnsi" w:hAnsiTheme="minorHAnsi"/>
          <w:szCs w:val="22"/>
        </w:rPr>
        <w:t xml:space="preserve">. </w:t>
      </w:r>
      <w:r>
        <w:rPr>
          <w:rFonts w:asciiTheme="minorHAnsi" w:hAnsiTheme="minorHAnsi"/>
          <w:szCs w:val="22"/>
        </w:rPr>
        <w:t xml:space="preserve"> A list of </w:t>
      </w:r>
      <w:r w:rsidRPr="00D751DF">
        <w:rPr>
          <w:rFonts w:asciiTheme="minorHAnsi" w:hAnsiTheme="minorHAnsi"/>
          <w:szCs w:val="22"/>
        </w:rPr>
        <w:t xml:space="preserve">special interest functions </w:t>
      </w:r>
      <w:r>
        <w:rPr>
          <w:rFonts w:asciiTheme="minorHAnsi" w:hAnsiTheme="minorHAnsi"/>
          <w:szCs w:val="22"/>
        </w:rPr>
        <w:t xml:space="preserve">by Product Service Code (PSC) for contracts to be reviewed </w:t>
      </w:r>
      <w:r w:rsidRPr="00D751DF">
        <w:rPr>
          <w:rFonts w:asciiTheme="minorHAnsi" w:hAnsiTheme="minorHAnsi"/>
          <w:szCs w:val="22"/>
        </w:rPr>
        <w:t>in response to the criteria required by Section 743</w:t>
      </w:r>
      <w:r>
        <w:rPr>
          <w:rFonts w:asciiTheme="minorHAnsi" w:hAnsiTheme="minorHAnsi"/>
          <w:szCs w:val="22"/>
        </w:rPr>
        <w:t xml:space="preserve"> was provided in guidance to the HCAs.  </w:t>
      </w:r>
    </w:p>
    <w:p w:rsidR="00935E86" w:rsidRPr="00D751DF" w:rsidRDefault="00935E86" w:rsidP="00935E86">
      <w:pPr>
        <w:pStyle w:val="BodyText"/>
        <w:rPr>
          <w:rFonts w:asciiTheme="minorHAnsi" w:hAnsiTheme="minorHAnsi"/>
          <w:szCs w:val="22"/>
        </w:rPr>
      </w:pPr>
      <w:r w:rsidRPr="00D751DF">
        <w:rPr>
          <w:rFonts w:asciiTheme="minorHAnsi" w:hAnsiTheme="minorHAnsi"/>
          <w:szCs w:val="22"/>
        </w:rPr>
        <w:t>DOE</w:t>
      </w:r>
      <w:r>
        <w:rPr>
          <w:rFonts w:asciiTheme="minorHAnsi" w:hAnsiTheme="minorHAnsi"/>
          <w:szCs w:val="22"/>
        </w:rPr>
        <w:t xml:space="preserve"> and NNSA</w:t>
      </w:r>
      <w:r w:rsidRPr="00D751DF">
        <w:rPr>
          <w:rFonts w:asciiTheme="minorHAnsi" w:hAnsiTheme="minorHAnsi"/>
          <w:szCs w:val="22"/>
        </w:rPr>
        <w:t xml:space="preserve"> </w:t>
      </w:r>
      <w:r>
        <w:rPr>
          <w:rFonts w:asciiTheme="minorHAnsi" w:hAnsiTheme="minorHAnsi"/>
          <w:szCs w:val="22"/>
        </w:rPr>
        <w:t xml:space="preserve">took </w:t>
      </w:r>
      <w:r w:rsidRPr="00D751DF">
        <w:rPr>
          <w:rFonts w:asciiTheme="minorHAnsi" w:hAnsiTheme="minorHAnsi"/>
          <w:szCs w:val="22"/>
        </w:rPr>
        <w:t>the following steps in the process of its analysis:</w:t>
      </w:r>
    </w:p>
    <w:p w:rsidR="00935E86" w:rsidRPr="00D751DF" w:rsidRDefault="00935E86" w:rsidP="00935E86">
      <w:pPr>
        <w:pStyle w:val="BodyText"/>
        <w:numPr>
          <w:ilvl w:val="0"/>
          <w:numId w:val="8"/>
        </w:numPr>
        <w:spacing w:before="120" w:after="120" w:line="240" w:lineRule="auto"/>
        <w:rPr>
          <w:rFonts w:asciiTheme="minorHAnsi" w:hAnsiTheme="minorHAnsi"/>
          <w:szCs w:val="22"/>
        </w:rPr>
      </w:pPr>
      <w:r w:rsidRPr="00D751DF">
        <w:rPr>
          <w:rFonts w:asciiTheme="minorHAnsi" w:hAnsiTheme="minorHAnsi"/>
          <w:szCs w:val="22"/>
        </w:rPr>
        <w:t xml:space="preserve">Step 1:  </w:t>
      </w:r>
      <w:r>
        <w:rPr>
          <w:rFonts w:asciiTheme="minorHAnsi" w:hAnsiTheme="minorHAnsi"/>
          <w:szCs w:val="22"/>
        </w:rPr>
        <w:t>The Department i</w:t>
      </w:r>
      <w:r w:rsidRPr="00D751DF">
        <w:rPr>
          <w:rFonts w:asciiTheme="minorHAnsi" w:hAnsiTheme="minorHAnsi"/>
          <w:szCs w:val="22"/>
        </w:rPr>
        <w:t>dentif</w:t>
      </w:r>
      <w:r>
        <w:rPr>
          <w:rFonts w:asciiTheme="minorHAnsi" w:hAnsiTheme="minorHAnsi"/>
          <w:szCs w:val="22"/>
        </w:rPr>
        <w:t xml:space="preserve">ied the list of </w:t>
      </w:r>
      <w:r w:rsidRPr="00D751DF">
        <w:rPr>
          <w:rFonts w:asciiTheme="minorHAnsi" w:hAnsiTheme="minorHAnsi"/>
          <w:szCs w:val="22"/>
        </w:rPr>
        <w:t xml:space="preserve">special interest functions </w:t>
      </w:r>
      <w:r>
        <w:rPr>
          <w:rFonts w:asciiTheme="minorHAnsi" w:hAnsiTheme="minorHAnsi"/>
          <w:szCs w:val="22"/>
        </w:rPr>
        <w:t>by PSC for contracts to be reviewed</w:t>
      </w:r>
      <w:r w:rsidRPr="00D751DF">
        <w:rPr>
          <w:rFonts w:asciiTheme="minorHAnsi" w:hAnsiTheme="minorHAnsi"/>
          <w:szCs w:val="22"/>
        </w:rPr>
        <w:t>.</w:t>
      </w:r>
    </w:p>
    <w:p w:rsidR="00935E86" w:rsidRPr="00A950E4" w:rsidRDefault="00935E86" w:rsidP="00935E86">
      <w:pPr>
        <w:pStyle w:val="BodyText"/>
        <w:numPr>
          <w:ilvl w:val="0"/>
          <w:numId w:val="9"/>
        </w:numPr>
        <w:spacing w:before="120" w:after="120" w:line="240" w:lineRule="auto"/>
        <w:rPr>
          <w:rFonts w:asciiTheme="minorHAnsi" w:hAnsiTheme="minorHAnsi"/>
          <w:szCs w:val="22"/>
        </w:rPr>
      </w:pPr>
      <w:r w:rsidRPr="00A950E4">
        <w:rPr>
          <w:rFonts w:asciiTheme="minorHAnsi" w:hAnsiTheme="minorHAnsi"/>
          <w:szCs w:val="22"/>
        </w:rPr>
        <w:t xml:space="preserve">Step 2:  </w:t>
      </w:r>
      <w:r>
        <w:rPr>
          <w:rFonts w:asciiTheme="minorHAnsi" w:hAnsiTheme="minorHAnsi"/>
          <w:szCs w:val="22"/>
        </w:rPr>
        <w:t xml:space="preserve">HCAs </w:t>
      </w:r>
      <w:r w:rsidRPr="00A950E4">
        <w:rPr>
          <w:rFonts w:asciiTheme="minorHAnsi" w:hAnsiTheme="minorHAnsi"/>
          <w:szCs w:val="22"/>
        </w:rPr>
        <w:t>identif</w:t>
      </w:r>
      <w:r>
        <w:rPr>
          <w:rFonts w:asciiTheme="minorHAnsi" w:hAnsiTheme="minorHAnsi"/>
          <w:szCs w:val="22"/>
        </w:rPr>
        <w:t>ied</w:t>
      </w:r>
      <w:r w:rsidRPr="00A950E4">
        <w:rPr>
          <w:rFonts w:asciiTheme="minorHAnsi" w:hAnsiTheme="minorHAnsi"/>
          <w:szCs w:val="22"/>
        </w:rPr>
        <w:t xml:space="preserve"> contracts </w:t>
      </w:r>
      <w:r>
        <w:rPr>
          <w:rFonts w:asciiTheme="minorHAnsi" w:hAnsiTheme="minorHAnsi"/>
          <w:szCs w:val="22"/>
        </w:rPr>
        <w:t xml:space="preserve">with the specified SIFs PSCs </w:t>
      </w:r>
      <w:r w:rsidRPr="00A950E4">
        <w:rPr>
          <w:rFonts w:asciiTheme="minorHAnsi" w:hAnsiTheme="minorHAnsi"/>
          <w:szCs w:val="22"/>
        </w:rPr>
        <w:t xml:space="preserve">for in-depth review based on following criteria:  </w:t>
      </w:r>
    </w:p>
    <w:p w:rsidR="00935E86" w:rsidRPr="00D751DF" w:rsidRDefault="00935E86" w:rsidP="00935E86">
      <w:pPr>
        <w:pStyle w:val="BodyText"/>
        <w:numPr>
          <w:ilvl w:val="1"/>
          <w:numId w:val="9"/>
        </w:numPr>
        <w:spacing w:before="120" w:after="120" w:line="240" w:lineRule="auto"/>
        <w:rPr>
          <w:rFonts w:asciiTheme="minorHAnsi" w:hAnsiTheme="minorHAnsi"/>
          <w:szCs w:val="22"/>
        </w:rPr>
      </w:pPr>
      <w:r w:rsidRPr="00D751DF">
        <w:rPr>
          <w:rFonts w:asciiTheme="minorHAnsi" w:hAnsiTheme="minorHAnsi"/>
          <w:szCs w:val="22"/>
        </w:rPr>
        <w:t xml:space="preserve">Based on the 10 criteria identified within the Consolidated Appropriations Act, </w:t>
      </w:r>
      <w:r>
        <w:rPr>
          <w:rFonts w:asciiTheme="minorHAnsi" w:hAnsiTheme="minorHAnsi"/>
          <w:szCs w:val="22"/>
        </w:rPr>
        <w:t xml:space="preserve">HCAs </w:t>
      </w:r>
      <w:r w:rsidRPr="00D751DF">
        <w:rPr>
          <w:rFonts w:asciiTheme="minorHAnsi" w:hAnsiTheme="minorHAnsi"/>
          <w:szCs w:val="22"/>
        </w:rPr>
        <w:t>prioritize</w:t>
      </w:r>
      <w:r w:rsidR="00CC2C73">
        <w:rPr>
          <w:rFonts w:asciiTheme="minorHAnsi" w:hAnsiTheme="minorHAnsi"/>
          <w:szCs w:val="22"/>
        </w:rPr>
        <w:t>d</w:t>
      </w:r>
      <w:r w:rsidRPr="00D751DF">
        <w:rPr>
          <w:rFonts w:asciiTheme="minorHAnsi" w:hAnsiTheme="minorHAnsi"/>
          <w:szCs w:val="22"/>
        </w:rPr>
        <w:t xml:space="preserve"> </w:t>
      </w:r>
      <w:r w:rsidR="00F01849">
        <w:rPr>
          <w:rFonts w:asciiTheme="minorHAnsi" w:hAnsiTheme="minorHAnsi"/>
          <w:szCs w:val="22"/>
        </w:rPr>
        <w:t>their</w:t>
      </w:r>
      <w:r w:rsidRPr="00D751DF">
        <w:rPr>
          <w:rFonts w:asciiTheme="minorHAnsi" w:hAnsiTheme="minorHAnsi"/>
          <w:szCs w:val="22"/>
        </w:rPr>
        <w:t xml:space="preserve"> selection of contracts for further review in the following order:</w:t>
      </w:r>
    </w:p>
    <w:p w:rsidR="00935E86" w:rsidRPr="00D751DF" w:rsidRDefault="00935E86" w:rsidP="00935E86">
      <w:pPr>
        <w:pStyle w:val="BodyText"/>
        <w:numPr>
          <w:ilvl w:val="2"/>
          <w:numId w:val="9"/>
        </w:numPr>
        <w:spacing w:before="120" w:after="120" w:line="240" w:lineRule="auto"/>
        <w:rPr>
          <w:rFonts w:asciiTheme="minorHAnsi" w:hAnsiTheme="minorHAnsi"/>
          <w:szCs w:val="22"/>
        </w:rPr>
      </w:pPr>
      <w:r w:rsidRPr="00D751DF">
        <w:rPr>
          <w:rFonts w:asciiTheme="minorHAnsi" w:hAnsiTheme="minorHAnsi"/>
          <w:szCs w:val="22"/>
        </w:rPr>
        <w:t>Tier 1:  Potential for I</w:t>
      </w:r>
      <w:r>
        <w:rPr>
          <w:rFonts w:asciiTheme="minorHAnsi" w:hAnsiTheme="minorHAnsi"/>
          <w:szCs w:val="22"/>
        </w:rPr>
        <w:t xml:space="preserve">nherently </w:t>
      </w:r>
      <w:r w:rsidRPr="00D751DF">
        <w:rPr>
          <w:rFonts w:asciiTheme="minorHAnsi" w:hAnsiTheme="minorHAnsi"/>
          <w:szCs w:val="22"/>
        </w:rPr>
        <w:t>G</w:t>
      </w:r>
      <w:r>
        <w:rPr>
          <w:rFonts w:asciiTheme="minorHAnsi" w:hAnsiTheme="minorHAnsi"/>
          <w:szCs w:val="22"/>
        </w:rPr>
        <w:t>overnmental (IG)</w:t>
      </w:r>
      <w:r w:rsidRPr="00D751DF">
        <w:rPr>
          <w:rFonts w:asciiTheme="minorHAnsi" w:hAnsiTheme="minorHAnsi"/>
          <w:szCs w:val="22"/>
        </w:rPr>
        <w:t xml:space="preserve"> performance by contractors;</w:t>
      </w:r>
    </w:p>
    <w:p w:rsidR="00935E86" w:rsidRPr="00D751DF" w:rsidRDefault="00935E86" w:rsidP="00935E86">
      <w:pPr>
        <w:pStyle w:val="BodyText"/>
        <w:numPr>
          <w:ilvl w:val="2"/>
          <w:numId w:val="9"/>
        </w:numPr>
        <w:spacing w:before="120" w:after="120" w:line="240" w:lineRule="auto"/>
        <w:rPr>
          <w:rFonts w:asciiTheme="minorHAnsi" w:hAnsiTheme="minorHAnsi"/>
          <w:szCs w:val="22"/>
        </w:rPr>
      </w:pPr>
      <w:r w:rsidRPr="00D751DF">
        <w:rPr>
          <w:rFonts w:asciiTheme="minorHAnsi" w:hAnsiTheme="minorHAnsi"/>
          <w:szCs w:val="22"/>
        </w:rPr>
        <w:t>Tier 2:  Contracts providing services classified as special interest functions;</w:t>
      </w:r>
    </w:p>
    <w:p w:rsidR="00935E86" w:rsidRPr="00D751DF" w:rsidRDefault="00935E86" w:rsidP="00935E86">
      <w:pPr>
        <w:pStyle w:val="BodyText"/>
        <w:numPr>
          <w:ilvl w:val="2"/>
          <w:numId w:val="9"/>
        </w:numPr>
        <w:spacing w:before="120" w:after="120" w:line="240" w:lineRule="auto"/>
        <w:rPr>
          <w:rFonts w:asciiTheme="minorHAnsi" w:hAnsiTheme="minorHAnsi"/>
          <w:szCs w:val="22"/>
        </w:rPr>
      </w:pPr>
      <w:r w:rsidRPr="00D751DF">
        <w:rPr>
          <w:rFonts w:asciiTheme="minorHAnsi" w:hAnsiTheme="minorHAnsi"/>
          <w:szCs w:val="22"/>
        </w:rPr>
        <w:t xml:space="preserve">Tier 3:  Contracts that do </w:t>
      </w:r>
      <w:r w:rsidRPr="00D751DF">
        <w:rPr>
          <w:rFonts w:asciiTheme="minorHAnsi" w:hAnsiTheme="minorHAnsi"/>
          <w:i/>
          <w:szCs w:val="22"/>
        </w:rPr>
        <w:t>not</w:t>
      </w:r>
      <w:r w:rsidRPr="00D751DF">
        <w:rPr>
          <w:rFonts w:asciiTheme="minorHAnsi" w:hAnsiTheme="minorHAnsi"/>
          <w:szCs w:val="22"/>
        </w:rPr>
        <w:t xml:space="preserve"> include special interest functions, but were awarded on a non-competitive basis; and</w:t>
      </w:r>
    </w:p>
    <w:p w:rsidR="00935E86" w:rsidRPr="00D751DF" w:rsidRDefault="00935E86" w:rsidP="00935E86">
      <w:pPr>
        <w:pStyle w:val="BodyText"/>
        <w:numPr>
          <w:ilvl w:val="2"/>
          <w:numId w:val="9"/>
        </w:numPr>
        <w:spacing w:before="120" w:after="120" w:line="240" w:lineRule="auto"/>
        <w:rPr>
          <w:rFonts w:asciiTheme="minorHAnsi" w:hAnsiTheme="minorHAnsi"/>
          <w:szCs w:val="22"/>
        </w:rPr>
      </w:pPr>
      <w:r w:rsidRPr="00D751DF">
        <w:rPr>
          <w:rFonts w:asciiTheme="minorHAnsi" w:hAnsiTheme="minorHAnsi"/>
          <w:szCs w:val="22"/>
        </w:rPr>
        <w:t xml:space="preserve">Tier 4:  Contracts that do </w:t>
      </w:r>
      <w:r w:rsidRPr="00D751DF">
        <w:rPr>
          <w:rFonts w:asciiTheme="minorHAnsi" w:hAnsiTheme="minorHAnsi"/>
          <w:i/>
          <w:szCs w:val="22"/>
        </w:rPr>
        <w:t>not</w:t>
      </w:r>
      <w:r w:rsidRPr="00D751DF">
        <w:rPr>
          <w:rFonts w:asciiTheme="minorHAnsi" w:hAnsiTheme="minorHAnsi"/>
          <w:szCs w:val="22"/>
        </w:rPr>
        <w:t xml:space="preserve"> include special interest functions, but meet any one of the remaining designated criteria.</w:t>
      </w:r>
    </w:p>
    <w:p w:rsidR="00935E86" w:rsidRPr="00D751DF" w:rsidRDefault="00935E86" w:rsidP="00935E86">
      <w:pPr>
        <w:pStyle w:val="BodyText"/>
        <w:numPr>
          <w:ilvl w:val="0"/>
          <w:numId w:val="9"/>
        </w:numPr>
        <w:spacing w:before="120" w:after="120" w:line="240" w:lineRule="auto"/>
        <w:rPr>
          <w:rFonts w:asciiTheme="minorHAnsi" w:hAnsiTheme="minorHAnsi"/>
          <w:szCs w:val="22"/>
        </w:rPr>
      </w:pPr>
      <w:r w:rsidRPr="00D751DF">
        <w:rPr>
          <w:rFonts w:asciiTheme="minorHAnsi" w:hAnsiTheme="minorHAnsi"/>
          <w:szCs w:val="22"/>
        </w:rPr>
        <w:t xml:space="preserve">Step </w:t>
      </w:r>
      <w:r>
        <w:rPr>
          <w:rFonts w:asciiTheme="minorHAnsi" w:hAnsiTheme="minorHAnsi"/>
          <w:szCs w:val="22"/>
        </w:rPr>
        <w:t>3</w:t>
      </w:r>
      <w:r w:rsidRPr="00D751DF">
        <w:rPr>
          <w:rFonts w:asciiTheme="minorHAnsi" w:hAnsiTheme="minorHAnsi"/>
          <w:szCs w:val="22"/>
        </w:rPr>
        <w:t xml:space="preserve">:  </w:t>
      </w:r>
      <w:r>
        <w:rPr>
          <w:rFonts w:asciiTheme="minorHAnsi" w:hAnsiTheme="minorHAnsi"/>
          <w:szCs w:val="22"/>
        </w:rPr>
        <w:t xml:space="preserve">HCAs </w:t>
      </w:r>
      <w:r w:rsidRPr="00D751DF">
        <w:rPr>
          <w:rFonts w:asciiTheme="minorHAnsi" w:hAnsiTheme="minorHAnsi"/>
          <w:szCs w:val="22"/>
        </w:rPr>
        <w:t>evaluate</w:t>
      </w:r>
      <w:r w:rsidR="00CC2C73">
        <w:rPr>
          <w:rFonts w:asciiTheme="minorHAnsi" w:hAnsiTheme="minorHAnsi"/>
          <w:szCs w:val="22"/>
        </w:rPr>
        <w:t>d</w:t>
      </w:r>
      <w:r w:rsidRPr="00D751DF">
        <w:rPr>
          <w:rFonts w:asciiTheme="minorHAnsi" w:hAnsiTheme="minorHAnsi"/>
          <w:szCs w:val="22"/>
        </w:rPr>
        <w:t xml:space="preserve"> contracts in accordance with policy and guidance.</w:t>
      </w:r>
    </w:p>
    <w:p w:rsidR="00935E86" w:rsidRPr="00D751DF" w:rsidRDefault="00935E86" w:rsidP="00935E86">
      <w:pPr>
        <w:pStyle w:val="BodyText"/>
        <w:numPr>
          <w:ilvl w:val="0"/>
          <w:numId w:val="9"/>
        </w:numPr>
        <w:spacing w:before="120" w:after="120" w:line="240" w:lineRule="auto"/>
        <w:rPr>
          <w:rFonts w:asciiTheme="minorHAnsi" w:hAnsiTheme="minorHAnsi"/>
          <w:szCs w:val="22"/>
        </w:rPr>
      </w:pPr>
      <w:r>
        <w:rPr>
          <w:rFonts w:asciiTheme="minorHAnsi" w:hAnsiTheme="minorHAnsi"/>
          <w:szCs w:val="22"/>
        </w:rPr>
        <w:t>Step 4</w:t>
      </w:r>
      <w:r w:rsidRPr="00D751DF">
        <w:rPr>
          <w:rFonts w:asciiTheme="minorHAnsi" w:hAnsiTheme="minorHAnsi"/>
          <w:szCs w:val="22"/>
        </w:rPr>
        <w:t xml:space="preserve">:  </w:t>
      </w:r>
      <w:r>
        <w:rPr>
          <w:rFonts w:asciiTheme="minorHAnsi" w:hAnsiTheme="minorHAnsi"/>
          <w:szCs w:val="22"/>
        </w:rPr>
        <w:t xml:space="preserve">HCAs </w:t>
      </w:r>
      <w:r w:rsidRPr="00D751DF">
        <w:rPr>
          <w:rFonts w:asciiTheme="minorHAnsi" w:hAnsiTheme="minorHAnsi"/>
          <w:szCs w:val="22"/>
        </w:rPr>
        <w:t>report</w:t>
      </w:r>
      <w:r w:rsidR="00CC2C73">
        <w:rPr>
          <w:rFonts w:asciiTheme="minorHAnsi" w:hAnsiTheme="minorHAnsi"/>
          <w:szCs w:val="22"/>
        </w:rPr>
        <w:t>ed</w:t>
      </w:r>
      <w:r w:rsidRPr="00D751DF">
        <w:rPr>
          <w:rFonts w:asciiTheme="minorHAnsi" w:hAnsiTheme="minorHAnsi"/>
          <w:szCs w:val="22"/>
        </w:rPr>
        <w:t xml:space="preserve"> </w:t>
      </w:r>
      <w:r w:rsidR="00CC2C73">
        <w:rPr>
          <w:rFonts w:asciiTheme="minorHAnsi" w:hAnsiTheme="minorHAnsi"/>
          <w:szCs w:val="22"/>
        </w:rPr>
        <w:t xml:space="preserve">the </w:t>
      </w:r>
      <w:r w:rsidRPr="00D751DF">
        <w:rPr>
          <w:rFonts w:asciiTheme="minorHAnsi" w:hAnsiTheme="minorHAnsi"/>
          <w:szCs w:val="22"/>
        </w:rPr>
        <w:t xml:space="preserve">results of evaluation to </w:t>
      </w:r>
      <w:r>
        <w:rPr>
          <w:rFonts w:asciiTheme="minorHAnsi" w:hAnsiTheme="minorHAnsi"/>
          <w:szCs w:val="22"/>
        </w:rPr>
        <w:t xml:space="preserve">NNSA AM and DOE </w:t>
      </w:r>
      <w:r w:rsidRPr="00D751DF">
        <w:rPr>
          <w:rFonts w:asciiTheme="minorHAnsi" w:hAnsiTheme="minorHAnsi"/>
          <w:szCs w:val="22"/>
        </w:rPr>
        <w:t>APM for consolidation.</w:t>
      </w:r>
    </w:p>
    <w:p w:rsidR="00935E86" w:rsidRDefault="00935E86" w:rsidP="00935E86">
      <w:pPr>
        <w:pStyle w:val="BodyText"/>
        <w:numPr>
          <w:ilvl w:val="0"/>
          <w:numId w:val="9"/>
        </w:numPr>
        <w:spacing w:before="120" w:after="120" w:line="240" w:lineRule="auto"/>
        <w:rPr>
          <w:rFonts w:asciiTheme="minorHAnsi" w:hAnsiTheme="minorHAnsi"/>
          <w:szCs w:val="22"/>
        </w:rPr>
      </w:pPr>
      <w:r w:rsidRPr="00D751DF">
        <w:rPr>
          <w:rFonts w:asciiTheme="minorHAnsi" w:hAnsiTheme="minorHAnsi"/>
          <w:szCs w:val="22"/>
        </w:rPr>
        <w:t xml:space="preserve">Step </w:t>
      </w:r>
      <w:r>
        <w:rPr>
          <w:rFonts w:asciiTheme="minorHAnsi" w:hAnsiTheme="minorHAnsi"/>
          <w:szCs w:val="22"/>
        </w:rPr>
        <w:t>5</w:t>
      </w:r>
      <w:r w:rsidRPr="00D751DF">
        <w:rPr>
          <w:rFonts w:asciiTheme="minorHAnsi" w:hAnsiTheme="minorHAnsi"/>
          <w:szCs w:val="22"/>
        </w:rPr>
        <w:t xml:space="preserve">:  </w:t>
      </w:r>
      <w:r>
        <w:rPr>
          <w:rFonts w:asciiTheme="minorHAnsi" w:hAnsiTheme="minorHAnsi"/>
          <w:szCs w:val="22"/>
        </w:rPr>
        <w:t>NNSA AM consolidate</w:t>
      </w:r>
      <w:r w:rsidR="00CC2C73">
        <w:rPr>
          <w:rFonts w:asciiTheme="minorHAnsi" w:hAnsiTheme="minorHAnsi"/>
          <w:szCs w:val="22"/>
        </w:rPr>
        <w:t>d</w:t>
      </w:r>
      <w:r>
        <w:rPr>
          <w:rFonts w:asciiTheme="minorHAnsi" w:hAnsiTheme="minorHAnsi"/>
          <w:szCs w:val="22"/>
        </w:rPr>
        <w:t xml:space="preserve"> input from </w:t>
      </w:r>
      <w:r w:rsidR="00CC2C73">
        <w:rPr>
          <w:rFonts w:asciiTheme="minorHAnsi" w:hAnsiTheme="minorHAnsi"/>
          <w:szCs w:val="22"/>
        </w:rPr>
        <w:t xml:space="preserve">the NNSA </w:t>
      </w:r>
      <w:r>
        <w:rPr>
          <w:rFonts w:asciiTheme="minorHAnsi" w:hAnsiTheme="minorHAnsi"/>
          <w:szCs w:val="22"/>
        </w:rPr>
        <w:t>HCAs and report</w:t>
      </w:r>
      <w:r w:rsidR="00CC2C73">
        <w:rPr>
          <w:rFonts w:asciiTheme="minorHAnsi" w:hAnsiTheme="minorHAnsi"/>
          <w:szCs w:val="22"/>
        </w:rPr>
        <w:t xml:space="preserve">ed the </w:t>
      </w:r>
      <w:r>
        <w:rPr>
          <w:rFonts w:asciiTheme="minorHAnsi" w:hAnsiTheme="minorHAnsi"/>
          <w:szCs w:val="22"/>
        </w:rPr>
        <w:t>results of evaluations to DOE APM for agency consolidation.</w:t>
      </w:r>
    </w:p>
    <w:p w:rsidR="00935E86" w:rsidRPr="00D751DF" w:rsidRDefault="00935E86" w:rsidP="00935E86">
      <w:pPr>
        <w:pStyle w:val="BodyText"/>
        <w:numPr>
          <w:ilvl w:val="0"/>
          <w:numId w:val="9"/>
        </w:numPr>
        <w:spacing w:before="120" w:after="120" w:line="240" w:lineRule="auto"/>
        <w:rPr>
          <w:rFonts w:asciiTheme="minorHAnsi" w:hAnsiTheme="minorHAnsi"/>
          <w:szCs w:val="22"/>
        </w:rPr>
      </w:pPr>
      <w:r>
        <w:rPr>
          <w:rFonts w:asciiTheme="minorHAnsi" w:hAnsiTheme="minorHAnsi"/>
          <w:szCs w:val="22"/>
        </w:rPr>
        <w:t xml:space="preserve">Step 6:  </w:t>
      </w:r>
      <w:r w:rsidR="00CC2C73">
        <w:rPr>
          <w:rFonts w:asciiTheme="minorHAnsi" w:hAnsiTheme="minorHAnsi"/>
          <w:szCs w:val="22"/>
        </w:rPr>
        <w:t xml:space="preserve">APM </w:t>
      </w:r>
      <w:r w:rsidRPr="00D751DF">
        <w:rPr>
          <w:rFonts w:asciiTheme="minorHAnsi" w:hAnsiTheme="minorHAnsi"/>
          <w:szCs w:val="22"/>
        </w:rPr>
        <w:t xml:space="preserve">consolidated results of analysis </w:t>
      </w:r>
      <w:r w:rsidR="00CC2C73">
        <w:rPr>
          <w:rFonts w:asciiTheme="minorHAnsi" w:hAnsiTheme="minorHAnsi"/>
          <w:szCs w:val="22"/>
        </w:rPr>
        <w:t xml:space="preserve">for reporting </w:t>
      </w:r>
      <w:r w:rsidRPr="00D751DF">
        <w:rPr>
          <w:rFonts w:asciiTheme="minorHAnsi" w:hAnsiTheme="minorHAnsi"/>
          <w:szCs w:val="22"/>
        </w:rPr>
        <w:t xml:space="preserve">to </w:t>
      </w:r>
      <w:r>
        <w:rPr>
          <w:rFonts w:asciiTheme="minorHAnsi" w:hAnsiTheme="minorHAnsi"/>
          <w:szCs w:val="22"/>
        </w:rPr>
        <w:t>OMB</w:t>
      </w:r>
      <w:r w:rsidRPr="00D751DF">
        <w:rPr>
          <w:rFonts w:asciiTheme="minorHAnsi" w:hAnsiTheme="minorHAnsi"/>
          <w:szCs w:val="22"/>
        </w:rPr>
        <w:t>/O</w:t>
      </w:r>
      <w:r>
        <w:rPr>
          <w:rFonts w:asciiTheme="minorHAnsi" w:hAnsiTheme="minorHAnsi"/>
          <w:szCs w:val="22"/>
        </w:rPr>
        <w:t>ffice of Federal Procurement Policy (OFPP)</w:t>
      </w:r>
      <w:r w:rsidRPr="00D751DF">
        <w:rPr>
          <w:rFonts w:asciiTheme="minorHAnsi" w:hAnsiTheme="minorHAnsi"/>
          <w:szCs w:val="22"/>
        </w:rPr>
        <w:t xml:space="preserve">.  </w:t>
      </w:r>
    </w:p>
    <w:p w:rsidR="00935E86" w:rsidRPr="00DF63D3" w:rsidRDefault="00935E86" w:rsidP="00935E86">
      <w:pPr>
        <w:pStyle w:val="BodyText"/>
        <w:rPr>
          <w:rFonts w:asciiTheme="minorHAnsi" w:hAnsiTheme="minorHAnsi"/>
          <w:szCs w:val="22"/>
        </w:rPr>
      </w:pPr>
      <w:r w:rsidRPr="00DF63D3">
        <w:rPr>
          <w:rFonts w:asciiTheme="minorHAnsi" w:hAnsiTheme="minorHAnsi"/>
          <w:szCs w:val="22"/>
        </w:rPr>
        <w:t>OFPP has issued guidance documents addressing these requirements</w:t>
      </w:r>
      <w:r w:rsidR="00CC2C73">
        <w:rPr>
          <w:rFonts w:asciiTheme="minorHAnsi" w:hAnsiTheme="minorHAnsi"/>
          <w:szCs w:val="22"/>
        </w:rPr>
        <w:t xml:space="preserve">; </w:t>
      </w:r>
      <w:r w:rsidRPr="00DF63D3">
        <w:rPr>
          <w:rFonts w:asciiTheme="minorHAnsi" w:hAnsiTheme="minorHAnsi"/>
          <w:szCs w:val="22"/>
        </w:rPr>
        <w:t xml:space="preserve">Service Contract Inventories, Memoranda to Chief Acquisition Officers and Senior Procurement Executives, dated November 5, 2010 and December 19, 2011, available at </w:t>
      </w:r>
      <w:r>
        <w:rPr>
          <w:rFonts w:asciiTheme="minorHAnsi" w:hAnsiTheme="minorHAnsi"/>
          <w:szCs w:val="22"/>
        </w:rPr>
        <w:br w:type="textWrapping" w:clear="all"/>
      </w:r>
      <w:hyperlink r:id="rId14" w:history="1">
        <w:r w:rsidR="00CC2C73" w:rsidRPr="006C4D11">
          <w:rPr>
            <w:rStyle w:val="Hyperlink"/>
            <w:rFonts w:asciiTheme="minorHAnsi" w:hAnsiTheme="minorHAnsi"/>
            <w:szCs w:val="22"/>
          </w:rPr>
          <w:t>http://www.whitehouse.gov/omb/procurement-service-contract-inventories</w:t>
        </w:r>
      </w:hyperlink>
      <w:r w:rsidRPr="00DF63D3">
        <w:rPr>
          <w:rFonts w:asciiTheme="minorHAnsi" w:hAnsiTheme="minorHAnsi"/>
          <w:szCs w:val="22"/>
        </w:rPr>
        <w:t xml:space="preserve">.  </w:t>
      </w:r>
      <w:r w:rsidR="00CC2C73">
        <w:rPr>
          <w:rFonts w:asciiTheme="minorHAnsi" w:hAnsiTheme="minorHAnsi"/>
          <w:szCs w:val="22"/>
        </w:rPr>
        <w:t xml:space="preserve">Since </w:t>
      </w:r>
      <w:r w:rsidRPr="00DF63D3">
        <w:rPr>
          <w:rFonts w:asciiTheme="minorHAnsi" w:hAnsiTheme="minorHAnsi"/>
          <w:szCs w:val="22"/>
        </w:rPr>
        <w:t xml:space="preserve">OFPP has not issued new guidance for the current reporting cycle; DOE </w:t>
      </w:r>
      <w:r>
        <w:rPr>
          <w:rFonts w:asciiTheme="minorHAnsi" w:hAnsiTheme="minorHAnsi"/>
          <w:szCs w:val="22"/>
        </w:rPr>
        <w:t xml:space="preserve">and NNSA </w:t>
      </w:r>
      <w:r w:rsidRPr="00DF63D3">
        <w:rPr>
          <w:rFonts w:asciiTheme="minorHAnsi" w:hAnsiTheme="minorHAnsi"/>
          <w:szCs w:val="22"/>
        </w:rPr>
        <w:t>use</w:t>
      </w:r>
      <w:r w:rsidR="00CC2C73">
        <w:rPr>
          <w:rFonts w:asciiTheme="minorHAnsi" w:hAnsiTheme="minorHAnsi"/>
          <w:szCs w:val="22"/>
        </w:rPr>
        <w:t>d</w:t>
      </w:r>
      <w:r w:rsidRPr="00DF63D3">
        <w:rPr>
          <w:rFonts w:asciiTheme="minorHAnsi" w:hAnsiTheme="minorHAnsi"/>
          <w:szCs w:val="22"/>
        </w:rPr>
        <w:t xml:space="preserve"> the prior years’ guidance for </w:t>
      </w:r>
      <w:r w:rsidR="00F01849">
        <w:rPr>
          <w:rFonts w:asciiTheme="minorHAnsi" w:hAnsiTheme="minorHAnsi"/>
          <w:szCs w:val="22"/>
        </w:rPr>
        <w:t>their</w:t>
      </w:r>
      <w:r w:rsidRPr="00DF63D3">
        <w:rPr>
          <w:rFonts w:asciiTheme="minorHAnsi" w:hAnsiTheme="minorHAnsi"/>
          <w:szCs w:val="22"/>
        </w:rPr>
        <w:t xml:space="preserve"> FY 201</w:t>
      </w:r>
      <w:r w:rsidR="00776B5B">
        <w:rPr>
          <w:rFonts w:asciiTheme="minorHAnsi" w:hAnsiTheme="minorHAnsi"/>
          <w:szCs w:val="22"/>
        </w:rPr>
        <w:t>2</w:t>
      </w:r>
      <w:r w:rsidRPr="00DF63D3">
        <w:rPr>
          <w:rFonts w:asciiTheme="minorHAnsi" w:hAnsiTheme="minorHAnsi"/>
          <w:szCs w:val="22"/>
        </w:rPr>
        <w:t xml:space="preserve"> inventory analysis </w:t>
      </w:r>
      <w:r>
        <w:rPr>
          <w:rFonts w:asciiTheme="minorHAnsi" w:hAnsiTheme="minorHAnsi"/>
          <w:szCs w:val="22"/>
        </w:rPr>
        <w:t xml:space="preserve">and </w:t>
      </w:r>
      <w:r w:rsidRPr="00DF63D3">
        <w:rPr>
          <w:rFonts w:asciiTheme="minorHAnsi" w:hAnsiTheme="minorHAnsi"/>
          <w:szCs w:val="22"/>
        </w:rPr>
        <w:t xml:space="preserve">inventory.  </w:t>
      </w:r>
    </w:p>
    <w:p w:rsidR="00935E86" w:rsidRPr="00DF63D3" w:rsidRDefault="00CC2C73" w:rsidP="00935E86">
      <w:pPr>
        <w:spacing w:before="120" w:after="120"/>
        <w:rPr>
          <w:rFonts w:asciiTheme="minorHAnsi" w:hAnsiTheme="minorHAnsi"/>
          <w:szCs w:val="22"/>
        </w:rPr>
      </w:pPr>
      <w:r>
        <w:rPr>
          <w:rFonts w:asciiTheme="minorHAnsi" w:hAnsiTheme="minorHAnsi"/>
          <w:szCs w:val="22"/>
        </w:rPr>
        <w:lastRenderedPageBreak/>
        <w:t xml:space="preserve">The Department also made procurement activities </w:t>
      </w:r>
      <w:r w:rsidR="00935E86" w:rsidRPr="00DF63D3">
        <w:rPr>
          <w:rFonts w:asciiTheme="minorHAnsi" w:hAnsiTheme="minorHAnsi"/>
          <w:szCs w:val="22"/>
        </w:rPr>
        <w:t xml:space="preserve">aware of several recommendations that were made recently by the Government Accountability Office (GAO) in its report </w:t>
      </w:r>
      <w:r w:rsidR="00935E86" w:rsidRPr="00DF14A3">
        <w:rPr>
          <w:rFonts w:asciiTheme="minorHAnsi" w:hAnsiTheme="minorHAnsi"/>
          <w:szCs w:val="22"/>
        </w:rPr>
        <w:t xml:space="preserve">“Civilian Service Contract Inventories:  </w:t>
      </w:r>
      <w:hyperlink r:id="rId15" w:history="1">
        <w:r w:rsidR="00935E86" w:rsidRPr="00DF14A3">
          <w:rPr>
            <w:rFonts w:asciiTheme="minorHAnsi" w:hAnsiTheme="minorHAnsi"/>
            <w:szCs w:val="22"/>
          </w:rPr>
          <w:t>Opportunities Exist to Improve Agency Reporting and Review Efforts”, GAO-12-1007 (September 2012)</w:t>
        </w:r>
      </w:hyperlink>
      <w:r w:rsidR="00935E86" w:rsidRPr="00DF63D3">
        <w:rPr>
          <w:rFonts w:asciiTheme="minorHAnsi" w:hAnsiTheme="minorHAnsi"/>
          <w:szCs w:val="22"/>
        </w:rPr>
        <w:t xml:space="preserve"> to help improve the quality of agency analyses and the value of inventories as a management tool.  </w:t>
      </w:r>
    </w:p>
    <w:p w:rsidR="00935E86" w:rsidRPr="00DF63D3" w:rsidRDefault="00935E86" w:rsidP="00935E86">
      <w:pPr>
        <w:spacing w:before="120" w:after="120"/>
        <w:rPr>
          <w:rFonts w:asciiTheme="minorHAnsi" w:hAnsiTheme="minorHAnsi"/>
          <w:szCs w:val="22"/>
        </w:rPr>
      </w:pPr>
      <w:r w:rsidRPr="00DF63D3">
        <w:rPr>
          <w:rFonts w:asciiTheme="minorHAnsi" w:hAnsiTheme="minorHAnsi"/>
          <w:szCs w:val="22"/>
        </w:rPr>
        <w:t xml:space="preserve">In its report, GAO reviewed a sample of agencies’ analyses of their FY 2010 inventories and identified several practices that could help to improve the quality of agency analyses in determining the effective and appropriate use of contractors.  Specifically, GAO recommended that agencies --  </w:t>
      </w:r>
    </w:p>
    <w:p w:rsidR="00935E86" w:rsidRPr="00C36D5E" w:rsidRDefault="00935E86" w:rsidP="00935E86">
      <w:pPr>
        <w:pStyle w:val="BodyText"/>
        <w:numPr>
          <w:ilvl w:val="0"/>
          <w:numId w:val="9"/>
        </w:numPr>
        <w:spacing w:before="120" w:after="120" w:line="240" w:lineRule="auto"/>
        <w:rPr>
          <w:rFonts w:asciiTheme="minorHAnsi" w:hAnsiTheme="minorHAnsi"/>
          <w:szCs w:val="22"/>
        </w:rPr>
      </w:pPr>
      <w:r w:rsidRPr="001951BB">
        <w:rPr>
          <w:rFonts w:asciiTheme="minorHAnsi" w:hAnsiTheme="minorHAnsi"/>
          <w:szCs w:val="22"/>
        </w:rPr>
        <w:t>Fully describe the scope of the inventory reviews, including information such as the number of contracts and the percentage of contracts reviewed for each product and service code selected and the total universe of contracts;</w:t>
      </w:r>
    </w:p>
    <w:p w:rsidR="00935E86" w:rsidRPr="00C36D5E" w:rsidRDefault="00935E86" w:rsidP="00935E86">
      <w:pPr>
        <w:pStyle w:val="BodyText"/>
        <w:numPr>
          <w:ilvl w:val="0"/>
          <w:numId w:val="9"/>
        </w:numPr>
        <w:spacing w:before="120" w:after="120" w:line="240" w:lineRule="auto"/>
        <w:rPr>
          <w:rFonts w:asciiTheme="minorHAnsi" w:hAnsiTheme="minorHAnsi"/>
          <w:szCs w:val="22"/>
        </w:rPr>
      </w:pPr>
      <w:r w:rsidRPr="001951BB">
        <w:rPr>
          <w:rFonts w:asciiTheme="minorHAnsi" w:hAnsiTheme="minorHAnsi"/>
          <w:szCs w:val="22"/>
        </w:rPr>
        <w:t>Report on the number of contractor personnel and functions that were involved with the workforce issues identified during their inventory reviews; and</w:t>
      </w:r>
    </w:p>
    <w:p w:rsidR="00935E86" w:rsidRPr="001951BB" w:rsidRDefault="00935E86" w:rsidP="00935E86">
      <w:pPr>
        <w:pStyle w:val="BodyText"/>
        <w:numPr>
          <w:ilvl w:val="0"/>
          <w:numId w:val="9"/>
        </w:numPr>
        <w:spacing w:before="120" w:after="120" w:line="240" w:lineRule="auto"/>
        <w:rPr>
          <w:rFonts w:asciiTheme="minorHAnsi" w:hAnsiTheme="minorHAnsi"/>
          <w:szCs w:val="22"/>
        </w:rPr>
      </w:pPr>
      <w:r w:rsidRPr="001951BB">
        <w:rPr>
          <w:rFonts w:asciiTheme="minorHAnsi" w:hAnsiTheme="minorHAnsi"/>
          <w:szCs w:val="22"/>
        </w:rPr>
        <w:t>Include the status of agency efforts to resolve findings identified in previous reviews until they are resolved.</w:t>
      </w:r>
    </w:p>
    <w:p w:rsidR="00935E86" w:rsidRPr="001951BB" w:rsidRDefault="00CC2C73" w:rsidP="00935E86">
      <w:pPr>
        <w:spacing w:before="120" w:after="120"/>
        <w:rPr>
          <w:rFonts w:asciiTheme="minorHAnsi" w:hAnsiTheme="minorHAnsi"/>
          <w:szCs w:val="22"/>
        </w:rPr>
      </w:pPr>
      <w:r>
        <w:rPr>
          <w:rFonts w:asciiTheme="minorHAnsi" w:hAnsiTheme="minorHAnsi"/>
          <w:szCs w:val="22"/>
        </w:rPr>
        <w:t xml:space="preserve">The Department guidance also told the procurement activities to </w:t>
      </w:r>
      <w:r w:rsidR="00935E86" w:rsidRPr="001951BB">
        <w:rPr>
          <w:rFonts w:asciiTheme="minorHAnsi" w:hAnsiTheme="minorHAnsi"/>
          <w:szCs w:val="22"/>
        </w:rPr>
        <w:t xml:space="preserve">consider the points </w:t>
      </w:r>
      <w:r>
        <w:rPr>
          <w:rFonts w:asciiTheme="minorHAnsi" w:hAnsiTheme="minorHAnsi"/>
          <w:szCs w:val="22"/>
        </w:rPr>
        <w:t xml:space="preserve">below </w:t>
      </w:r>
      <w:r w:rsidR="00935E86" w:rsidRPr="001951BB">
        <w:rPr>
          <w:rFonts w:asciiTheme="minorHAnsi" w:hAnsiTheme="minorHAnsi"/>
          <w:szCs w:val="22"/>
        </w:rPr>
        <w:t xml:space="preserve">as </w:t>
      </w:r>
      <w:r>
        <w:rPr>
          <w:rFonts w:asciiTheme="minorHAnsi" w:hAnsiTheme="minorHAnsi"/>
          <w:szCs w:val="22"/>
        </w:rPr>
        <w:t>they</w:t>
      </w:r>
      <w:r w:rsidR="00935E86" w:rsidRPr="001951BB">
        <w:rPr>
          <w:rFonts w:asciiTheme="minorHAnsi" w:hAnsiTheme="minorHAnsi"/>
          <w:szCs w:val="22"/>
        </w:rPr>
        <w:t xml:space="preserve"> prepare</w:t>
      </w:r>
      <w:r>
        <w:rPr>
          <w:rFonts w:asciiTheme="minorHAnsi" w:hAnsiTheme="minorHAnsi"/>
          <w:szCs w:val="22"/>
        </w:rPr>
        <w:t>d</w:t>
      </w:r>
      <w:r w:rsidR="00935E86" w:rsidRPr="001951BB">
        <w:rPr>
          <w:rFonts w:asciiTheme="minorHAnsi" w:hAnsiTheme="minorHAnsi"/>
          <w:szCs w:val="22"/>
        </w:rPr>
        <w:t xml:space="preserve"> and refine</w:t>
      </w:r>
      <w:r>
        <w:rPr>
          <w:rFonts w:asciiTheme="minorHAnsi" w:hAnsiTheme="minorHAnsi"/>
          <w:szCs w:val="22"/>
        </w:rPr>
        <w:t>d</w:t>
      </w:r>
      <w:r w:rsidR="00935E86" w:rsidRPr="001951BB">
        <w:rPr>
          <w:rFonts w:asciiTheme="minorHAnsi" w:hAnsiTheme="minorHAnsi"/>
          <w:szCs w:val="22"/>
        </w:rPr>
        <w:t xml:space="preserve"> </w:t>
      </w:r>
      <w:r>
        <w:rPr>
          <w:rFonts w:asciiTheme="minorHAnsi" w:hAnsiTheme="minorHAnsi"/>
          <w:szCs w:val="22"/>
        </w:rPr>
        <w:t>their</w:t>
      </w:r>
      <w:r w:rsidR="00935E86" w:rsidRPr="001951BB">
        <w:rPr>
          <w:rFonts w:asciiTheme="minorHAnsi" w:hAnsiTheme="minorHAnsi"/>
          <w:szCs w:val="22"/>
        </w:rPr>
        <w:t xml:space="preserve"> draft reports:</w:t>
      </w:r>
    </w:p>
    <w:p w:rsidR="00935E86" w:rsidRPr="001951BB" w:rsidRDefault="00935E86" w:rsidP="00CC2C73">
      <w:pPr>
        <w:spacing w:before="120" w:after="120"/>
        <w:ind w:left="540" w:right="632"/>
        <w:rPr>
          <w:rFonts w:asciiTheme="minorHAnsi" w:hAnsiTheme="minorHAnsi"/>
          <w:szCs w:val="22"/>
        </w:rPr>
      </w:pPr>
      <w:r w:rsidRPr="001951BB">
        <w:rPr>
          <w:rFonts w:asciiTheme="minorHAnsi" w:hAnsiTheme="minorHAnsi"/>
          <w:b/>
          <w:szCs w:val="22"/>
          <w:u w:val="single"/>
        </w:rPr>
        <w:t>Scope</w:t>
      </w:r>
      <w:r w:rsidRPr="001951BB">
        <w:rPr>
          <w:rFonts w:asciiTheme="minorHAnsi" w:hAnsiTheme="minorHAnsi"/>
          <w:szCs w:val="22"/>
        </w:rPr>
        <w:t xml:space="preserve">.  The report should describe the special interest functions studied by the agency, </w:t>
      </w:r>
      <w:r>
        <w:rPr>
          <w:rFonts w:asciiTheme="minorHAnsi" w:hAnsiTheme="minorHAnsi"/>
          <w:szCs w:val="22"/>
        </w:rPr>
        <w:t xml:space="preserve">and </w:t>
      </w:r>
      <w:r w:rsidRPr="001951BB">
        <w:rPr>
          <w:rFonts w:asciiTheme="minorHAnsi" w:hAnsiTheme="minorHAnsi"/>
          <w:szCs w:val="22"/>
        </w:rPr>
        <w:t>the dollars obligated to those specific product and service codes (PSCs) in FY 201</w:t>
      </w:r>
      <w:r w:rsidR="00776B5B">
        <w:rPr>
          <w:rFonts w:asciiTheme="minorHAnsi" w:hAnsiTheme="minorHAnsi"/>
          <w:szCs w:val="22"/>
        </w:rPr>
        <w:t>2</w:t>
      </w:r>
      <w:r w:rsidRPr="001951BB">
        <w:rPr>
          <w:rFonts w:asciiTheme="minorHAnsi" w:hAnsiTheme="minorHAnsi"/>
          <w:szCs w:val="22"/>
        </w:rPr>
        <w:t xml:space="preserve">.  </w:t>
      </w:r>
      <w:r w:rsidRPr="00DF63D3">
        <w:rPr>
          <w:rFonts w:asciiTheme="minorHAnsi" w:hAnsiTheme="minorHAnsi"/>
          <w:szCs w:val="22"/>
          <w:u w:val="single"/>
        </w:rPr>
        <w:t>The report should also describe how many contracts were reviewed, how the contracts were selected for review, and the percentage of obligations the contracts covered for the product and service codes on which the review focused</w:t>
      </w:r>
      <w:r w:rsidRPr="00DF63D3">
        <w:rPr>
          <w:rFonts w:asciiTheme="minorHAnsi" w:hAnsiTheme="minorHAnsi"/>
          <w:szCs w:val="22"/>
        </w:rPr>
        <w:t xml:space="preserve"> </w:t>
      </w:r>
      <w:r w:rsidRPr="00D751DF">
        <w:rPr>
          <w:rFonts w:asciiTheme="minorHAnsi" w:hAnsiTheme="minorHAnsi"/>
          <w:szCs w:val="22"/>
        </w:rPr>
        <w:t xml:space="preserve">(provided by </w:t>
      </w:r>
      <w:r>
        <w:rPr>
          <w:rFonts w:asciiTheme="minorHAnsi" w:hAnsiTheme="minorHAnsi"/>
          <w:szCs w:val="22"/>
        </w:rPr>
        <w:t>HCAs)</w:t>
      </w:r>
      <w:r w:rsidRPr="001951BB">
        <w:rPr>
          <w:rFonts w:asciiTheme="minorHAnsi" w:hAnsiTheme="minorHAnsi"/>
          <w:szCs w:val="22"/>
        </w:rPr>
        <w:t>.</w:t>
      </w:r>
    </w:p>
    <w:p w:rsidR="00935E86" w:rsidRPr="001951BB" w:rsidRDefault="00935E86" w:rsidP="00CC2C73">
      <w:pPr>
        <w:spacing w:before="120" w:after="120"/>
        <w:ind w:left="540" w:right="632"/>
        <w:rPr>
          <w:rFonts w:asciiTheme="minorHAnsi" w:hAnsiTheme="minorHAnsi"/>
          <w:szCs w:val="22"/>
        </w:rPr>
      </w:pPr>
      <w:r w:rsidRPr="0023309A">
        <w:rPr>
          <w:rFonts w:asciiTheme="minorHAnsi" w:hAnsiTheme="minorHAnsi"/>
          <w:b/>
          <w:szCs w:val="22"/>
          <w:u w:val="single"/>
        </w:rPr>
        <w:t xml:space="preserve">Methodology </w:t>
      </w:r>
      <w:r w:rsidRPr="00D751DF">
        <w:rPr>
          <w:rFonts w:asciiTheme="minorHAnsi" w:hAnsiTheme="minorHAnsi"/>
          <w:szCs w:val="22"/>
        </w:rPr>
        <w:t xml:space="preserve">(provided by </w:t>
      </w:r>
      <w:r>
        <w:rPr>
          <w:rFonts w:asciiTheme="minorHAnsi" w:hAnsiTheme="minorHAnsi"/>
          <w:szCs w:val="22"/>
        </w:rPr>
        <w:t>HCAs)</w:t>
      </w:r>
      <w:r w:rsidRPr="001951BB">
        <w:rPr>
          <w:rFonts w:asciiTheme="minorHAnsi" w:hAnsiTheme="minorHAnsi"/>
          <w:szCs w:val="22"/>
        </w:rPr>
        <w:t>.  The report should discuss the methodology used to support its analysis (e.g., sampled contract files, conducted interviews of members of the acquisition workforce working on specific contracts of interest).</w:t>
      </w:r>
    </w:p>
    <w:p w:rsidR="00935E86" w:rsidRPr="001951BB" w:rsidRDefault="00935E86" w:rsidP="00CC2C73">
      <w:pPr>
        <w:spacing w:before="120" w:after="120"/>
        <w:ind w:left="540" w:right="632"/>
        <w:rPr>
          <w:rFonts w:asciiTheme="minorHAnsi" w:hAnsiTheme="minorHAnsi"/>
          <w:szCs w:val="22"/>
        </w:rPr>
      </w:pPr>
      <w:r w:rsidRPr="0023309A">
        <w:rPr>
          <w:rFonts w:asciiTheme="minorHAnsi" w:hAnsiTheme="minorHAnsi"/>
          <w:b/>
          <w:szCs w:val="22"/>
          <w:u w:val="single"/>
        </w:rPr>
        <w:t xml:space="preserve">Findings </w:t>
      </w:r>
      <w:r w:rsidRPr="00D751DF">
        <w:rPr>
          <w:rFonts w:asciiTheme="minorHAnsi" w:hAnsiTheme="minorHAnsi"/>
          <w:szCs w:val="22"/>
        </w:rPr>
        <w:t xml:space="preserve">(provided by </w:t>
      </w:r>
      <w:r>
        <w:rPr>
          <w:rFonts w:asciiTheme="minorHAnsi" w:hAnsiTheme="minorHAnsi"/>
          <w:szCs w:val="22"/>
        </w:rPr>
        <w:t>HCAs)</w:t>
      </w:r>
      <w:r w:rsidRPr="001951BB">
        <w:rPr>
          <w:rFonts w:asciiTheme="minorHAnsi" w:hAnsiTheme="minorHAnsi"/>
          <w:szCs w:val="22"/>
        </w:rPr>
        <w:t xml:space="preserve">.  The report should summarize the findings, including a brief discussion of the extent to which the desired outcomes described in section 743(e) (2) are being met (e.g., the </w:t>
      </w:r>
      <w:r>
        <w:rPr>
          <w:rFonts w:asciiTheme="minorHAnsi" w:hAnsiTheme="minorHAnsi"/>
          <w:szCs w:val="22"/>
        </w:rPr>
        <w:t>activity</w:t>
      </w:r>
      <w:r w:rsidRPr="001951BB">
        <w:rPr>
          <w:rFonts w:asciiTheme="minorHAnsi" w:hAnsiTheme="minorHAnsi"/>
          <w:szCs w:val="22"/>
        </w:rPr>
        <w:t xml:space="preserve"> is not using contractor employees to perform critical functions in such a way that could affect the ability of the </w:t>
      </w:r>
      <w:r>
        <w:rPr>
          <w:rFonts w:asciiTheme="minorHAnsi" w:hAnsiTheme="minorHAnsi"/>
          <w:szCs w:val="22"/>
        </w:rPr>
        <w:t>activity</w:t>
      </w:r>
      <w:r w:rsidRPr="001951BB">
        <w:rPr>
          <w:rFonts w:asciiTheme="minorHAnsi" w:hAnsiTheme="minorHAnsi"/>
          <w:szCs w:val="22"/>
        </w:rPr>
        <w:t xml:space="preserve"> to maintain control of its mission and operations).  </w:t>
      </w:r>
      <w:r w:rsidRPr="0023309A">
        <w:rPr>
          <w:rFonts w:asciiTheme="minorHAnsi" w:hAnsiTheme="minorHAnsi"/>
          <w:szCs w:val="22"/>
          <w:u w:val="single"/>
        </w:rPr>
        <w:t>Where workforce issues are identified, the report should identify the estimated number of contractor personnel and/or labor resources involved (e.g., in “full-time equivalents”)</w:t>
      </w:r>
      <w:r w:rsidRPr="001951BB">
        <w:rPr>
          <w:rFonts w:asciiTheme="minorHAnsi" w:hAnsiTheme="minorHAnsi"/>
          <w:szCs w:val="22"/>
        </w:rPr>
        <w:t xml:space="preserve">. </w:t>
      </w:r>
    </w:p>
    <w:p w:rsidR="00935E86" w:rsidRPr="001951BB" w:rsidRDefault="00935E86" w:rsidP="00CC2C73">
      <w:pPr>
        <w:spacing w:before="120" w:after="120"/>
        <w:ind w:left="540" w:right="632"/>
        <w:rPr>
          <w:rFonts w:asciiTheme="minorHAnsi" w:hAnsiTheme="minorHAnsi"/>
          <w:szCs w:val="22"/>
        </w:rPr>
      </w:pPr>
      <w:r w:rsidRPr="0023309A">
        <w:rPr>
          <w:rFonts w:asciiTheme="minorHAnsi" w:hAnsiTheme="minorHAnsi"/>
          <w:b/>
          <w:szCs w:val="22"/>
          <w:u w:val="single"/>
        </w:rPr>
        <w:t>Actions taken or planned</w:t>
      </w:r>
      <w:r w:rsidRPr="0023309A">
        <w:rPr>
          <w:rFonts w:asciiTheme="minorHAnsi" w:hAnsiTheme="minorHAnsi"/>
          <w:szCs w:val="22"/>
        </w:rPr>
        <w:t xml:space="preserve"> </w:t>
      </w:r>
      <w:r w:rsidRPr="00D751DF">
        <w:rPr>
          <w:rFonts w:asciiTheme="minorHAnsi" w:hAnsiTheme="minorHAnsi"/>
          <w:szCs w:val="22"/>
        </w:rPr>
        <w:t xml:space="preserve">(provided by </w:t>
      </w:r>
      <w:r>
        <w:rPr>
          <w:rFonts w:asciiTheme="minorHAnsi" w:hAnsiTheme="minorHAnsi"/>
          <w:szCs w:val="22"/>
        </w:rPr>
        <w:t>HCAs)</w:t>
      </w:r>
      <w:r w:rsidRPr="001951BB">
        <w:rPr>
          <w:rFonts w:asciiTheme="minorHAnsi" w:hAnsiTheme="minorHAnsi"/>
          <w:szCs w:val="22"/>
        </w:rPr>
        <w:t xml:space="preserve">.  The report should explain the steps the </w:t>
      </w:r>
      <w:r>
        <w:rPr>
          <w:rFonts w:asciiTheme="minorHAnsi" w:hAnsiTheme="minorHAnsi"/>
          <w:szCs w:val="22"/>
        </w:rPr>
        <w:t>activity</w:t>
      </w:r>
      <w:r w:rsidRPr="001951BB">
        <w:rPr>
          <w:rFonts w:asciiTheme="minorHAnsi" w:hAnsiTheme="minorHAnsi"/>
          <w:szCs w:val="22"/>
        </w:rPr>
        <w:t xml:space="preserve"> has taken or plans to take to address any identified weaknesses or challenges.  </w:t>
      </w:r>
    </w:p>
    <w:p w:rsidR="00064D41" w:rsidRPr="00EC72AC" w:rsidRDefault="00064D41" w:rsidP="00616001">
      <w:pPr>
        <w:pStyle w:val="BodyText"/>
        <w:spacing w:after="120" w:line="240" w:lineRule="auto"/>
        <w:rPr>
          <w:rFonts w:asciiTheme="minorHAnsi" w:hAnsiTheme="minorHAnsi"/>
        </w:rPr>
      </w:pPr>
    </w:p>
    <w:p w:rsidR="007B01A6" w:rsidRPr="00EC72AC" w:rsidRDefault="007B01A6" w:rsidP="002A4427">
      <w:pPr>
        <w:pStyle w:val="BodyText"/>
        <w:spacing w:after="120" w:line="240" w:lineRule="auto"/>
        <w:rPr>
          <w:rFonts w:asciiTheme="minorHAnsi" w:hAnsiTheme="minorHAnsi"/>
        </w:rPr>
      </w:pPr>
    </w:p>
    <w:p w:rsidR="008474BA" w:rsidRPr="00EC72AC" w:rsidRDefault="008474BA" w:rsidP="002A4427">
      <w:pPr>
        <w:pStyle w:val="BodyText"/>
        <w:spacing w:after="120" w:line="240" w:lineRule="auto"/>
        <w:rPr>
          <w:rFonts w:asciiTheme="minorHAnsi" w:hAnsiTheme="minorHAnsi"/>
        </w:rPr>
        <w:sectPr w:rsidR="008474BA" w:rsidRPr="00EC72AC" w:rsidSect="00A6373F">
          <w:headerReference w:type="default" r:id="rId16"/>
          <w:pgSz w:w="12242" w:h="15842" w:code="1"/>
          <w:pgMar w:top="1440" w:right="1440" w:bottom="1440" w:left="1440" w:header="709" w:footer="567" w:gutter="0"/>
          <w:cols w:space="708"/>
          <w:docGrid w:linePitch="360"/>
        </w:sectPr>
      </w:pPr>
    </w:p>
    <w:p w:rsidR="008474BA" w:rsidRPr="00EC72AC" w:rsidRDefault="008474BA" w:rsidP="002A4427">
      <w:pPr>
        <w:pStyle w:val="SectionTitle"/>
        <w:spacing w:after="600"/>
        <w:rPr>
          <w:rFonts w:asciiTheme="minorHAnsi" w:hAnsiTheme="minorHAnsi"/>
        </w:rPr>
      </w:pPr>
      <w:bookmarkStart w:id="3" w:name="_Toc344382183"/>
      <w:r w:rsidRPr="00EC72AC">
        <w:rPr>
          <w:rFonts w:asciiTheme="minorHAnsi" w:hAnsiTheme="minorHAnsi"/>
        </w:rPr>
        <w:lastRenderedPageBreak/>
        <w:t>Section 3: Findings</w:t>
      </w:r>
      <w:bookmarkEnd w:id="3"/>
    </w:p>
    <w:p w:rsidR="0029674B" w:rsidRPr="00EC72AC" w:rsidRDefault="0029674B" w:rsidP="00ED1317">
      <w:pPr>
        <w:pStyle w:val="BodyText"/>
        <w:spacing w:after="120" w:line="240" w:lineRule="auto"/>
        <w:rPr>
          <w:rFonts w:asciiTheme="minorHAnsi" w:hAnsiTheme="minorHAnsi"/>
          <w:b/>
          <w:sz w:val="28"/>
          <w:szCs w:val="28"/>
        </w:rPr>
      </w:pPr>
      <w:r w:rsidRPr="00EC72AC">
        <w:rPr>
          <w:rFonts w:asciiTheme="minorHAnsi" w:hAnsiTheme="minorHAnsi"/>
          <w:b/>
          <w:sz w:val="28"/>
          <w:szCs w:val="28"/>
        </w:rPr>
        <w:t>Summary</w:t>
      </w:r>
    </w:p>
    <w:p w:rsidR="0029674B" w:rsidRPr="00EC72AC" w:rsidRDefault="0029674B" w:rsidP="00F94E71">
      <w:pPr>
        <w:pStyle w:val="BodyText"/>
        <w:rPr>
          <w:rFonts w:asciiTheme="minorHAnsi" w:hAnsiTheme="minorHAnsi"/>
          <w:szCs w:val="22"/>
        </w:rPr>
      </w:pPr>
      <w:r w:rsidRPr="00EC72AC">
        <w:rPr>
          <w:rFonts w:asciiTheme="minorHAnsi" w:hAnsiTheme="minorHAnsi"/>
          <w:szCs w:val="22"/>
        </w:rPr>
        <w:t xml:space="preserve">The Service Contract inventory </w:t>
      </w:r>
      <w:r w:rsidR="00F94E71" w:rsidRPr="00EC72AC">
        <w:rPr>
          <w:rFonts w:asciiTheme="minorHAnsi" w:hAnsiTheme="minorHAnsi"/>
          <w:szCs w:val="22"/>
        </w:rPr>
        <w:t xml:space="preserve">is a tool for assisting </w:t>
      </w:r>
      <w:r w:rsidR="003039E3">
        <w:rPr>
          <w:rFonts w:asciiTheme="minorHAnsi" w:hAnsiTheme="minorHAnsi"/>
          <w:szCs w:val="22"/>
        </w:rPr>
        <w:t>agencies</w:t>
      </w:r>
      <w:r w:rsidR="00F94E71" w:rsidRPr="00EC72AC">
        <w:rPr>
          <w:rFonts w:asciiTheme="minorHAnsi" w:hAnsiTheme="minorHAnsi"/>
          <w:szCs w:val="22"/>
        </w:rPr>
        <w:t xml:space="preserve"> in better understanding how contracted services are being used to support mission and operations and whether the contractors’ skills are being utilized in an appropriate manner</w:t>
      </w:r>
      <w:r w:rsidRPr="00EC72AC">
        <w:rPr>
          <w:rFonts w:asciiTheme="minorHAnsi" w:hAnsiTheme="minorHAnsi"/>
          <w:szCs w:val="22"/>
        </w:rPr>
        <w:t xml:space="preserve">.  </w:t>
      </w:r>
    </w:p>
    <w:p w:rsidR="00C171F3" w:rsidRPr="00EC72AC" w:rsidRDefault="00C171F3" w:rsidP="00ED1317">
      <w:pPr>
        <w:pStyle w:val="BodyText"/>
        <w:spacing w:after="120" w:line="240" w:lineRule="auto"/>
        <w:rPr>
          <w:rFonts w:asciiTheme="minorHAnsi" w:hAnsiTheme="minorHAnsi"/>
          <w:b/>
          <w:sz w:val="28"/>
          <w:szCs w:val="28"/>
        </w:rPr>
      </w:pPr>
      <w:r w:rsidRPr="00EC72AC">
        <w:rPr>
          <w:rFonts w:asciiTheme="minorHAnsi" w:hAnsiTheme="minorHAnsi"/>
          <w:b/>
          <w:sz w:val="28"/>
          <w:szCs w:val="28"/>
        </w:rPr>
        <w:t>Service Contract Inventory</w:t>
      </w:r>
    </w:p>
    <w:p w:rsidR="00F01849" w:rsidRPr="00F01849" w:rsidRDefault="00ED1317" w:rsidP="00F01849">
      <w:pPr>
        <w:pStyle w:val="BodyText"/>
        <w:rPr>
          <w:rFonts w:asciiTheme="minorHAnsi" w:hAnsiTheme="minorHAnsi"/>
          <w:szCs w:val="22"/>
        </w:rPr>
      </w:pPr>
      <w:r w:rsidRPr="00EC72AC">
        <w:rPr>
          <w:rFonts w:asciiTheme="minorHAnsi" w:hAnsiTheme="minorHAnsi"/>
          <w:szCs w:val="22"/>
        </w:rPr>
        <w:t xml:space="preserve">The results of </w:t>
      </w:r>
      <w:r w:rsidR="00A2682B">
        <w:rPr>
          <w:rFonts w:asciiTheme="minorHAnsi" w:hAnsiTheme="minorHAnsi"/>
          <w:szCs w:val="22"/>
        </w:rPr>
        <w:t xml:space="preserve">the Department’s </w:t>
      </w:r>
      <w:r w:rsidRPr="00EC72AC">
        <w:rPr>
          <w:rFonts w:asciiTheme="minorHAnsi" w:hAnsiTheme="minorHAnsi"/>
          <w:szCs w:val="22"/>
        </w:rPr>
        <w:t xml:space="preserve">service contract inventory continue to be </w:t>
      </w:r>
      <w:r w:rsidR="00A2682B">
        <w:rPr>
          <w:rFonts w:asciiTheme="minorHAnsi" w:hAnsiTheme="minorHAnsi"/>
          <w:szCs w:val="22"/>
        </w:rPr>
        <w:t xml:space="preserve">favorable in terms of </w:t>
      </w:r>
      <w:r w:rsidRPr="00EC72AC">
        <w:rPr>
          <w:rFonts w:asciiTheme="minorHAnsi" w:hAnsiTheme="minorHAnsi"/>
          <w:szCs w:val="22"/>
        </w:rPr>
        <w:t xml:space="preserve">meeting OMB initiatives.  </w:t>
      </w:r>
      <w:r w:rsidR="00F01849">
        <w:rPr>
          <w:rFonts w:asciiTheme="minorHAnsi" w:hAnsiTheme="minorHAnsi"/>
          <w:szCs w:val="22"/>
        </w:rPr>
        <w:t>Specifically, t</w:t>
      </w:r>
      <w:r w:rsidR="00F01849" w:rsidRPr="00F01849">
        <w:rPr>
          <w:rFonts w:asciiTheme="minorHAnsi" w:hAnsiTheme="minorHAnsi"/>
          <w:szCs w:val="22"/>
        </w:rPr>
        <w:t xml:space="preserve">he outcome of the </w:t>
      </w:r>
      <w:r w:rsidR="00F01849">
        <w:rPr>
          <w:rFonts w:asciiTheme="minorHAnsi" w:hAnsiTheme="minorHAnsi"/>
          <w:szCs w:val="22"/>
        </w:rPr>
        <w:t>Department’s</w:t>
      </w:r>
      <w:r w:rsidR="00F01849" w:rsidRPr="00F01849">
        <w:rPr>
          <w:rFonts w:asciiTheme="minorHAnsi" w:hAnsiTheme="minorHAnsi"/>
          <w:szCs w:val="22"/>
        </w:rPr>
        <w:t xml:space="preserve"> inventory analysis resulted in the following findings:</w:t>
      </w:r>
    </w:p>
    <w:p w:rsidR="00F01849" w:rsidRPr="00F01849" w:rsidRDefault="00F01849" w:rsidP="00F01849">
      <w:pPr>
        <w:pStyle w:val="BodyText"/>
        <w:numPr>
          <w:ilvl w:val="0"/>
          <w:numId w:val="31"/>
        </w:numPr>
        <w:spacing w:before="120" w:after="120" w:line="240" w:lineRule="auto"/>
        <w:rPr>
          <w:rFonts w:asciiTheme="minorHAnsi" w:hAnsiTheme="minorHAnsi"/>
          <w:szCs w:val="22"/>
        </w:rPr>
      </w:pPr>
      <w:r w:rsidRPr="00F01849">
        <w:rPr>
          <w:rFonts w:asciiTheme="minorHAnsi" w:hAnsiTheme="minorHAnsi"/>
          <w:szCs w:val="22"/>
        </w:rPr>
        <w:t xml:space="preserve">None of the contracts </w:t>
      </w:r>
      <w:r>
        <w:rPr>
          <w:rFonts w:asciiTheme="minorHAnsi" w:hAnsiTheme="minorHAnsi"/>
          <w:szCs w:val="22"/>
        </w:rPr>
        <w:t>are</w:t>
      </w:r>
      <w:r w:rsidRPr="00F01849">
        <w:rPr>
          <w:rFonts w:asciiTheme="minorHAnsi" w:hAnsiTheme="minorHAnsi"/>
          <w:szCs w:val="22"/>
        </w:rPr>
        <w:t xml:space="preserve"> characterized as “personal services” as defined by the Federal Acquisition Regulation;</w:t>
      </w:r>
    </w:p>
    <w:p w:rsidR="00F01849" w:rsidRPr="00F01849" w:rsidRDefault="00F01849" w:rsidP="00F01849">
      <w:pPr>
        <w:pStyle w:val="BodyText"/>
        <w:numPr>
          <w:ilvl w:val="0"/>
          <w:numId w:val="31"/>
        </w:numPr>
        <w:spacing w:before="120" w:after="120" w:line="240" w:lineRule="auto"/>
        <w:rPr>
          <w:rFonts w:asciiTheme="minorHAnsi" w:hAnsiTheme="minorHAnsi"/>
          <w:szCs w:val="22"/>
        </w:rPr>
      </w:pPr>
      <w:r w:rsidRPr="00F01849">
        <w:rPr>
          <w:rFonts w:asciiTheme="minorHAnsi" w:hAnsiTheme="minorHAnsi"/>
          <w:szCs w:val="22"/>
        </w:rPr>
        <w:t>Contractor employees do not perform any inherently governmental functions;</w:t>
      </w:r>
    </w:p>
    <w:p w:rsidR="00F01849" w:rsidRPr="00F01849" w:rsidRDefault="00F01849" w:rsidP="00F01849">
      <w:pPr>
        <w:pStyle w:val="BodyText"/>
        <w:numPr>
          <w:ilvl w:val="0"/>
          <w:numId w:val="31"/>
        </w:numPr>
        <w:spacing w:before="120" w:after="120" w:line="240" w:lineRule="auto"/>
        <w:rPr>
          <w:rFonts w:asciiTheme="minorHAnsi" w:hAnsiTheme="minorHAnsi"/>
          <w:szCs w:val="22"/>
        </w:rPr>
      </w:pPr>
      <w:r w:rsidRPr="00F01849">
        <w:rPr>
          <w:rFonts w:asciiTheme="minorHAnsi" w:hAnsiTheme="minorHAnsi"/>
          <w:szCs w:val="22"/>
        </w:rPr>
        <w:t>Ongoing comprehensive monitoring and evaluations are performed by government personnel and the contractor performance requirements have not changed or been expanded to be classified as inherently governmental type functions;</w:t>
      </w:r>
    </w:p>
    <w:p w:rsidR="00F01849" w:rsidRPr="00F01849" w:rsidRDefault="00F01849" w:rsidP="00F01849">
      <w:pPr>
        <w:pStyle w:val="BodyText"/>
        <w:numPr>
          <w:ilvl w:val="0"/>
          <w:numId w:val="31"/>
        </w:numPr>
        <w:spacing w:before="120" w:after="120" w:line="240" w:lineRule="auto"/>
        <w:rPr>
          <w:rFonts w:asciiTheme="minorHAnsi" w:hAnsiTheme="minorHAnsi"/>
          <w:szCs w:val="22"/>
        </w:rPr>
      </w:pPr>
      <w:r w:rsidRPr="00F01849">
        <w:rPr>
          <w:rFonts w:asciiTheme="minorHAnsi" w:hAnsiTheme="minorHAnsi"/>
          <w:szCs w:val="22"/>
        </w:rPr>
        <w:t xml:space="preserve">Contractor employees are not performing critical functions </w:t>
      </w:r>
      <w:r w:rsidR="004D4358">
        <w:rPr>
          <w:rFonts w:asciiTheme="minorHAnsi" w:hAnsiTheme="minorHAnsi"/>
          <w:szCs w:val="22"/>
        </w:rPr>
        <w:t xml:space="preserve">in such a way </w:t>
      </w:r>
      <w:r w:rsidRPr="00F01849">
        <w:rPr>
          <w:rFonts w:asciiTheme="minorHAnsi" w:hAnsiTheme="minorHAnsi"/>
          <w:szCs w:val="22"/>
        </w:rPr>
        <w:t xml:space="preserve">that would affect </w:t>
      </w:r>
      <w:r>
        <w:rPr>
          <w:rFonts w:asciiTheme="minorHAnsi" w:hAnsiTheme="minorHAnsi"/>
          <w:szCs w:val="22"/>
        </w:rPr>
        <w:t>the Department’s ability</w:t>
      </w:r>
      <w:r w:rsidRPr="00F01849">
        <w:rPr>
          <w:rFonts w:asciiTheme="minorHAnsi" w:hAnsiTheme="minorHAnsi"/>
          <w:szCs w:val="22"/>
        </w:rPr>
        <w:t xml:space="preserve"> to maintain control of its missions and operations; and</w:t>
      </w:r>
    </w:p>
    <w:p w:rsidR="00F01849" w:rsidRPr="00F01849" w:rsidRDefault="00F01849" w:rsidP="00F01849">
      <w:pPr>
        <w:pStyle w:val="BodyText"/>
        <w:numPr>
          <w:ilvl w:val="0"/>
          <w:numId w:val="31"/>
        </w:numPr>
        <w:spacing w:before="120" w:after="120" w:line="240" w:lineRule="auto"/>
        <w:rPr>
          <w:rFonts w:asciiTheme="minorHAnsi" w:hAnsiTheme="minorHAnsi"/>
          <w:szCs w:val="22"/>
        </w:rPr>
      </w:pPr>
      <w:r w:rsidRPr="00F01849">
        <w:rPr>
          <w:rFonts w:asciiTheme="minorHAnsi" w:hAnsiTheme="minorHAnsi"/>
          <w:szCs w:val="22"/>
        </w:rPr>
        <w:t>Sufficient government personnel are available and assigned to manage and oversee contracts effectively without the need to rebalance the mix of federal and contractor employees.</w:t>
      </w:r>
    </w:p>
    <w:p w:rsidR="0068591B" w:rsidRPr="00EC72AC" w:rsidRDefault="0068591B" w:rsidP="0068591B">
      <w:pPr>
        <w:pStyle w:val="BodyText"/>
        <w:rPr>
          <w:rFonts w:asciiTheme="minorHAnsi" w:hAnsiTheme="minorHAnsi"/>
          <w:szCs w:val="22"/>
        </w:rPr>
      </w:pPr>
      <w:r w:rsidRPr="00EC72AC">
        <w:rPr>
          <w:rFonts w:asciiTheme="minorHAnsi" w:hAnsiTheme="minorHAnsi"/>
          <w:szCs w:val="22"/>
        </w:rPr>
        <w:t xml:space="preserve">The </w:t>
      </w:r>
      <w:r w:rsidR="006F5879">
        <w:rPr>
          <w:rFonts w:asciiTheme="minorHAnsi" w:hAnsiTheme="minorHAnsi"/>
          <w:szCs w:val="22"/>
        </w:rPr>
        <w:t xml:space="preserve">service contracts that contain </w:t>
      </w:r>
      <w:r w:rsidRPr="00EC72AC">
        <w:rPr>
          <w:rFonts w:asciiTheme="minorHAnsi" w:hAnsiTheme="minorHAnsi"/>
          <w:szCs w:val="22"/>
        </w:rPr>
        <w:t xml:space="preserve">special interest functions comprise only </w:t>
      </w:r>
      <w:r w:rsidR="00DF4D8A">
        <w:rPr>
          <w:rFonts w:asciiTheme="minorHAnsi" w:hAnsiTheme="minorHAnsi"/>
          <w:szCs w:val="22"/>
        </w:rPr>
        <w:t>9.57</w:t>
      </w:r>
      <w:r w:rsidRPr="009A33D6">
        <w:rPr>
          <w:rFonts w:asciiTheme="minorHAnsi" w:hAnsiTheme="minorHAnsi"/>
          <w:szCs w:val="22"/>
        </w:rPr>
        <w:t xml:space="preserve"> percent of </w:t>
      </w:r>
      <w:r w:rsidR="00A2682B" w:rsidRPr="009A33D6">
        <w:rPr>
          <w:rFonts w:asciiTheme="minorHAnsi" w:hAnsiTheme="minorHAnsi"/>
          <w:szCs w:val="22"/>
        </w:rPr>
        <w:t xml:space="preserve">the Department’s </w:t>
      </w:r>
      <w:r w:rsidRPr="009A33D6">
        <w:rPr>
          <w:rFonts w:asciiTheme="minorHAnsi" w:hAnsiTheme="minorHAnsi"/>
          <w:szCs w:val="22"/>
        </w:rPr>
        <w:t>overall obligations</w:t>
      </w:r>
      <w:r w:rsidR="00A2682B" w:rsidRPr="009A33D6">
        <w:rPr>
          <w:rFonts w:asciiTheme="minorHAnsi" w:hAnsiTheme="minorHAnsi"/>
          <w:szCs w:val="22"/>
        </w:rPr>
        <w:t>, or</w:t>
      </w:r>
      <w:r w:rsidRPr="009A33D6">
        <w:rPr>
          <w:rFonts w:asciiTheme="minorHAnsi" w:hAnsiTheme="minorHAnsi"/>
          <w:szCs w:val="22"/>
        </w:rPr>
        <w:t xml:space="preserve"> </w:t>
      </w:r>
      <w:r w:rsidR="00DF4D8A" w:rsidRPr="00EC6893">
        <w:rPr>
          <w:rFonts w:asciiTheme="minorHAnsi" w:hAnsiTheme="minorHAnsi"/>
        </w:rPr>
        <w:t>$</w:t>
      </w:r>
      <w:r w:rsidR="00DF4D8A" w:rsidRPr="00C4115A">
        <w:rPr>
          <w:rFonts w:asciiTheme="minorHAnsi" w:hAnsiTheme="minorHAnsi"/>
        </w:rPr>
        <w:t>2,403,944,520</w:t>
      </w:r>
      <w:r w:rsidRPr="009A33D6">
        <w:rPr>
          <w:rFonts w:asciiTheme="minorHAnsi" w:hAnsiTheme="minorHAnsi"/>
          <w:szCs w:val="22"/>
        </w:rPr>
        <w:t>.</w:t>
      </w:r>
      <w:r w:rsidRPr="00EC72AC">
        <w:rPr>
          <w:rFonts w:asciiTheme="minorHAnsi" w:hAnsiTheme="minorHAnsi"/>
          <w:szCs w:val="22"/>
        </w:rPr>
        <w:t xml:space="preserve">  A vast majority </w:t>
      </w:r>
      <w:r w:rsidR="00A2682B">
        <w:rPr>
          <w:rFonts w:asciiTheme="minorHAnsi" w:hAnsiTheme="minorHAnsi"/>
          <w:szCs w:val="22"/>
        </w:rPr>
        <w:t xml:space="preserve">of the contracts </w:t>
      </w:r>
      <w:r w:rsidRPr="00EC72AC">
        <w:rPr>
          <w:rFonts w:asciiTheme="minorHAnsi" w:hAnsiTheme="minorHAnsi"/>
          <w:szCs w:val="22"/>
        </w:rPr>
        <w:t>are competed, and most are either</w:t>
      </w:r>
      <w:r w:rsidR="006F5879">
        <w:rPr>
          <w:rFonts w:asciiTheme="minorHAnsi" w:hAnsiTheme="minorHAnsi"/>
          <w:szCs w:val="22"/>
        </w:rPr>
        <w:t xml:space="preserve"> </w:t>
      </w:r>
      <w:r w:rsidRPr="00EC72AC">
        <w:rPr>
          <w:rFonts w:asciiTheme="minorHAnsi" w:hAnsiTheme="minorHAnsi"/>
          <w:szCs w:val="22"/>
        </w:rPr>
        <w:t>cost</w:t>
      </w:r>
      <w:r w:rsidR="00A2682B">
        <w:rPr>
          <w:rFonts w:asciiTheme="minorHAnsi" w:hAnsiTheme="minorHAnsi"/>
          <w:szCs w:val="22"/>
        </w:rPr>
        <w:t xml:space="preserve"> reimbursable</w:t>
      </w:r>
      <w:r w:rsidRPr="00EC72AC">
        <w:rPr>
          <w:rFonts w:asciiTheme="minorHAnsi" w:hAnsiTheme="minorHAnsi"/>
          <w:szCs w:val="22"/>
        </w:rPr>
        <w:t xml:space="preserve"> or time and material type.  </w:t>
      </w:r>
      <w:r w:rsidR="00A2682B">
        <w:rPr>
          <w:rFonts w:asciiTheme="minorHAnsi" w:hAnsiTheme="minorHAnsi"/>
          <w:szCs w:val="22"/>
        </w:rPr>
        <w:t>M</w:t>
      </w:r>
      <w:r w:rsidRPr="00EC72AC">
        <w:rPr>
          <w:rFonts w:asciiTheme="minorHAnsi" w:hAnsiTheme="minorHAnsi"/>
          <w:szCs w:val="22"/>
        </w:rPr>
        <w:t xml:space="preserve">ost of the special interest functions are </w:t>
      </w:r>
      <w:r w:rsidR="00A2682B">
        <w:rPr>
          <w:rFonts w:asciiTheme="minorHAnsi" w:hAnsiTheme="minorHAnsi"/>
          <w:szCs w:val="22"/>
        </w:rPr>
        <w:t xml:space="preserve">supported by </w:t>
      </w:r>
      <w:r w:rsidRPr="00EC72AC">
        <w:rPr>
          <w:rFonts w:asciiTheme="minorHAnsi" w:hAnsiTheme="minorHAnsi"/>
          <w:szCs w:val="22"/>
        </w:rPr>
        <w:t>small business</w:t>
      </w:r>
      <w:r w:rsidR="00A2682B">
        <w:rPr>
          <w:rFonts w:asciiTheme="minorHAnsi" w:hAnsiTheme="minorHAnsi"/>
          <w:szCs w:val="22"/>
        </w:rPr>
        <w:t>es</w:t>
      </w:r>
      <w:r w:rsidRPr="00EC72AC">
        <w:rPr>
          <w:rFonts w:asciiTheme="minorHAnsi" w:hAnsiTheme="minorHAnsi"/>
          <w:szCs w:val="22"/>
        </w:rPr>
        <w:t>.</w:t>
      </w:r>
    </w:p>
    <w:p w:rsidR="00ED1317" w:rsidRPr="00EC72AC" w:rsidRDefault="00A2682B" w:rsidP="00C171F3">
      <w:pPr>
        <w:pStyle w:val="BodyText"/>
        <w:rPr>
          <w:rFonts w:asciiTheme="minorHAnsi" w:hAnsiTheme="minorHAnsi"/>
          <w:szCs w:val="22"/>
        </w:rPr>
      </w:pPr>
      <w:r>
        <w:rPr>
          <w:rFonts w:asciiTheme="minorHAnsi" w:hAnsiTheme="minorHAnsi"/>
          <w:szCs w:val="22"/>
        </w:rPr>
        <w:t xml:space="preserve">The Department’s </w:t>
      </w:r>
      <w:r w:rsidR="00ED1317" w:rsidRPr="00EC72AC">
        <w:rPr>
          <w:rFonts w:asciiTheme="minorHAnsi" w:hAnsiTheme="minorHAnsi"/>
          <w:szCs w:val="22"/>
        </w:rPr>
        <w:t xml:space="preserve">top 10 PSCs are </w:t>
      </w:r>
      <w:r w:rsidR="004D4358">
        <w:rPr>
          <w:rFonts w:asciiTheme="minorHAnsi" w:hAnsiTheme="minorHAnsi"/>
          <w:szCs w:val="22"/>
        </w:rPr>
        <w:t xml:space="preserve">encompassed by </w:t>
      </w:r>
      <w:r w:rsidR="00ED1317" w:rsidRPr="00EC72AC">
        <w:rPr>
          <w:rFonts w:asciiTheme="minorHAnsi" w:hAnsiTheme="minorHAnsi"/>
          <w:szCs w:val="22"/>
        </w:rPr>
        <w:t>Management and Operati</w:t>
      </w:r>
      <w:r w:rsidR="00F01849">
        <w:rPr>
          <w:rFonts w:asciiTheme="minorHAnsi" w:hAnsiTheme="minorHAnsi"/>
          <w:szCs w:val="22"/>
        </w:rPr>
        <w:t>ng</w:t>
      </w:r>
      <w:r w:rsidR="00ED1317" w:rsidRPr="00EC72AC">
        <w:rPr>
          <w:rFonts w:asciiTheme="minorHAnsi" w:hAnsiTheme="minorHAnsi"/>
          <w:szCs w:val="22"/>
        </w:rPr>
        <w:t xml:space="preserve"> (M&amp;O) contracts or contracts related to the M&amp;O business model.  The </w:t>
      </w:r>
      <w:r w:rsidR="0029674B" w:rsidRPr="00EC72AC">
        <w:rPr>
          <w:rFonts w:asciiTheme="minorHAnsi" w:hAnsiTheme="minorHAnsi"/>
          <w:szCs w:val="22"/>
        </w:rPr>
        <w:t>obligations for these series of PSCs are</w:t>
      </w:r>
      <w:r w:rsidR="00ED1317" w:rsidRPr="00EC72AC">
        <w:rPr>
          <w:rFonts w:asciiTheme="minorHAnsi" w:hAnsiTheme="minorHAnsi"/>
          <w:szCs w:val="22"/>
        </w:rPr>
        <w:t xml:space="preserve"> consistent with what </w:t>
      </w:r>
      <w:r>
        <w:rPr>
          <w:rFonts w:asciiTheme="minorHAnsi" w:hAnsiTheme="minorHAnsi"/>
          <w:szCs w:val="22"/>
        </w:rPr>
        <w:t xml:space="preserve">the Department has </w:t>
      </w:r>
      <w:r w:rsidR="00ED1317" w:rsidRPr="00EC72AC">
        <w:rPr>
          <w:rFonts w:asciiTheme="minorHAnsi" w:hAnsiTheme="minorHAnsi"/>
          <w:szCs w:val="22"/>
        </w:rPr>
        <w:t>report</w:t>
      </w:r>
      <w:r>
        <w:rPr>
          <w:rFonts w:asciiTheme="minorHAnsi" w:hAnsiTheme="minorHAnsi"/>
          <w:szCs w:val="22"/>
        </w:rPr>
        <w:t>ed</w:t>
      </w:r>
      <w:r w:rsidR="00ED1317" w:rsidRPr="00EC72AC">
        <w:rPr>
          <w:rFonts w:asciiTheme="minorHAnsi" w:hAnsiTheme="minorHAnsi"/>
          <w:szCs w:val="22"/>
        </w:rPr>
        <w:t xml:space="preserve"> for </w:t>
      </w:r>
      <w:r>
        <w:rPr>
          <w:rFonts w:asciiTheme="minorHAnsi" w:hAnsiTheme="minorHAnsi"/>
          <w:szCs w:val="22"/>
        </w:rPr>
        <w:t xml:space="preserve">several </w:t>
      </w:r>
      <w:r w:rsidR="00ED1317" w:rsidRPr="00EC72AC">
        <w:rPr>
          <w:rFonts w:asciiTheme="minorHAnsi" w:hAnsiTheme="minorHAnsi"/>
          <w:szCs w:val="22"/>
        </w:rPr>
        <w:t xml:space="preserve">years: 80 percent </w:t>
      </w:r>
      <w:r w:rsidR="00CE5BC7" w:rsidRPr="00EC72AC">
        <w:rPr>
          <w:rFonts w:asciiTheme="minorHAnsi" w:hAnsiTheme="minorHAnsi"/>
          <w:szCs w:val="22"/>
        </w:rPr>
        <w:t xml:space="preserve">or more </w:t>
      </w:r>
      <w:r w:rsidR="00ED1317" w:rsidRPr="00EC72AC">
        <w:rPr>
          <w:rFonts w:asciiTheme="minorHAnsi" w:hAnsiTheme="minorHAnsi"/>
          <w:szCs w:val="22"/>
        </w:rPr>
        <w:t xml:space="preserve">of </w:t>
      </w:r>
      <w:r>
        <w:rPr>
          <w:rFonts w:asciiTheme="minorHAnsi" w:hAnsiTheme="minorHAnsi"/>
          <w:szCs w:val="22"/>
        </w:rPr>
        <w:t xml:space="preserve">Department of Energy </w:t>
      </w:r>
      <w:r w:rsidR="00ED1317" w:rsidRPr="00EC72AC">
        <w:rPr>
          <w:rFonts w:asciiTheme="minorHAnsi" w:hAnsiTheme="minorHAnsi"/>
          <w:szCs w:val="22"/>
        </w:rPr>
        <w:t xml:space="preserve">obligations </w:t>
      </w:r>
      <w:r>
        <w:rPr>
          <w:rFonts w:asciiTheme="minorHAnsi" w:hAnsiTheme="minorHAnsi"/>
          <w:szCs w:val="22"/>
        </w:rPr>
        <w:t xml:space="preserve">are associated with </w:t>
      </w:r>
      <w:r w:rsidR="00ED1317" w:rsidRPr="00EC72AC">
        <w:rPr>
          <w:rFonts w:asciiTheme="minorHAnsi" w:hAnsiTheme="minorHAnsi"/>
          <w:szCs w:val="22"/>
        </w:rPr>
        <w:t xml:space="preserve">M&amp;O contracts.  The inventory also shows that a majority of these contracts are competed and because of the business model that is used, a majority are cost </w:t>
      </w:r>
      <w:r w:rsidR="00F01849">
        <w:rPr>
          <w:rFonts w:asciiTheme="minorHAnsi" w:hAnsiTheme="minorHAnsi"/>
          <w:szCs w:val="22"/>
        </w:rPr>
        <w:t xml:space="preserve">type </w:t>
      </w:r>
      <w:r w:rsidR="00ED1317" w:rsidRPr="00EC72AC">
        <w:rPr>
          <w:rFonts w:asciiTheme="minorHAnsi" w:hAnsiTheme="minorHAnsi"/>
          <w:szCs w:val="22"/>
        </w:rPr>
        <w:t>contract</w:t>
      </w:r>
      <w:r w:rsidR="00F01849">
        <w:rPr>
          <w:rFonts w:asciiTheme="minorHAnsi" w:hAnsiTheme="minorHAnsi"/>
          <w:szCs w:val="22"/>
        </w:rPr>
        <w:t>s</w:t>
      </w:r>
      <w:r w:rsidR="00ED1317" w:rsidRPr="00EC72AC">
        <w:rPr>
          <w:rFonts w:asciiTheme="minorHAnsi" w:hAnsiTheme="minorHAnsi"/>
          <w:szCs w:val="22"/>
        </w:rPr>
        <w:t>.</w:t>
      </w:r>
    </w:p>
    <w:p w:rsidR="008474BA" w:rsidRPr="00EC72AC" w:rsidRDefault="008474BA" w:rsidP="000D4ECA">
      <w:pPr>
        <w:pStyle w:val="StyleHeading5Left"/>
        <w:spacing w:before="0" w:after="284" w:line="280" w:lineRule="atLeast"/>
        <w:jc w:val="center"/>
        <w:rPr>
          <w:rFonts w:asciiTheme="minorHAnsi" w:hAnsiTheme="minorHAnsi" w:cs="Arial"/>
          <w:bCs w:val="0"/>
          <w:szCs w:val="20"/>
        </w:rPr>
      </w:pPr>
    </w:p>
    <w:p w:rsidR="008474BA" w:rsidRPr="00EC72AC" w:rsidRDefault="008474BA" w:rsidP="008474BA">
      <w:pPr>
        <w:pStyle w:val="StyleHeading5Left"/>
        <w:spacing w:before="0" w:after="284" w:line="280" w:lineRule="atLeast"/>
        <w:rPr>
          <w:rFonts w:asciiTheme="minorHAnsi" w:hAnsiTheme="minorHAnsi" w:cs="Arial"/>
          <w:bCs w:val="0"/>
          <w:szCs w:val="20"/>
        </w:rPr>
        <w:sectPr w:rsidR="008474BA" w:rsidRPr="00EC72AC" w:rsidSect="00A6373F">
          <w:headerReference w:type="default" r:id="rId17"/>
          <w:pgSz w:w="12242" w:h="15842" w:code="1"/>
          <w:pgMar w:top="1440" w:right="1440" w:bottom="1440" w:left="1440" w:header="709" w:footer="567" w:gutter="0"/>
          <w:cols w:space="708"/>
          <w:docGrid w:linePitch="360"/>
        </w:sectPr>
      </w:pPr>
    </w:p>
    <w:p w:rsidR="00BF4BD3" w:rsidRPr="00EC72AC" w:rsidRDefault="009C2A3F" w:rsidP="002A4427">
      <w:pPr>
        <w:pStyle w:val="SectionTitle"/>
        <w:spacing w:after="600"/>
        <w:rPr>
          <w:rFonts w:asciiTheme="minorHAnsi" w:hAnsiTheme="minorHAnsi"/>
        </w:rPr>
      </w:pPr>
      <w:bookmarkStart w:id="4" w:name="_Toc344382184"/>
      <w:r w:rsidRPr="00EC72AC">
        <w:rPr>
          <w:rFonts w:asciiTheme="minorHAnsi" w:hAnsiTheme="minorHAnsi"/>
        </w:rPr>
        <w:lastRenderedPageBreak/>
        <w:t xml:space="preserve">Section </w:t>
      </w:r>
      <w:r w:rsidR="008474BA" w:rsidRPr="00EC72AC">
        <w:rPr>
          <w:rFonts w:asciiTheme="minorHAnsi" w:hAnsiTheme="minorHAnsi"/>
        </w:rPr>
        <w:t>4</w:t>
      </w:r>
      <w:r w:rsidR="00BF4BD3" w:rsidRPr="00EC72AC">
        <w:rPr>
          <w:rFonts w:asciiTheme="minorHAnsi" w:hAnsiTheme="minorHAnsi"/>
        </w:rPr>
        <w:t xml:space="preserve">: </w:t>
      </w:r>
      <w:r w:rsidR="008474BA" w:rsidRPr="00EC72AC">
        <w:rPr>
          <w:rFonts w:asciiTheme="minorHAnsi" w:hAnsiTheme="minorHAnsi"/>
        </w:rPr>
        <w:t>Actions Taken or Planned</w:t>
      </w:r>
      <w:bookmarkEnd w:id="4"/>
    </w:p>
    <w:p w:rsidR="00060026" w:rsidRPr="00EC72AC" w:rsidRDefault="00060026" w:rsidP="00060026">
      <w:pPr>
        <w:pStyle w:val="BodyText"/>
        <w:spacing w:after="120" w:line="240" w:lineRule="auto"/>
        <w:rPr>
          <w:rFonts w:asciiTheme="minorHAnsi" w:hAnsiTheme="minorHAnsi"/>
          <w:b/>
          <w:sz w:val="28"/>
          <w:szCs w:val="28"/>
        </w:rPr>
      </w:pPr>
      <w:r w:rsidRPr="00EC72AC">
        <w:rPr>
          <w:rFonts w:asciiTheme="minorHAnsi" w:hAnsiTheme="minorHAnsi"/>
          <w:b/>
          <w:sz w:val="28"/>
          <w:szCs w:val="28"/>
        </w:rPr>
        <w:t>FY1</w:t>
      </w:r>
      <w:r w:rsidR="00776B5B">
        <w:rPr>
          <w:rFonts w:asciiTheme="minorHAnsi" w:hAnsiTheme="minorHAnsi"/>
          <w:b/>
          <w:sz w:val="28"/>
          <w:szCs w:val="28"/>
        </w:rPr>
        <w:t>3</w:t>
      </w:r>
      <w:r w:rsidRPr="00EC72AC">
        <w:rPr>
          <w:rFonts w:asciiTheme="minorHAnsi" w:hAnsiTheme="minorHAnsi"/>
          <w:b/>
          <w:sz w:val="28"/>
          <w:szCs w:val="28"/>
        </w:rPr>
        <w:t xml:space="preserve"> Analysis Plan</w:t>
      </w:r>
    </w:p>
    <w:p w:rsidR="00060026" w:rsidRPr="00EC72AC" w:rsidRDefault="00060026" w:rsidP="00060026">
      <w:pPr>
        <w:pStyle w:val="BodyText"/>
        <w:spacing w:before="120" w:after="120" w:line="240" w:lineRule="auto"/>
        <w:rPr>
          <w:rFonts w:asciiTheme="minorHAnsi" w:hAnsiTheme="minorHAnsi"/>
          <w:szCs w:val="22"/>
        </w:rPr>
      </w:pPr>
      <w:r w:rsidRPr="00EC72AC">
        <w:rPr>
          <w:rFonts w:asciiTheme="minorHAnsi" w:hAnsiTheme="minorHAnsi"/>
          <w:szCs w:val="22"/>
        </w:rPr>
        <w:t>The Department of Energy (DOE) approach will be performed in accordance with the criteria set out in Consolidated Appropriations Act, 2010, (Pub</w:t>
      </w:r>
      <w:r w:rsidR="00EC72AC" w:rsidRPr="00EC72AC">
        <w:rPr>
          <w:rFonts w:asciiTheme="minorHAnsi" w:hAnsiTheme="minorHAnsi"/>
          <w:szCs w:val="22"/>
        </w:rPr>
        <w:t xml:space="preserve">.  </w:t>
      </w:r>
      <w:r w:rsidRPr="00EC72AC">
        <w:rPr>
          <w:rFonts w:asciiTheme="minorHAnsi" w:hAnsiTheme="minorHAnsi"/>
          <w:szCs w:val="22"/>
        </w:rPr>
        <w:t>L. No. 111-117, § 743 (2009)) and Appendix D of the November 5, 2010 OMB Memorandum on Service Contract Inventories, and will ultimately identify contracts for a more in-depth review.</w:t>
      </w:r>
    </w:p>
    <w:p w:rsidR="00060026" w:rsidRPr="00EC72AC" w:rsidRDefault="00060026" w:rsidP="00060026">
      <w:pPr>
        <w:pStyle w:val="BodyText"/>
        <w:spacing w:before="120" w:after="120" w:line="240" w:lineRule="auto"/>
        <w:rPr>
          <w:rFonts w:asciiTheme="minorHAnsi" w:hAnsiTheme="minorHAnsi"/>
          <w:szCs w:val="22"/>
        </w:rPr>
      </w:pPr>
      <w:r w:rsidRPr="00EC72AC">
        <w:rPr>
          <w:rFonts w:asciiTheme="minorHAnsi" w:hAnsiTheme="minorHAnsi"/>
          <w:szCs w:val="22"/>
        </w:rPr>
        <w:t xml:space="preserve">DOE will develop the basic inventory in accordance with OMB guidance using FPDS-NG data to address a number of the inventory requirements consistent with the Consolidated Appropriations Act.  </w:t>
      </w:r>
      <w:r w:rsidR="000D4ECA">
        <w:rPr>
          <w:rFonts w:asciiTheme="minorHAnsi" w:hAnsiTheme="minorHAnsi"/>
          <w:szCs w:val="22"/>
        </w:rPr>
        <w:t xml:space="preserve">The </w:t>
      </w:r>
      <w:r w:rsidR="00FB69D5">
        <w:rPr>
          <w:rFonts w:asciiTheme="minorHAnsi" w:hAnsiTheme="minorHAnsi"/>
          <w:szCs w:val="22"/>
        </w:rPr>
        <w:t>O</w:t>
      </w:r>
      <w:r w:rsidR="000D4ECA">
        <w:rPr>
          <w:rFonts w:asciiTheme="minorHAnsi" w:hAnsiTheme="minorHAnsi"/>
          <w:szCs w:val="22"/>
        </w:rPr>
        <w:t xml:space="preserve">ffice </w:t>
      </w:r>
      <w:r w:rsidR="00B410DF">
        <w:rPr>
          <w:rFonts w:asciiTheme="minorHAnsi" w:hAnsiTheme="minorHAnsi"/>
          <w:szCs w:val="22"/>
        </w:rPr>
        <w:t>of</w:t>
      </w:r>
      <w:r w:rsidR="000D4ECA">
        <w:rPr>
          <w:rFonts w:asciiTheme="minorHAnsi" w:hAnsiTheme="minorHAnsi"/>
          <w:szCs w:val="22"/>
        </w:rPr>
        <w:t xml:space="preserve"> Acquisition and Project Management (APM)</w:t>
      </w:r>
      <w:r w:rsidRPr="00EC72AC">
        <w:rPr>
          <w:rFonts w:asciiTheme="minorHAnsi" w:hAnsiTheme="minorHAnsi"/>
          <w:szCs w:val="22"/>
        </w:rPr>
        <w:t xml:space="preserve"> will provide this list of contracts with special interest functions to the Programs in order to gather supplemental contract data in response to the criteria required by Section 743.  </w:t>
      </w:r>
    </w:p>
    <w:p w:rsidR="00060026" w:rsidRPr="00EC72AC" w:rsidRDefault="00060026" w:rsidP="00060026">
      <w:pPr>
        <w:pStyle w:val="BodyText"/>
        <w:spacing w:before="120" w:after="120" w:line="240" w:lineRule="auto"/>
        <w:rPr>
          <w:rFonts w:asciiTheme="minorHAnsi" w:hAnsiTheme="minorHAnsi"/>
          <w:szCs w:val="22"/>
        </w:rPr>
      </w:pPr>
      <w:r w:rsidRPr="00EC72AC">
        <w:rPr>
          <w:rFonts w:asciiTheme="minorHAnsi" w:hAnsiTheme="minorHAnsi"/>
          <w:szCs w:val="22"/>
        </w:rPr>
        <w:t>DOE will take the following steps in the process of its analysis:</w:t>
      </w:r>
    </w:p>
    <w:p w:rsidR="00060026" w:rsidRPr="00EC72AC" w:rsidRDefault="00060026" w:rsidP="00060026">
      <w:pPr>
        <w:pStyle w:val="BodyText"/>
        <w:numPr>
          <w:ilvl w:val="0"/>
          <w:numId w:val="8"/>
        </w:numPr>
        <w:spacing w:before="120" w:after="120" w:line="240" w:lineRule="auto"/>
        <w:rPr>
          <w:rFonts w:asciiTheme="minorHAnsi" w:hAnsiTheme="minorHAnsi"/>
          <w:szCs w:val="22"/>
        </w:rPr>
      </w:pPr>
      <w:r w:rsidRPr="00EC72AC">
        <w:rPr>
          <w:rFonts w:asciiTheme="minorHAnsi" w:hAnsiTheme="minorHAnsi"/>
          <w:b/>
          <w:szCs w:val="22"/>
        </w:rPr>
        <w:t>Step 1:  Identify service contracts with special interest functions.</w:t>
      </w:r>
    </w:p>
    <w:p w:rsidR="00060026" w:rsidRPr="00EC72AC" w:rsidRDefault="00060026" w:rsidP="00060026">
      <w:pPr>
        <w:pStyle w:val="BodyText"/>
        <w:numPr>
          <w:ilvl w:val="0"/>
          <w:numId w:val="8"/>
        </w:numPr>
        <w:spacing w:before="120" w:after="120" w:line="240" w:lineRule="auto"/>
        <w:rPr>
          <w:rFonts w:asciiTheme="minorHAnsi" w:hAnsiTheme="minorHAnsi"/>
          <w:szCs w:val="22"/>
        </w:rPr>
      </w:pPr>
      <w:r w:rsidRPr="00EC72AC">
        <w:rPr>
          <w:rFonts w:asciiTheme="minorHAnsi" w:hAnsiTheme="minorHAnsi"/>
          <w:b/>
          <w:szCs w:val="22"/>
        </w:rPr>
        <w:t>Step 2:  Notify respective programs responsible for contract functions</w:t>
      </w:r>
      <w:r w:rsidRPr="00EC72AC">
        <w:rPr>
          <w:rFonts w:asciiTheme="minorHAnsi" w:hAnsiTheme="minorHAnsi"/>
          <w:szCs w:val="22"/>
        </w:rPr>
        <w:t xml:space="preserve">.  </w:t>
      </w:r>
    </w:p>
    <w:p w:rsidR="00060026" w:rsidRPr="00EC72AC" w:rsidRDefault="00060026" w:rsidP="00060026">
      <w:pPr>
        <w:pStyle w:val="BodyText"/>
        <w:numPr>
          <w:ilvl w:val="0"/>
          <w:numId w:val="9"/>
        </w:numPr>
        <w:spacing w:before="120" w:after="120" w:line="240" w:lineRule="auto"/>
        <w:rPr>
          <w:rFonts w:asciiTheme="minorHAnsi" w:hAnsiTheme="minorHAnsi"/>
          <w:szCs w:val="22"/>
        </w:rPr>
      </w:pPr>
      <w:r w:rsidRPr="00EC72AC">
        <w:rPr>
          <w:rFonts w:asciiTheme="minorHAnsi" w:hAnsiTheme="minorHAnsi"/>
          <w:b/>
          <w:szCs w:val="22"/>
        </w:rPr>
        <w:t>Step 3:  Programs identify contracts for in-depth review based on following criteria:</w:t>
      </w:r>
      <w:r w:rsidRPr="00EC72AC">
        <w:rPr>
          <w:rFonts w:asciiTheme="minorHAnsi" w:hAnsiTheme="minorHAnsi"/>
          <w:szCs w:val="22"/>
        </w:rPr>
        <w:t xml:space="preserve">  </w:t>
      </w:r>
    </w:p>
    <w:p w:rsidR="00060026" w:rsidRPr="00EC72AC" w:rsidRDefault="00060026" w:rsidP="00060026">
      <w:pPr>
        <w:pStyle w:val="BodyText"/>
        <w:numPr>
          <w:ilvl w:val="1"/>
          <w:numId w:val="9"/>
        </w:numPr>
        <w:spacing w:before="120" w:after="120" w:line="240" w:lineRule="auto"/>
        <w:rPr>
          <w:rFonts w:asciiTheme="minorHAnsi" w:hAnsiTheme="minorHAnsi"/>
          <w:szCs w:val="22"/>
        </w:rPr>
      </w:pPr>
      <w:r w:rsidRPr="00EC72AC">
        <w:rPr>
          <w:rFonts w:asciiTheme="minorHAnsi" w:hAnsiTheme="minorHAnsi"/>
          <w:szCs w:val="22"/>
        </w:rPr>
        <w:t>Based on the 10 criteria identified within the Consolidated Appropriations Act, DOE Programs will prioritize its selection of contracts for further review in the following order:</w:t>
      </w:r>
    </w:p>
    <w:p w:rsidR="00060026" w:rsidRPr="00EC72AC" w:rsidRDefault="00060026" w:rsidP="00060026">
      <w:pPr>
        <w:pStyle w:val="BodyText"/>
        <w:numPr>
          <w:ilvl w:val="2"/>
          <w:numId w:val="9"/>
        </w:numPr>
        <w:spacing w:before="120" w:after="120" w:line="240" w:lineRule="auto"/>
        <w:rPr>
          <w:rFonts w:asciiTheme="minorHAnsi" w:hAnsiTheme="minorHAnsi"/>
          <w:szCs w:val="22"/>
        </w:rPr>
      </w:pPr>
      <w:r w:rsidRPr="00EC72AC">
        <w:rPr>
          <w:rFonts w:asciiTheme="minorHAnsi" w:hAnsiTheme="minorHAnsi"/>
          <w:szCs w:val="22"/>
        </w:rPr>
        <w:t>Tier 1:  Potential for IG performance by contractors;</w:t>
      </w:r>
    </w:p>
    <w:p w:rsidR="00060026" w:rsidRPr="00EC72AC" w:rsidRDefault="00060026" w:rsidP="00060026">
      <w:pPr>
        <w:pStyle w:val="BodyText"/>
        <w:numPr>
          <w:ilvl w:val="2"/>
          <w:numId w:val="9"/>
        </w:numPr>
        <w:spacing w:before="120" w:after="120" w:line="240" w:lineRule="auto"/>
        <w:rPr>
          <w:rFonts w:asciiTheme="minorHAnsi" w:hAnsiTheme="minorHAnsi"/>
          <w:szCs w:val="22"/>
        </w:rPr>
      </w:pPr>
      <w:r w:rsidRPr="00EC72AC">
        <w:rPr>
          <w:rFonts w:asciiTheme="minorHAnsi" w:hAnsiTheme="minorHAnsi"/>
          <w:szCs w:val="22"/>
        </w:rPr>
        <w:t>Tier 2:  Contracts providing services classified as special interest functions;</w:t>
      </w:r>
    </w:p>
    <w:p w:rsidR="00060026" w:rsidRPr="00EC72AC" w:rsidRDefault="00060026" w:rsidP="00060026">
      <w:pPr>
        <w:pStyle w:val="BodyText"/>
        <w:numPr>
          <w:ilvl w:val="2"/>
          <w:numId w:val="9"/>
        </w:numPr>
        <w:spacing w:before="120" w:after="120" w:line="240" w:lineRule="auto"/>
        <w:rPr>
          <w:rFonts w:asciiTheme="minorHAnsi" w:hAnsiTheme="minorHAnsi"/>
          <w:szCs w:val="22"/>
        </w:rPr>
      </w:pPr>
      <w:r w:rsidRPr="00EC72AC">
        <w:rPr>
          <w:rFonts w:asciiTheme="minorHAnsi" w:hAnsiTheme="minorHAnsi"/>
          <w:szCs w:val="22"/>
        </w:rPr>
        <w:t xml:space="preserve">Tier 3:  Contracts that do </w:t>
      </w:r>
      <w:r w:rsidRPr="00EC72AC">
        <w:rPr>
          <w:rFonts w:asciiTheme="minorHAnsi" w:hAnsiTheme="minorHAnsi"/>
          <w:i/>
          <w:szCs w:val="22"/>
        </w:rPr>
        <w:t>not</w:t>
      </w:r>
      <w:r w:rsidRPr="00EC72AC">
        <w:rPr>
          <w:rFonts w:asciiTheme="minorHAnsi" w:hAnsiTheme="minorHAnsi"/>
          <w:szCs w:val="22"/>
        </w:rPr>
        <w:t xml:space="preserve"> include special interest functions, but were awarded on a non-competitive basis; and</w:t>
      </w:r>
    </w:p>
    <w:p w:rsidR="00060026" w:rsidRPr="00EC72AC" w:rsidRDefault="00060026" w:rsidP="00060026">
      <w:pPr>
        <w:pStyle w:val="BodyText"/>
        <w:numPr>
          <w:ilvl w:val="2"/>
          <w:numId w:val="9"/>
        </w:numPr>
        <w:spacing w:before="120" w:after="120" w:line="240" w:lineRule="auto"/>
        <w:rPr>
          <w:rFonts w:asciiTheme="minorHAnsi" w:hAnsiTheme="minorHAnsi"/>
          <w:szCs w:val="22"/>
        </w:rPr>
      </w:pPr>
      <w:r w:rsidRPr="00EC72AC">
        <w:rPr>
          <w:rFonts w:asciiTheme="minorHAnsi" w:hAnsiTheme="minorHAnsi"/>
          <w:szCs w:val="22"/>
        </w:rPr>
        <w:t xml:space="preserve">Tier 4:  Contracts that do </w:t>
      </w:r>
      <w:r w:rsidRPr="00EC72AC">
        <w:rPr>
          <w:rFonts w:asciiTheme="minorHAnsi" w:hAnsiTheme="minorHAnsi"/>
          <w:i/>
          <w:szCs w:val="22"/>
        </w:rPr>
        <w:t>not</w:t>
      </w:r>
      <w:r w:rsidRPr="00EC72AC">
        <w:rPr>
          <w:rFonts w:asciiTheme="minorHAnsi" w:hAnsiTheme="minorHAnsi"/>
          <w:szCs w:val="22"/>
        </w:rPr>
        <w:t xml:space="preserve"> include special interest functions, but meet any one of the remaining designated criteria.</w:t>
      </w:r>
    </w:p>
    <w:p w:rsidR="00060026" w:rsidRPr="00EC72AC" w:rsidRDefault="00060026" w:rsidP="00060026">
      <w:pPr>
        <w:pStyle w:val="BodyText"/>
        <w:numPr>
          <w:ilvl w:val="0"/>
          <w:numId w:val="9"/>
        </w:numPr>
        <w:spacing w:before="120" w:after="120" w:line="240" w:lineRule="auto"/>
        <w:rPr>
          <w:rFonts w:asciiTheme="minorHAnsi" w:hAnsiTheme="minorHAnsi"/>
          <w:szCs w:val="22"/>
        </w:rPr>
      </w:pPr>
      <w:r w:rsidRPr="00EC72AC">
        <w:rPr>
          <w:rFonts w:asciiTheme="minorHAnsi" w:hAnsiTheme="minorHAnsi"/>
          <w:b/>
          <w:szCs w:val="22"/>
        </w:rPr>
        <w:t>Step 4:  Programs evaluate contracts in accordance with policy and guidance.</w:t>
      </w:r>
    </w:p>
    <w:p w:rsidR="00060026" w:rsidRPr="00EC72AC" w:rsidRDefault="00060026" w:rsidP="00060026">
      <w:pPr>
        <w:pStyle w:val="BodyText"/>
        <w:numPr>
          <w:ilvl w:val="0"/>
          <w:numId w:val="9"/>
        </w:numPr>
        <w:spacing w:before="120" w:after="120" w:line="240" w:lineRule="auto"/>
        <w:rPr>
          <w:rFonts w:asciiTheme="minorHAnsi" w:hAnsiTheme="minorHAnsi"/>
          <w:szCs w:val="22"/>
        </w:rPr>
      </w:pPr>
      <w:r w:rsidRPr="00EC72AC">
        <w:rPr>
          <w:rFonts w:asciiTheme="minorHAnsi" w:hAnsiTheme="minorHAnsi"/>
          <w:b/>
          <w:szCs w:val="22"/>
        </w:rPr>
        <w:t>Step 5:  Programs report results of evaluation to APM for consolidation.</w:t>
      </w:r>
    </w:p>
    <w:p w:rsidR="00060026" w:rsidRPr="00EC72AC" w:rsidRDefault="00060026" w:rsidP="00060026">
      <w:pPr>
        <w:pStyle w:val="BodyText"/>
        <w:numPr>
          <w:ilvl w:val="0"/>
          <w:numId w:val="9"/>
        </w:numPr>
        <w:spacing w:before="120" w:after="120" w:line="240" w:lineRule="auto"/>
        <w:rPr>
          <w:rFonts w:asciiTheme="minorHAnsi" w:hAnsiTheme="minorHAnsi"/>
          <w:szCs w:val="22"/>
        </w:rPr>
      </w:pPr>
      <w:r w:rsidRPr="00EC72AC">
        <w:rPr>
          <w:rFonts w:asciiTheme="minorHAnsi" w:hAnsiTheme="minorHAnsi"/>
          <w:b/>
          <w:szCs w:val="22"/>
        </w:rPr>
        <w:t xml:space="preserve">Step 6:  </w:t>
      </w:r>
      <w:r w:rsidRPr="000D4ECA">
        <w:rPr>
          <w:rFonts w:asciiTheme="minorHAnsi" w:hAnsiTheme="minorHAnsi"/>
          <w:b/>
          <w:szCs w:val="22"/>
        </w:rPr>
        <w:t>APM</w:t>
      </w:r>
      <w:r w:rsidRPr="00EC72AC">
        <w:rPr>
          <w:rFonts w:asciiTheme="minorHAnsi" w:hAnsiTheme="minorHAnsi"/>
          <w:b/>
          <w:szCs w:val="22"/>
        </w:rPr>
        <w:t xml:space="preserve"> reports consolidated results of analysis to OMB/OFPP.</w:t>
      </w:r>
      <w:r w:rsidRPr="00EC72AC">
        <w:rPr>
          <w:rFonts w:asciiTheme="minorHAnsi" w:hAnsiTheme="minorHAnsi"/>
          <w:szCs w:val="22"/>
        </w:rPr>
        <w:t xml:space="preserve">  </w:t>
      </w:r>
    </w:p>
    <w:p w:rsidR="00BF3529" w:rsidRDefault="00FB66A3" w:rsidP="00FB66A3">
      <w:pPr>
        <w:pStyle w:val="BodyText"/>
        <w:spacing w:before="120" w:after="120" w:line="240" w:lineRule="auto"/>
        <w:rPr>
          <w:rFonts w:asciiTheme="minorHAnsi" w:hAnsiTheme="minorHAnsi"/>
          <w:szCs w:val="22"/>
        </w:rPr>
      </w:pPr>
      <w:r>
        <w:rPr>
          <w:rFonts w:asciiTheme="minorHAnsi" w:hAnsiTheme="minorHAnsi"/>
          <w:szCs w:val="22"/>
        </w:rPr>
        <w:t>T</w:t>
      </w:r>
      <w:r w:rsidRPr="00FB66A3">
        <w:rPr>
          <w:rFonts w:asciiTheme="minorHAnsi" w:hAnsiTheme="minorHAnsi"/>
          <w:szCs w:val="22"/>
        </w:rPr>
        <w:t>he senior agency management official who is accountable for the development of agency policies, procedures, and training associated with OFPP Policy Letter 11-01 addressing the performance of inherently governmental and critical functions (this designation is already required by section 5-4(e) of the Policy Letter)</w:t>
      </w:r>
      <w:r>
        <w:rPr>
          <w:rFonts w:asciiTheme="minorHAnsi" w:hAnsiTheme="minorHAnsi"/>
          <w:szCs w:val="22"/>
        </w:rPr>
        <w:t xml:space="preserve"> is </w:t>
      </w:r>
      <w:r w:rsidRPr="00FB66A3">
        <w:rPr>
          <w:rFonts w:asciiTheme="minorHAnsi" w:hAnsiTheme="minorHAnsi"/>
          <w:b/>
          <w:szCs w:val="22"/>
        </w:rPr>
        <w:t>Ingrid Kolb, Director, Office of Management</w:t>
      </w:r>
      <w:r>
        <w:rPr>
          <w:rFonts w:asciiTheme="minorHAnsi" w:hAnsiTheme="minorHAnsi"/>
          <w:szCs w:val="22"/>
        </w:rPr>
        <w:t>.</w:t>
      </w:r>
    </w:p>
    <w:p w:rsidR="00FB66A3" w:rsidRDefault="00FB66A3" w:rsidP="00FB66A3">
      <w:pPr>
        <w:pStyle w:val="BodyText"/>
        <w:spacing w:before="120" w:after="120" w:line="240" w:lineRule="auto"/>
        <w:rPr>
          <w:rFonts w:asciiTheme="minorHAnsi" w:hAnsiTheme="minorHAnsi"/>
          <w:b/>
          <w:szCs w:val="22"/>
        </w:rPr>
      </w:pPr>
      <w:r>
        <w:rPr>
          <w:rFonts w:asciiTheme="minorHAnsi" w:hAnsiTheme="minorHAnsi"/>
          <w:szCs w:val="22"/>
        </w:rPr>
        <w:t>T</w:t>
      </w:r>
      <w:r w:rsidRPr="00FB66A3">
        <w:rPr>
          <w:rFonts w:asciiTheme="minorHAnsi" w:hAnsiTheme="minorHAnsi"/>
          <w:szCs w:val="22"/>
        </w:rPr>
        <w:t>he official who is responsible for ensuring appropriate internal management attention is given to the development and analysis of service contract inventories, if different than the official named in (1) above</w:t>
      </w:r>
      <w:r>
        <w:rPr>
          <w:rFonts w:asciiTheme="minorHAnsi" w:hAnsiTheme="minorHAnsi"/>
          <w:szCs w:val="22"/>
        </w:rPr>
        <w:t xml:space="preserve"> is </w:t>
      </w:r>
      <w:r w:rsidRPr="00FB66A3">
        <w:rPr>
          <w:rFonts w:asciiTheme="minorHAnsi" w:hAnsiTheme="minorHAnsi"/>
          <w:b/>
          <w:szCs w:val="22"/>
        </w:rPr>
        <w:t>Ingrid Kolb, Director, Office of Management</w:t>
      </w:r>
      <w:r>
        <w:rPr>
          <w:rFonts w:asciiTheme="minorHAnsi" w:hAnsiTheme="minorHAnsi"/>
          <w:b/>
          <w:szCs w:val="22"/>
        </w:rPr>
        <w:t>.</w:t>
      </w:r>
    </w:p>
    <w:p w:rsidR="00FB66A3" w:rsidRPr="00EC72AC" w:rsidRDefault="00FB66A3" w:rsidP="00FB66A3">
      <w:pPr>
        <w:pStyle w:val="BodyText"/>
        <w:spacing w:before="120" w:after="120" w:line="240" w:lineRule="auto"/>
        <w:rPr>
          <w:rFonts w:asciiTheme="minorHAnsi" w:hAnsiTheme="minorHAnsi"/>
          <w:szCs w:val="22"/>
        </w:rPr>
      </w:pPr>
      <w:r>
        <w:rPr>
          <w:rFonts w:asciiTheme="minorHAnsi" w:hAnsiTheme="minorHAnsi"/>
          <w:szCs w:val="22"/>
        </w:rPr>
        <w:t xml:space="preserve">The </w:t>
      </w:r>
      <w:r w:rsidRPr="00FB66A3">
        <w:rPr>
          <w:rFonts w:asciiTheme="minorHAnsi" w:hAnsiTheme="minorHAnsi"/>
          <w:szCs w:val="22"/>
        </w:rPr>
        <w:t xml:space="preserve">individual who can serve on the working group </w:t>
      </w:r>
      <w:r>
        <w:rPr>
          <w:rFonts w:asciiTheme="minorHAnsi" w:hAnsiTheme="minorHAnsi"/>
          <w:szCs w:val="22"/>
        </w:rPr>
        <w:t>is Jeff Davis, Procurement Analyst (</w:t>
      </w:r>
      <w:hyperlink r:id="rId18" w:history="1">
        <w:r w:rsidRPr="00693B02">
          <w:rPr>
            <w:rStyle w:val="Hyperlink"/>
            <w:rFonts w:asciiTheme="minorHAnsi" w:hAnsiTheme="minorHAnsi"/>
            <w:szCs w:val="22"/>
          </w:rPr>
          <w:t>jeff.davis@hq.doe.gov</w:t>
        </w:r>
      </w:hyperlink>
      <w:r>
        <w:rPr>
          <w:rFonts w:asciiTheme="minorHAnsi" w:hAnsiTheme="minorHAnsi"/>
          <w:szCs w:val="22"/>
        </w:rPr>
        <w:t>, (202)287-1877).</w:t>
      </w:r>
    </w:p>
    <w:sectPr w:rsidR="00FB66A3" w:rsidRPr="00EC72AC" w:rsidSect="00A6373F">
      <w:pgSz w:w="12242" w:h="15842" w:code="1"/>
      <w:pgMar w:top="1440" w:right="1440" w:bottom="1440" w:left="1440"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15A" w:rsidRDefault="00C4115A">
      <w:r>
        <w:separator/>
      </w:r>
    </w:p>
  </w:endnote>
  <w:endnote w:type="continuationSeparator" w:id="0">
    <w:p w:rsidR="00C4115A" w:rsidRDefault="00C411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5A" w:rsidRDefault="00C4115A">
    <w:pPr>
      <w:pStyle w:val="Footer"/>
      <w:pBdr>
        <w:top w:val="single" w:sz="4" w:space="1" w:color="D9D9D9" w:themeColor="background1" w:themeShade="D9"/>
      </w:pBdr>
      <w:jc w:val="right"/>
    </w:pPr>
  </w:p>
  <w:p w:rsidR="00C4115A" w:rsidRDefault="00C4115A" w:rsidP="004043BF">
    <w:pPr>
      <w:pStyle w:val="Footer"/>
    </w:pPr>
  </w:p>
  <w:p w:rsidR="00C4115A" w:rsidRDefault="00C411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44262"/>
      <w:docPartObj>
        <w:docPartGallery w:val="Page Numbers (Bottom of Page)"/>
        <w:docPartUnique/>
      </w:docPartObj>
    </w:sdtPr>
    <w:sdtEndPr>
      <w:rPr>
        <w:color w:val="7F7F7F" w:themeColor="background1" w:themeShade="7F"/>
        <w:spacing w:val="60"/>
      </w:rPr>
    </w:sdtEndPr>
    <w:sdtContent>
      <w:p w:rsidR="00C4115A" w:rsidRDefault="00C4115A" w:rsidP="002117EC">
        <w:pPr>
          <w:pStyle w:val="Footer"/>
          <w:pBdr>
            <w:top w:val="single" w:sz="4" w:space="1" w:color="auto"/>
          </w:pBdr>
          <w:jc w:val="right"/>
        </w:pPr>
        <w:fldSimple w:instr=" PAGE   \* MERGEFORMAT ">
          <w:r w:rsidR="00DF4D8A">
            <w:rPr>
              <w:noProof/>
            </w:rPr>
            <w:t>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15A" w:rsidRDefault="00C4115A">
      <w:r>
        <w:separator/>
      </w:r>
    </w:p>
  </w:footnote>
  <w:footnote w:type="continuationSeparator" w:id="0">
    <w:p w:rsidR="00C4115A" w:rsidRDefault="00C4115A">
      <w:r>
        <w:continuationSeparator/>
      </w:r>
    </w:p>
  </w:footnote>
  <w:footnote w:id="1">
    <w:p w:rsidR="00C4115A" w:rsidRPr="00BF3529" w:rsidRDefault="00C4115A" w:rsidP="00E569EA">
      <w:pPr>
        <w:pStyle w:val="FootnoteText"/>
        <w:rPr>
          <w:rFonts w:asciiTheme="minorHAnsi" w:hAnsiTheme="minorHAnsi"/>
          <w:sz w:val="18"/>
          <w:szCs w:val="18"/>
        </w:rPr>
      </w:pPr>
      <w:r>
        <w:rPr>
          <w:rStyle w:val="FootnoteReference"/>
        </w:rPr>
        <w:footnoteRef/>
      </w:r>
      <w:r>
        <w:t xml:space="preserve"> </w:t>
      </w:r>
      <w:r w:rsidRPr="00BF3529">
        <w:rPr>
          <w:rFonts w:asciiTheme="minorHAnsi" w:hAnsiTheme="minorHAnsi"/>
          <w:sz w:val="18"/>
          <w:szCs w:val="18"/>
        </w:rPr>
        <w:t>OMB November 5, 2010 Memorandum titled Service Contract Inventories states such reports were authored by the Government Accountability Office, the Commission on Wartime Contracting, agency Inspectors General, Congressional Committees, and the Acquisition Law Panel (also referred to as the “SARA Panel”).</w:t>
      </w:r>
    </w:p>
  </w:footnote>
  <w:footnote w:id="2">
    <w:p w:rsidR="00C4115A" w:rsidRDefault="00C4115A" w:rsidP="00E569EA">
      <w:pPr>
        <w:pStyle w:val="FootnoteText"/>
        <w:rPr>
          <w:rFonts w:asciiTheme="minorHAnsi" w:hAnsiTheme="minorHAnsi"/>
          <w:sz w:val="18"/>
          <w:szCs w:val="18"/>
        </w:rPr>
      </w:pPr>
      <w:r>
        <w:rPr>
          <w:rStyle w:val="FootnoteReference"/>
        </w:rPr>
        <w:footnoteRef/>
      </w:r>
      <w:r>
        <w:t xml:space="preserve"> </w:t>
      </w:r>
      <w:r w:rsidRPr="00BF3529">
        <w:rPr>
          <w:rFonts w:asciiTheme="minorHAnsi" w:hAnsiTheme="minorHAnsi"/>
          <w:sz w:val="18"/>
          <w:szCs w:val="18"/>
        </w:rPr>
        <w:t>The PSCs designated as SIFs have been updated per OMB email from Daniel I. Gordon, Administrator for Federal Procurement Policy to the CAO Council, August 2011.</w:t>
      </w:r>
    </w:p>
    <w:p w:rsidR="00C4115A" w:rsidRPr="00BF3529" w:rsidRDefault="00C4115A" w:rsidP="00E569EA">
      <w:pPr>
        <w:pStyle w:val="FootnoteText"/>
        <w:rPr>
          <w:rFonts w:asciiTheme="minorHAnsi" w:hAnsiTheme="minorHAnsi"/>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5A" w:rsidRDefault="00C4115A" w:rsidP="000E5545">
    <w:pPr>
      <w:pStyle w:val="Header"/>
      <w:pBdr>
        <w:bottom w:val="single" w:sz="4" w:space="1" w:color="auto"/>
      </w:pBdr>
      <w:tabs>
        <w:tab w:val="clear" w:pos="8562"/>
        <w:tab w:val="right" w:pos="9360"/>
        <w:tab w:val="right" w:pos="12960"/>
      </w:tabs>
    </w:pPr>
    <w:r w:rsidRPr="001248A4">
      <w:t>FY</w:t>
    </w:r>
    <w:r>
      <w:t xml:space="preserve"> </w:t>
    </w:r>
    <w:r w:rsidRPr="001248A4">
      <w:t>201</w:t>
    </w:r>
    <w:r>
      <w:t>2</w:t>
    </w:r>
    <w:r w:rsidRPr="001248A4">
      <w:t xml:space="preserve"> Service Contract</w:t>
    </w:r>
    <w:r>
      <w:t xml:space="preserve"> Inventory </w:t>
    </w:r>
    <w:r w:rsidRPr="001248A4">
      <w:t>Analysis</w:t>
    </w:r>
    <w:r>
      <w:tab/>
      <w:t>Department of Energy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5A" w:rsidRDefault="00C4115A" w:rsidP="00AB213F">
    <w:pPr>
      <w:pStyle w:val="Header"/>
      <w:pBdr>
        <w:bottom w:val="single" w:sz="4" w:space="1" w:color="auto"/>
      </w:pBdr>
      <w:tabs>
        <w:tab w:val="clear" w:pos="8562"/>
        <w:tab w:val="right" w:pos="9360"/>
      </w:tabs>
    </w:pPr>
    <w:r w:rsidRPr="00EB4966">
      <w:t>FY</w:t>
    </w:r>
    <w:r>
      <w:t xml:space="preserve"> </w:t>
    </w:r>
    <w:r w:rsidRPr="00EB4966">
      <w:t>201</w:t>
    </w:r>
    <w:r>
      <w:t>2</w:t>
    </w:r>
    <w:r w:rsidRPr="00EB4966">
      <w:t xml:space="preserve"> Service Contract Inventory Analysis</w:t>
    </w:r>
    <w:r w:rsidRPr="00EB4966">
      <w:tab/>
      <w:t>Department of Energy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5A" w:rsidRDefault="00C4115A" w:rsidP="000E5545">
    <w:pPr>
      <w:pStyle w:val="Header"/>
      <w:pBdr>
        <w:bottom w:val="single" w:sz="4" w:space="1" w:color="auto"/>
      </w:pBdr>
      <w:tabs>
        <w:tab w:val="clear" w:pos="8562"/>
        <w:tab w:val="right" w:pos="9360"/>
        <w:tab w:val="right" w:pos="12960"/>
      </w:tabs>
    </w:pPr>
    <w:r w:rsidRPr="001248A4">
      <w:t>FY</w:t>
    </w:r>
    <w:r>
      <w:t xml:space="preserve"> </w:t>
    </w:r>
    <w:r w:rsidRPr="001248A4">
      <w:t>201</w:t>
    </w:r>
    <w:r>
      <w:t>2</w:t>
    </w:r>
    <w:r w:rsidRPr="001248A4">
      <w:t xml:space="preserve"> Service Contract</w:t>
    </w:r>
    <w:r>
      <w:t xml:space="preserve"> Inventory </w:t>
    </w:r>
    <w:r w:rsidRPr="001248A4">
      <w:t>Analysis</w:t>
    </w:r>
    <w:r>
      <w:tab/>
      <w:t>Department of Energy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5A" w:rsidRDefault="00C4115A" w:rsidP="000E5545">
    <w:pPr>
      <w:pStyle w:val="Header"/>
      <w:pBdr>
        <w:bottom w:val="single" w:sz="4" w:space="1" w:color="auto"/>
      </w:pBdr>
      <w:tabs>
        <w:tab w:val="clear" w:pos="8562"/>
        <w:tab w:val="right" w:pos="9360"/>
        <w:tab w:val="right" w:pos="12960"/>
      </w:tabs>
    </w:pPr>
    <w:r w:rsidRPr="001248A4">
      <w:t>FY</w:t>
    </w:r>
    <w:r>
      <w:t xml:space="preserve"> </w:t>
    </w:r>
    <w:r w:rsidRPr="001248A4">
      <w:t>201</w:t>
    </w:r>
    <w:r>
      <w:t>2</w:t>
    </w:r>
    <w:r w:rsidRPr="001248A4">
      <w:t xml:space="preserve"> Service Contract</w:t>
    </w:r>
    <w:r>
      <w:t xml:space="preserve"> Inventory </w:t>
    </w:r>
    <w:r w:rsidRPr="001248A4">
      <w:t>Analysis</w:t>
    </w:r>
    <w:r>
      <w:tab/>
      <w:t>Department of Energy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19C637A"/>
    <w:lvl w:ilvl="0">
      <w:start w:val="1"/>
      <w:numFmt w:val="decimal"/>
      <w:lvlText w:val="%1."/>
      <w:lvlJc w:val="left"/>
      <w:pPr>
        <w:tabs>
          <w:tab w:val="num" w:pos="360"/>
        </w:tabs>
        <w:ind w:left="360" w:hanging="360"/>
      </w:pPr>
    </w:lvl>
  </w:abstractNum>
  <w:abstractNum w:abstractNumId="1">
    <w:nsid w:val="048D3DD7"/>
    <w:multiLevelType w:val="hybridMultilevel"/>
    <w:tmpl w:val="2074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14070A7C"/>
    <w:multiLevelType w:val="hybridMultilevel"/>
    <w:tmpl w:val="6248F192"/>
    <w:lvl w:ilvl="0" w:tplc="8A265C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A2C1B"/>
    <w:multiLevelType w:val="multilevel"/>
    <w:tmpl w:val="ABBA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ACD67BC"/>
    <w:multiLevelType w:val="hybridMultilevel"/>
    <w:tmpl w:val="A2EA56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1544C3B"/>
    <w:multiLevelType w:val="hybridMultilevel"/>
    <w:tmpl w:val="4AB2DB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256FF2"/>
    <w:multiLevelType w:val="hybridMultilevel"/>
    <w:tmpl w:val="EBC0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34F4426"/>
    <w:multiLevelType w:val="hybridMultilevel"/>
    <w:tmpl w:val="2C1A40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C714C5"/>
    <w:multiLevelType w:val="hybridMultilevel"/>
    <w:tmpl w:val="EA9AD2E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331018B3"/>
    <w:multiLevelType w:val="hybridMultilevel"/>
    <w:tmpl w:val="58A64520"/>
    <w:lvl w:ilvl="0" w:tplc="2FF651B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nsid w:val="3A690285"/>
    <w:multiLevelType w:val="hybridMultilevel"/>
    <w:tmpl w:val="AC4A22D2"/>
    <w:lvl w:ilvl="0" w:tplc="6756CF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9658F7"/>
    <w:multiLevelType w:val="hybridMultilevel"/>
    <w:tmpl w:val="A1245224"/>
    <w:lvl w:ilvl="0" w:tplc="867E057C">
      <w:start w:val="1"/>
      <w:numFmt w:val="bullet"/>
      <w:lvlText w:val="•"/>
      <w:lvlJc w:val="left"/>
      <w:pPr>
        <w:tabs>
          <w:tab w:val="num" w:pos="720"/>
        </w:tabs>
        <w:ind w:left="720" w:hanging="360"/>
      </w:pPr>
      <w:rPr>
        <w:rFonts w:ascii="Times New Roman" w:hAnsi="Times New Roman" w:hint="default"/>
      </w:rPr>
    </w:lvl>
    <w:lvl w:ilvl="1" w:tplc="D8967B02" w:tentative="1">
      <w:start w:val="1"/>
      <w:numFmt w:val="bullet"/>
      <w:lvlText w:val="•"/>
      <w:lvlJc w:val="left"/>
      <w:pPr>
        <w:tabs>
          <w:tab w:val="num" w:pos="1440"/>
        </w:tabs>
        <w:ind w:left="1440" w:hanging="360"/>
      </w:pPr>
      <w:rPr>
        <w:rFonts w:ascii="Times New Roman" w:hAnsi="Times New Roman" w:hint="default"/>
      </w:rPr>
    </w:lvl>
    <w:lvl w:ilvl="2" w:tplc="A1C22832" w:tentative="1">
      <w:start w:val="1"/>
      <w:numFmt w:val="bullet"/>
      <w:lvlText w:val="•"/>
      <w:lvlJc w:val="left"/>
      <w:pPr>
        <w:tabs>
          <w:tab w:val="num" w:pos="2160"/>
        </w:tabs>
        <w:ind w:left="2160" w:hanging="360"/>
      </w:pPr>
      <w:rPr>
        <w:rFonts w:ascii="Times New Roman" w:hAnsi="Times New Roman" w:hint="default"/>
      </w:rPr>
    </w:lvl>
    <w:lvl w:ilvl="3" w:tplc="54023DAA" w:tentative="1">
      <w:start w:val="1"/>
      <w:numFmt w:val="bullet"/>
      <w:lvlText w:val="•"/>
      <w:lvlJc w:val="left"/>
      <w:pPr>
        <w:tabs>
          <w:tab w:val="num" w:pos="2880"/>
        </w:tabs>
        <w:ind w:left="2880" w:hanging="360"/>
      </w:pPr>
      <w:rPr>
        <w:rFonts w:ascii="Times New Roman" w:hAnsi="Times New Roman" w:hint="default"/>
      </w:rPr>
    </w:lvl>
    <w:lvl w:ilvl="4" w:tplc="2BACCAAA" w:tentative="1">
      <w:start w:val="1"/>
      <w:numFmt w:val="bullet"/>
      <w:lvlText w:val="•"/>
      <w:lvlJc w:val="left"/>
      <w:pPr>
        <w:tabs>
          <w:tab w:val="num" w:pos="3600"/>
        </w:tabs>
        <w:ind w:left="3600" w:hanging="360"/>
      </w:pPr>
      <w:rPr>
        <w:rFonts w:ascii="Times New Roman" w:hAnsi="Times New Roman" w:hint="default"/>
      </w:rPr>
    </w:lvl>
    <w:lvl w:ilvl="5" w:tplc="985ED9B8" w:tentative="1">
      <w:start w:val="1"/>
      <w:numFmt w:val="bullet"/>
      <w:lvlText w:val="•"/>
      <w:lvlJc w:val="left"/>
      <w:pPr>
        <w:tabs>
          <w:tab w:val="num" w:pos="4320"/>
        </w:tabs>
        <w:ind w:left="4320" w:hanging="360"/>
      </w:pPr>
      <w:rPr>
        <w:rFonts w:ascii="Times New Roman" w:hAnsi="Times New Roman" w:hint="default"/>
      </w:rPr>
    </w:lvl>
    <w:lvl w:ilvl="6" w:tplc="22928D30" w:tentative="1">
      <w:start w:val="1"/>
      <w:numFmt w:val="bullet"/>
      <w:lvlText w:val="•"/>
      <w:lvlJc w:val="left"/>
      <w:pPr>
        <w:tabs>
          <w:tab w:val="num" w:pos="5040"/>
        </w:tabs>
        <w:ind w:left="5040" w:hanging="360"/>
      </w:pPr>
      <w:rPr>
        <w:rFonts w:ascii="Times New Roman" w:hAnsi="Times New Roman" w:hint="default"/>
      </w:rPr>
    </w:lvl>
    <w:lvl w:ilvl="7" w:tplc="D8F85FFE" w:tentative="1">
      <w:start w:val="1"/>
      <w:numFmt w:val="bullet"/>
      <w:lvlText w:val="•"/>
      <w:lvlJc w:val="left"/>
      <w:pPr>
        <w:tabs>
          <w:tab w:val="num" w:pos="5760"/>
        </w:tabs>
        <w:ind w:left="5760" w:hanging="360"/>
      </w:pPr>
      <w:rPr>
        <w:rFonts w:ascii="Times New Roman" w:hAnsi="Times New Roman" w:hint="default"/>
      </w:rPr>
    </w:lvl>
    <w:lvl w:ilvl="8" w:tplc="1B5E695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7F1959"/>
    <w:multiLevelType w:val="hybridMultilevel"/>
    <w:tmpl w:val="D4229E2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5B82984"/>
    <w:multiLevelType w:val="hybridMultilevel"/>
    <w:tmpl w:val="EFF0876E"/>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17">
    <w:nsid w:val="590D015A"/>
    <w:multiLevelType w:val="hybridMultilevel"/>
    <w:tmpl w:val="2D7439C0"/>
    <w:lvl w:ilvl="0" w:tplc="3BEC2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981637B"/>
    <w:multiLevelType w:val="hybridMultilevel"/>
    <w:tmpl w:val="5ACA678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9">
    <w:nsid w:val="59CE023D"/>
    <w:multiLevelType w:val="hybridMultilevel"/>
    <w:tmpl w:val="2D22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C036EB"/>
    <w:multiLevelType w:val="hybridMultilevel"/>
    <w:tmpl w:val="0DF49FFC"/>
    <w:lvl w:ilvl="0" w:tplc="04090001">
      <w:start w:val="1"/>
      <w:numFmt w:val="bullet"/>
      <w:lvlText w:val=""/>
      <w:lvlJc w:val="left"/>
      <w:pPr>
        <w:ind w:left="6453" w:hanging="360"/>
      </w:pPr>
      <w:rPr>
        <w:rFonts w:ascii="Symbol" w:hAnsi="Symbol" w:hint="default"/>
      </w:rPr>
    </w:lvl>
    <w:lvl w:ilvl="1" w:tplc="04090003" w:tentative="1">
      <w:start w:val="1"/>
      <w:numFmt w:val="bullet"/>
      <w:lvlText w:val="o"/>
      <w:lvlJc w:val="left"/>
      <w:pPr>
        <w:ind w:left="7173" w:hanging="360"/>
      </w:pPr>
      <w:rPr>
        <w:rFonts w:ascii="Courier New" w:hAnsi="Courier New" w:cs="Courier New" w:hint="default"/>
      </w:rPr>
    </w:lvl>
    <w:lvl w:ilvl="2" w:tplc="04090005" w:tentative="1">
      <w:start w:val="1"/>
      <w:numFmt w:val="bullet"/>
      <w:lvlText w:val=""/>
      <w:lvlJc w:val="left"/>
      <w:pPr>
        <w:ind w:left="7893" w:hanging="360"/>
      </w:pPr>
      <w:rPr>
        <w:rFonts w:ascii="Wingdings" w:hAnsi="Wingdings" w:hint="default"/>
      </w:rPr>
    </w:lvl>
    <w:lvl w:ilvl="3" w:tplc="04090001" w:tentative="1">
      <w:start w:val="1"/>
      <w:numFmt w:val="bullet"/>
      <w:lvlText w:val=""/>
      <w:lvlJc w:val="left"/>
      <w:pPr>
        <w:ind w:left="8613" w:hanging="360"/>
      </w:pPr>
      <w:rPr>
        <w:rFonts w:ascii="Symbol" w:hAnsi="Symbol" w:hint="default"/>
      </w:rPr>
    </w:lvl>
    <w:lvl w:ilvl="4" w:tplc="04090003" w:tentative="1">
      <w:start w:val="1"/>
      <w:numFmt w:val="bullet"/>
      <w:lvlText w:val="o"/>
      <w:lvlJc w:val="left"/>
      <w:pPr>
        <w:ind w:left="9333" w:hanging="360"/>
      </w:pPr>
      <w:rPr>
        <w:rFonts w:ascii="Courier New" w:hAnsi="Courier New" w:cs="Courier New" w:hint="default"/>
      </w:rPr>
    </w:lvl>
    <w:lvl w:ilvl="5" w:tplc="04090005" w:tentative="1">
      <w:start w:val="1"/>
      <w:numFmt w:val="bullet"/>
      <w:lvlText w:val=""/>
      <w:lvlJc w:val="left"/>
      <w:pPr>
        <w:ind w:left="10053" w:hanging="360"/>
      </w:pPr>
      <w:rPr>
        <w:rFonts w:ascii="Wingdings" w:hAnsi="Wingdings" w:hint="default"/>
      </w:rPr>
    </w:lvl>
    <w:lvl w:ilvl="6" w:tplc="04090001" w:tentative="1">
      <w:start w:val="1"/>
      <w:numFmt w:val="bullet"/>
      <w:lvlText w:val=""/>
      <w:lvlJc w:val="left"/>
      <w:pPr>
        <w:ind w:left="10773" w:hanging="360"/>
      </w:pPr>
      <w:rPr>
        <w:rFonts w:ascii="Symbol" w:hAnsi="Symbol" w:hint="default"/>
      </w:rPr>
    </w:lvl>
    <w:lvl w:ilvl="7" w:tplc="04090003" w:tentative="1">
      <w:start w:val="1"/>
      <w:numFmt w:val="bullet"/>
      <w:lvlText w:val="o"/>
      <w:lvlJc w:val="left"/>
      <w:pPr>
        <w:ind w:left="11493" w:hanging="360"/>
      </w:pPr>
      <w:rPr>
        <w:rFonts w:ascii="Courier New" w:hAnsi="Courier New" w:cs="Courier New" w:hint="default"/>
      </w:rPr>
    </w:lvl>
    <w:lvl w:ilvl="8" w:tplc="04090005" w:tentative="1">
      <w:start w:val="1"/>
      <w:numFmt w:val="bullet"/>
      <w:lvlText w:val=""/>
      <w:lvlJc w:val="left"/>
      <w:pPr>
        <w:ind w:left="12213" w:hanging="360"/>
      </w:pPr>
      <w:rPr>
        <w:rFonts w:ascii="Wingdings" w:hAnsi="Wingdings" w:hint="default"/>
      </w:rPr>
    </w:lvl>
  </w:abstractNum>
  <w:abstractNum w:abstractNumId="21">
    <w:nsid w:val="5CFF6760"/>
    <w:multiLevelType w:val="hybridMultilevel"/>
    <w:tmpl w:val="3EEA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901F7C"/>
    <w:multiLevelType w:val="hybridMultilevel"/>
    <w:tmpl w:val="06C4E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633E2"/>
    <w:multiLevelType w:val="hybridMultilevel"/>
    <w:tmpl w:val="5338DF5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629B2F1A"/>
    <w:multiLevelType w:val="hybridMultilevel"/>
    <w:tmpl w:val="45C8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B506AB"/>
    <w:multiLevelType w:val="hybridMultilevel"/>
    <w:tmpl w:val="F27E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D17A8D"/>
    <w:multiLevelType w:val="hybridMultilevel"/>
    <w:tmpl w:val="6D5E1C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594E96"/>
    <w:multiLevelType w:val="multilevel"/>
    <w:tmpl w:val="4582193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nsid w:val="79767922"/>
    <w:multiLevelType w:val="hybridMultilevel"/>
    <w:tmpl w:val="BFA25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125DBA"/>
    <w:multiLevelType w:val="hybridMultilevel"/>
    <w:tmpl w:val="E4F65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7"/>
  </w:num>
  <w:num w:numId="4">
    <w:abstractNumId w:val="5"/>
  </w:num>
  <w:num w:numId="5">
    <w:abstractNumId w:val="10"/>
  </w:num>
  <w:num w:numId="6">
    <w:abstractNumId w:val="18"/>
  </w:num>
  <w:num w:numId="7">
    <w:abstractNumId w:val="7"/>
  </w:num>
  <w:num w:numId="8">
    <w:abstractNumId w:val="29"/>
  </w:num>
  <w:num w:numId="9">
    <w:abstractNumId w:val="22"/>
  </w:num>
  <w:num w:numId="1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6"/>
  </w:num>
  <w:num w:numId="13">
    <w:abstractNumId w:val="20"/>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8"/>
  </w:num>
  <w:num w:numId="18">
    <w:abstractNumId w:val="13"/>
  </w:num>
  <w:num w:numId="19">
    <w:abstractNumId w:val="3"/>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9"/>
  </w:num>
  <w:num w:numId="24">
    <w:abstractNumId w:val="23"/>
  </w:num>
  <w:num w:numId="25">
    <w:abstractNumId w:val="25"/>
  </w:num>
  <w:num w:numId="26">
    <w:abstractNumId w:val="1"/>
  </w:num>
  <w:num w:numId="27">
    <w:abstractNumId w:val="14"/>
  </w:num>
  <w:num w:numId="28">
    <w:abstractNumId w:val="4"/>
  </w:num>
  <w:num w:numId="29">
    <w:abstractNumId w:val="0"/>
  </w:num>
  <w:num w:numId="30">
    <w:abstractNumId w:val="17"/>
  </w:num>
  <w:num w:numId="31">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stylePaneFormatFilter w:val="3F01"/>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docVars>
    <w:docVar w:name="dv_confidentiality" w:val="© Grant Thornton LLP_x000D__x000A_All rights reserved_x000D__x000A_U.S. member firm of Grant Thornton International Ltd_x000D__x000A__x000D__x000A_This report is confidential. Unauthorized use of this report in whole or in part is strictly prohibited."/>
    <w:docVar w:name="dv_designation" w:val="Chartered Accountants"/>
    <w:docVar w:name="dv_logo_file" w:val="C:\Documents and Settings\US98547\Application Data\Microsoft\Templates\GTlogo-RGB-135.jpg"/>
    <w:docVar w:name="dv_page_header" w:val="Header"/>
    <w:docVar w:name="dv_partners" w:val="Name Surname_x000D__x000A_Name Surname"/>
    <w:docVar w:name="dv_select_office" w:val="FALSE"/>
    <w:docVar w:name="dv_senders_designation" w:val="For Grant Thornton International"/>
    <w:docVar w:name="dv_statement" w:val="X XX member firm of Grant Thornton International Limited"/>
    <w:docVar w:name="dv_trad_addr" w:val="Address Line 1_x000D__x000A_Address Line 2_x000D__x000A_Address Line 3_x000D__x000A_Address Line 4"/>
    <w:docVar w:name="dv_trad_fax" w:val="+XX (X)XX XXX XXXX"/>
    <w:docVar w:name="dv_trad_name" w:val="Grant Thornton LLP"/>
    <w:docVar w:name="dv_trad_tel" w:val="+XX (X)XX XXX XXXX"/>
    <w:docVar w:name="dv_trad_web" w:val="www.gtsample.com"/>
  </w:docVars>
  <w:rsids>
    <w:rsidRoot w:val="00351871"/>
    <w:rsid w:val="00004CD1"/>
    <w:rsid w:val="00011CE0"/>
    <w:rsid w:val="0001403C"/>
    <w:rsid w:val="00016591"/>
    <w:rsid w:val="00022B2E"/>
    <w:rsid w:val="00026782"/>
    <w:rsid w:val="00032C29"/>
    <w:rsid w:val="000404D6"/>
    <w:rsid w:val="00044575"/>
    <w:rsid w:val="00060026"/>
    <w:rsid w:val="00064D41"/>
    <w:rsid w:val="0006670B"/>
    <w:rsid w:val="000701DD"/>
    <w:rsid w:val="00071AF8"/>
    <w:rsid w:val="000764B4"/>
    <w:rsid w:val="000850D2"/>
    <w:rsid w:val="00090286"/>
    <w:rsid w:val="00090C51"/>
    <w:rsid w:val="00091AA5"/>
    <w:rsid w:val="000A4978"/>
    <w:rsid w:val="000A4BAF"/>
    <w:rsid w:val="000B09F1"/>
    <w:rsid w:val="000B0ED9"/>
    <w:rsid w:val="000B3ABB"/>
    <w:rsid w:val="000B467F"/>
    <w:rsid w:val="000B475C"/>
    <w:rsid w:val="000B5C26"/>
    <w:rsid w:val="000C1BD5"/>
    <w:rsid w:val="000C6778"/>
    <w:rsid w:val="000D06D5"/>
    <w:rsid w:val="000D1FA4"/>
    <w:rsid w:val="000D4ECA"/>
    <w:rsid w:val="000D618C"/>
    <w:rsid w:val="000E2290"/>
    <w:rsid w:val="000E4DD9"/>
    <w:rsid w:val="000E5545"/>
    <w:rsid w:val="000F4735"/>
    <w:rsid w:val="000F669C"/>
    <w:rsid w:val="000F67C1"/>
    <w:rsid w:val="00105718"/>
    <w:rsid w:val="00105BF4"/>
    <w:rsid w:val="00116181"/>
    <w:rsid w:val="00116E6A"/>
    <w:rsid w:val="00116EA7"/>
    <w:rsid w:val="0012331F"/>
    <w:rsid w:val="001248A4"/>
    <w:rsid w:val="001267EC"/>
    <w:rsid w:val="0013027B"/>
    <w:rsid w:val="00135E21"/>
    <w:rsid w:val="00137F56"/>
    <w:rsid w:val="00144B83"/>
    <w:rsid w:val="00145F8A"/>
    <w:rsid w:val="0015019C"/>
    <w:rsid w:val="00150A84"/>
    <w:rsid w:val="001615CF"/>
    <w:rsid w:val="00165FBD"/>
    <w:rsid w:val="00167D85"/>
    <w:rsid w:val="00175742"/>
    <w:rsid w:val="001809D9"/>
    <w:rsid w:val="00180ACA"/>
    <w:rsid w:val="001850B3"/>
    <w:rsid w:val="001878B4"/>
    <w:rsid w:val="0019266C"/>
    <w:rsid w:val="001956F7"/>
    <w:rsid w:val="001969D6"/>
    <w:rsid w:val="001A1BF8"/>
    <w:rsid w:val="001A6931"/>
    <w:rsid w:val="001A6F37"/>
    <w:rsid w:val="001B0572"/>
    <w:rsid w:val="001B1D3C"/>
    <w:rsid w:val="001B56BF"/>
    <w:rsid w:val="001B6D6D"/>
    <w:rsid w:val="001B7391"/>
    <w:rsid w:val="001C0ABE"/>
    <w:rsid w:val="001C16E7"/>
    <w:rsid w:val="001C551D"/>
    <w:rsid w:val="001D17D0"/>
    <w:rsid w:val="001D1931"/>
    <w:rsid w:val="001D1A4F"/>
    <w:rsid w:val="001D1D9E"/>
    <w:rsid w:val="001D4ECE"/>
    <w:rsid w:val="001E56B1"/>
    <w:rsid w:val="001E5724"/>
    <w:rsid w:val="001F0365"/>
    <w:rsid w:val="001F3D58"/>
    <w:rsid w:val="001F6DD3"/>
    <w:rsid w:val="00201EB6"/>
    <w:rsid w:val="002117EC"/>
    <w:rsid w:val="002132DA"/>
    <w:rsid w:val="00215284"/>
    <w:rsid w:val="002171BE"/>
    <w:rsid w:val="002225C2"/>
    <w:rsid w:val="002226A4"/>
    <w:rsid w:val="00222C25"/>
    <w:rsid w:val="00224A75"/>
    <w:rsid w:val="00226384"/>
    <w:rsid w:val="002271FA"/>
    <w:rsid w:val="00234170"/>
    <w:rsid w:val="002346CF"/>
    <w:rsid w:val="00235D4F"/>
    <w:rsid w:val="00236915"/>
    <w:rsid w:val="00237A04"/>
    <w:rsid w:val="002501B7"/>
    <w:rsid w:val="0025221A"/>
    <w:rsid w:val="00253326"/>
    <w:rsid w:val="002543AD"/>
    <w:rsid w:val="00256288"/>
    <w:rsid w:val="00261A29"/>
    <w:rsid w:val="0026624D"/>
    <w:rsid w:val="00271F90"/>
    <w:rsid w:val="00273921"/>
    <w:rsid w:val="00276276"/>
    <w:rsid w:val="00276429"/>
    <w:rsid w:val="00280007"/>
    <w:rsid w:val="002864A6"/>
    <w:rsid w:val="00286A39"/>
    <w:rsid w:val="002902F1"/>
    <w:rsid w:val="00294CC5"/>
    <w:rsid w:val="002961C6"/>
    <w:rsid w:val="0029674B"/>
    <w:rsid w:val="002A07AE"/>
    <w:rsid w:val="002A166D"/>
    <w:rsid w:val="002A2778"/>
    <w:rsid w:val="002A3D5D"/>
    <w:rsid w:val="002A4427"/>
    <w:rsid w:val="002C4793"/>
    <w:rsid w:val="002D2F38"/>
    <w:rsid w:val="002D3B2D"/>
    <w:rsid w:val="002E736E"/>
    <w:rsid w:val="00300499"/>
    <w:rsid w:val="003039E3"/>
    <w:rsid w:val="0030650C"/>
    <w:rsid w:val="00310527"/>
    <w:rsid w:val="00316533"/>
    <w:rsid w:val="003179AE"/>
    <w:rsid w:val="003257A9"/>
    <w:rsid w:val="00327CD1"/>
    <w:rsid w:val="00337186"/>
    <w:rsid w:val="00337E11"/>
    <w:rsid w:val="00344603"/>
    <w:rsid w:val="00346CAB"/>
    <w:rsid w:val="00346E7F"/>
    <w:rsid w:val="0035143D"/>
    <w:rsid w:val="00351871"/>
    <w:rsid w:val="00354A42"/>
    <w:rsid w:val="00363051"/>
    <w:rsid w:val="0037542D"/>
    <w:rsid w:val="00380A7C"/>
    <w:rsid w:val="00384C83"/>
    <w:rsid w:val="0038518B"/>
    <w:rsid w:val="003851C8"/>
    <w:rsid w:val="00385569"/>
    <w:rsid w:val="00387218"/>
    <w:rsid w:val="003878D0"/>
    <w:rsid w:val="00394AA1"/>
    <w:rsid w:val="00396FFA"/>
    <w:rsid w:val="003A3855"/>
    <w:rsid w:val="003A5654"/>
    <w:rsid w:val="003A6AB1"/>
    <w:rsid w:val="003A701B"/>
    <w:rsid w:val="003B1D43"/>
    <w:rsid w:val="003C1872"/>
    <w:rsid w:val="003C255F"/>
    <w:rsid w:val="003D1E3A"/>
    <w:rsid w:val="003D4B06"/>
    <w:rsid w:val="003E5165"/>
    <w:rsid w:val="003F1426"/>
    <w:rsid w:val="003F206D"/>
    <w:rsid w:val="003F65F1"/>
    <w:rsid w:val="00401F1A"/>
    <w:rsid w:val="00403F93"/>
    <w:rsid w:val="004043BF"/>
    <w:rsid w:val="00405B0C"/>
    <w:rsid w:val="00411748"/>
    <w:rsid w:val="00413761"/>
    <w:rsid w:val="00416C22"/>
    <w:rsid w:val="00422B46"/>
    <w:rsid w:val="00437D78"/>
    <w:rsid w:val="004457AE"/>
    <w:rsid w:val="00446A53"/>
    <w:rsid w:val="0045327E"/>
    <w:rsid w:val="0046489B"/>
    <w:rsid w:val="0048125B"/>
    <w:rsid w:val="0048251B"/>
    <w:rsid w:val="00483C98"/>
    <w:rsid w:val="004930DF"/>
    <w:rsid w:val="00496D5A"/>
    <w:rsid w:val="004A7A76"/>
    <w:rsid w:val="004B0A32"/>
    <w:rsid w:val="004B0B69"/>
    <w:rsid w:val="004B2671"/>
    <w:rsid w:val="004B2A7C"/>
    <w:rsid w:val="004B4BF6"/>
    <w:rsid w:val="004B6F09"/>
    <w:rsid w:val="004B7A4D"/>
    <w:rsid w:val="004C2904"/>
    <w:rsid w:val="004C3BDF"/>
    <w:rsid w:val="004C3DA0"/>
    <w:rsid w:val="004D4258"/>
    <w:rsid w:val="004D4358"/>
    <w:rsid w:val="004D5718"/>
    <w:rsid w:val="004D65EF"/>
    <w:rsid w:val="004D71E9"/>
    <w:rsid w:val="004D7347"/>
    <w:rsid w:val="004E2925"/>
    <w:rsid w:val="004F3DDB"/>
    <w:rsid w:val="00503485"/>
    <w:rsid w:val="0050648A"/>
    <w:rsid w:val="005074A8"/>
    <w:rsid w:val="005123B5"/>
    <w:rsid w:val="00516878"/>
    <w:rsid w:val="00521629"/>
    <w:rsid w:val="005220CB"/>
    <w:rsid w:val="00522452"/>
    <w:rsid w:val="00526170"/>
    <w:rsid w:val="00526F48"/>
    <w:rsid w:val="00530A30"/>
    <w:rsid w:val="00537F3A"/>
    <w:rsid w:val="00542AA3"/>
    <w:rsid w:val="005477C9"/>
    <w:rsid w:val="00556308"/>
    <w:rsid w:val="00557B78"/>
    <w:rsid w:val="00557FAA"/>
    <w:rsid w:val="005713AD"/>
    <w:rsid w:val="005717CC"/>
    <w:rsid w:val="005718B3"/>
    <w:rsid w:val="00572554"/>
    <w:rsid w:val="00577227"/>
    <w:rsid w:val="005857C5"/>
    <w:rsid w:val="00586328"/>
    <w:rsid w:val="005870C6"/>
    <w:rsid w:val="005905B6"/>
    <w:rsid w:val="00590BD8"/>
    <w:rsid w:val="0059123A"/>
    <w:rsid w:val="005915D8"/>
    <w:rsid w:val="00595F1F"/>
    <w:rsid w:val="005A2D44"/>
    <w:rsid w:val="005A3602"/>
    <w:rsid w:val="005B648F"/>
    <w:rsid w:val="005B774E"/>
    <w:rsid w:val="005C01A8"/>
    <w:rsid w:val="005C030F"/>
    <w:rsid w:val="005C5602"/>
    <w:rsid w:val="005D0351"/>
    <w:rsid w:val="005D24A2"/>
    <w:rsid w:val="005D68D0"/>
    <w:rsid w:val="005E278A"/>
    <w:rsid w:val="005E4EF5"/>
    <w:rsid w:val="005F245D"/>
    <w:rsid w:val="005F7CD0"/>
    <w:rsid w:val="00600FA1"/>
    <w:rsid w:val="00601D17"/>
    <w:rsid w:val="00602462"/>
    <w:rsid w:val="006031F1"/>
    <w:rsid w:val="00607D8F"/>
    <w:rsid w:val="00610ED7"/>
    <w:rsid w:val="00615831"/>
    <w:rsid w:val="00616001"/>
    <w:rsid w:val="006208B4"/>
    <w:rsid w:val="00621C8B"/>
    <w:rsid w:val="00621FC6"/>
    <w:rsid w:val="00624DF3"/>
    <w:rsid w:val="006270C9"/>
    <w:rsid w:val="00630B88"/>
    <w:rsid w:val="006314D8"/>
    <w:rsid w:val="00634335"/>
    <w:rsid w:val="00635CE5"/>
    <w:rsid w:val="00641759"/>
    <w:rsid w:val="00642404"/>
    <w:rsid w:val="00645D51"/>
    <w:rsid w:val="006544EE"/>
    <w:rsid w:val="00655390"/>
    <w:rsid w:val="0065762E"/>
    <w:rsid w:val="00665EFF"/>
    <w:rsid w:val="00670FBA"/>
    <w:rsid w:val="0068591B"/>
    <w:rsid w:val="00692F44"/>
    <w:rsid w:val="00692F65"/>
    <w:rsid w:val="006B051A"/>
    <w:rsid w:val="006B084E"/>
    <w:rsid w:val="006B536D"/>
    <w:rsid w:val="006C168A"/>
    <w:rsid w:val="006D44C3"/>
    <w:rsid w:val="006D4EF5"/>
    <w:rsid w:val="006D6624"/>
    <w:rsid w:val="006D6EB1"/>
    <w:rsid w:val="006D75F0"/>
    <w:rsid w:val="006E0151"/>
    <w:rsid w:val="006E5BA1"/>
    <w:rsid w:val="006F016B"/>
    <w:rsid w:val="006F3C7A"/>
    <w:rsid w:val="006F5879"/>
    <w:rsid w:val="00703524"/>
    <w:rsid w:val="0070640D"/>
    <w:rsid w:val="00707EB4"/>
    <w:rsid w:val="00710A69"/>
    <w:rsid w:val="00711793"/>
    <w:rsid w:val="0071452C"/>
    <w:rsid w:val="00714F40"/>
    <w:rsid w:val="0071795E"/>
    <w:rsid w:val="007234A3"/>
    <w:rsid w:val="00727D51"/>
    <w:rsid w:val="007307B7"/>
    <w:rsid w:val="007329F9"/>
    <w:rsid w:val="0073760F"/>
    <w:rsid w:val="0075292C"/>
    <w:rsid w:val="00753038"/>
    <w:rsid w:val="007618B5"/>
    <w:rsid w:val="0076361E"/>
    <w:rsid w:val="0076720E"/>
    <w:rsid w:val="00772D8A"/>
    <w:rsid w:val="0077379F"/>
    <w:rsid w:val="00776B5B"/>
    <w:rsid w:val="00777E03"/>
    <w:rsid w:val="007847F8"/>
    <w:rsid w:val="007852D5"/>
    <w:rsid w:val="00785A12"/>
    <w:rsid w:val="007879F0"/>
    <w:rsid w:val="00787BB2"/>
    <w:rsid w:val="00792486"/>
    <w:rsid w:val="007940BF"/>
    <w:rsid w:val="00795007"/>
    <w:rsid w:val="00796B97"/>
    <w:rsid w:val="007A1EB8"/>
    <w:rsid w:val="007A294A"/>
    <w:rsid w:val="007A387B"/>
    <w:rsid w:val="007A7E9A"/>
    <w:rsid w:val="007B01A6"/>
    <w:rsid w:val="007B07E5"/>
    <w:rsid w:val="007B27A6"/>
    <w:rsid w:val="007B3A1A"/>
    <w:rsid w:val="007B5CFA"/>
    <w:rsid w:val="007B7A9C"/>
    <w:rsid w:val="007D2DC1"/>
    <w:rsid w:val="007D3D99"/>
    <w:rsid w:val="007D7AA7"/>
    <w:rsid w:val="007E3442"/>
    <w:rsid w:val="007E66D0"/>
    <w:rsid w:val="0080287D"/>
    <w:rsid w:val="0080306E"/>
    <w:rsid w:val="00811B34"/>
    <w:rsid w:val="008123D9"/>
    <w:rsid w:val="00812F8E"/>
    <w:rsid w:val="00814D12"/>
    <w:rsid w:val="008156E1"/>
    <w:rsid w:val="00816FB5"/>
    <w:rsid w:val="00821C7D"/>
    <w:rsid w:val="00825AEE"/>
    <w:rsid w:val="00826DE9"/>
    <w:rsid w:val="00841FF4"/>
    <w:rsid w:val="008474BA"/>
    <w:rsid w:val="00851A1A"/>
    <w:rsid w:val="00851B26"/>
    <w:rsid w:val="00852BC5"/>
    <w:rsid w:val="008563E3"/>
    <w:rsid w:val="00866AAB"/>
    <w:rsid w:val="00867DA5"/>
    <w:rsid w:val="008765F0"/>
    <w:rsid w:val="00884080"/>
    <w:rsid w:val="008847D7"/>
    <w:rsid w:val="0089112C"/>
    <w:rsid w:val="00891F02"/>
    <w:rsid w:val="0089260D"/>
    <w:rsid w:val="008932BC"/>
    <w:rsid w:val="0089365B"/>
    <w:rsid w:val="00893CCE"/>
    <w:rsid w:val="008968D7"/>
    <w:rsid w:val="008A2E35"/>
    <w:rsid w:val="008A2EF1"/>
    <w:rsid w:val="008A2FE0"/>
    <w:rsid w:val="008A7FB9"/>
    <w:rsid w:val="008B2604"/>
    <w:rsid w:val="008B3074"/>
    <w:rsid w:val="008B6A1E"/>
    <w:rsid w:val="008B7849"/>
    <w:rsid w:val="008C0A74"/>
    <w:rsid w:val="008C1A3E"/>
    <w:rsid w:val="008C209A"/>
    <w:rsid w:val="008C47EB"/>
    <w:rsid w:val="008D12BB"/>
    <w:rsid w:val="008D12E7"/>
    <w:rsid w:val="008D2AEE"/>
    <w:rsid w:val="008D3B2A"/>
    <w:rsid w:val="008E23DE"/>
    <w:rsid w:val="008E6271"/>
    <w:rsid w:val="008E6730"/>
    <w:rsid w:val="008E6A13"/>
    <w:rsid w:val="008F6165"/>
    <w:rsid w:val="009060D1"/>
    <w:rsid w:val="009170FA"/>
    <w:rsid w:val="00920D6B"/>
    <w:rsid w:val="009261A6"/>
    <w:rsid w:val="00932AD9"/>
    <w:rsid w:val="00935E86"/>
    <w:rsid w:val="0094334A"/>
    <w:rsid w:val="00944318"/>
    <w:rsid w:val="00945178"/>
    <w:rsid w:val="00945BB0"/>
    <w:rsid w:val="009573DA"/>
    <w:rsid w:val="009575D7"/>
    <w:rsid w:val="0096161F"/>
    <w:rsid w:val="00972285"/>
    <w:rsid w:val="009779FB"/>
    <w:rsid w:val="009940C0"/>
    <w:rsid w:val="009A2620"/>
    <w:rsid w:val="009A33D6"/>
    <w:rsid w:val="009A7FAF"/>
    <w:rsid w:val="009B76E1"/>
    <w:rsid w:val="009C283F"/>
    <w:rsid w:val="009C2A3F"/>
    <w:rsid w:val="009C4AFC"/>
    <w:rsid w:val="009D0A39"/>
    <w:rsid w:val="009D12E7"/>
    <w:rsid w:val="009D49A5"/>
    <w:rsid w:val="009E6EF3"/>
    <w:rsid w:val="009E7B56"/>
    <w:rsid w:val="009F70E0"/>
    <w:rsid w:val="00A04ED2"/>
    <w:rsid w:val="00A06877"/>
    <w:rsid w:val="00A13B11"/>
    <w:rsid w:val="00A13C28"/>
    <w:rsid w:val="00A20796"/>
    <w:rsid w:val="00A21F2F"/>
    <w:rsid w:val="00A24FA8"/>
    <w:rsid w:val="00A2682B"/>
    <w:rsid w:val="00A31071"/>
    <w:rsid w:val="00A31DF4"/>
    <w:rsid w:val="00A32C4B"/>
    <w:rsid w:val="00A36C29"/>
    <w:rsid w:val="00A370E7"/>
    <w:rsid w:val="00A404F7"/>
    <w:rsid w:val="00A444F1"/>
    <w:rsid w:val="00A46802"/>
    <w:rsid w:val="00A50683"/>
    <w:rsid w:val="00A53A36"/>
    <w:rsid w:val="00A554A7"/>
    <w:rsid w:val="00A56D31"/>
    <w:rsid w:val="00A56D78"/>
    <w:rsid w:val="00A61ACB"/>
    <w:rsid w:val="00A6373F"/>
    <w:rsid w:val="00A6375F"/>
    <w:rsid w:val="00A727CC"/>
    <w:rsid w:val="00A801E5"/>
    <w:rsid w:val="00A820B0"/>
    <w:rsid w:val="00A84B95"/>
    <w:rsid w:val="00A860DD"/>
    <w:rsid w:val="00A86935"/>
    <w:rsid w:val="00A924C3"/>
    <w:rsid w:val="00A9344E"/>
    <w:rsid w:val="00A93BDA"/>
    <w:rsid w:val="00A94DEB"/>
    <w:rsid w:val="00A951A7"/>
    <w:rsid w:val="00A96098"/>
    <w:rsid w:val="00AA0774"/>
    <w:rsid w:val="00AA4A61"/>
    <w:rsid w:val="00AA6800"/>
    <w:rsid w:val="00AB213F"/>
    <w:rsid w:val="00AB47E5"/>
    <w:rsid w:val="00AB4C2B"/>
    <w:rsid w:val="00AB6CCC"/>
    <w:rsid w:val="00AC3EC8"/>
    <w:rsid w:val="00AC6748"/>
    <w:rsid w:val="00AD053A"/>
    <w:rsid w:val="00AD0CD9"/>
    <w:rsid w:val="00AD5EF9"/>
    <w:rsid w:val="00AD7D97"/>
    <w:rsid w:val="00AE0E96"/>
    <w:rsid w:val="00AF1292"/>
    <w:rsid w:val="00AF3E87"/>
    <w:rsid w:val="00AF4E83"/>
    <w:rsid w:val="00AF6A0C"/>
    <w:rsid w:val="00B0089A"/>
    <w:rsid w:val="00B02149"/>
    <w:rsid w:val="00B035A1"/>
    <w:rsid w:val="00B042EE"/>
    <w:rsid w:val="00B10FA7"/>
    <w:rsid w:val="00B16EB7"/>
    <w:rsid w:val="00B20726"/>
    <w:rsid w:val="00B23026"/>
    <w:rsid w:val="00B24411"/>
    <w:rsid w:val="00B3009E"/>
    <w:rsid w:val="00B35DE8"/>
    <w:rsid w:val="00B40442"/>
    <w:rsid w:val="00B410DF"/>
    <w:rsid w:val="00B415AE"/>
    <w:rsid w:val="00B46F9B"/>
    <w:rsid w:val="00B524B8"/>
    <w:rsid w:val="00B532C5"/>
    <w:rsid w:val="00B558DD"/>
    <w:rsid w:val="00B575F1"/>
    <w:rsid w:val="00B57DC1"/>
    <w:rsid w:val="00B626B5"/>
    <w:rsid w:val="00B7336D"/>
    <w:rsid w:val="00B76C4F"/>
    <w:rsid w:val="00B77907"/>
    <w:rsid w:val="00B821C9"/>
    <w:rsid w:val="00B85661"/>
    <w:rsid w:val="00B864C4"/>
    <w:rsid w:val="00B925E0"/>
    <w:rsid w:val="00B96C31"/>
    <w:rsid w:val="00B96D0A"/>
    <w:rsid w:val="00B9717A"/>
    <w:rsid w:val="00B97E6B"/>
    <w:rsid w:val="00BA099E"/>
    <w:rsid w:val="00BB2405"/>
    <w:rsid w:val="00BB3FBB"/>
    <w:rsid w:val="00BB759F"/>
    <w:rsid w:val="00BC1C15"/>
    <w:rsid w:val="00BC7F74"/>
    <w:rsid w:val="00BD149B"/>
    <w:rsid w:val="00BD648D"/>
    <w:rsid w:val="00BE093C"/>
    <w:rsid w:val="00BE5513"/>
    <w:rsid w:val="00BE6297"/>
    <w:rsid w:val="00BE7D78"/>
    <w:rsid w:val="00BF001B"/>
    <w:rsid w:val="00BF3529"/>
    <w:rsid w:val="00BF4BD3"/>
    <w:rsid w:val="00C0695F"/>
    <w:rsid w:val="00C06A3C"/>
    <w:rsid w:val="00C07E4A"/>
    <w:rsid w:val="00C115A1"/>
    <w:rsid w:val="00C1497D"/>
    <w:rsid w:val="00C1606F"/>
    <w:rsid w:val="00C16706"/>
    <w:rsid w:val="00C16E42"/>
    <w:rsid w:val="00C171F3"/>
    <w:rsid w:val="00C26898"/>
    <w:rsid w:val="00C305E3"/>
    <w:rsid w:val="00C31D91"/>
    <w:rsid w:val="00C3292A"/>
    <w:rsid w:val="00C3340B"/>
    <w:rsid w:val="00C364BE"/>
    <w:rsid w:val="00C4115A"/>
    <w:rsid w:val="00C50D5B"/>
    <w:rsid w:val="00C54674"/>
    <w:rsid w:val="00C603BC"/>
    <w:rsid w:val="00C60AFC"/>
    <w:rsid w:val="00C61267"/>
    <w:rsid w:val="00C62439"/>
    <w:rsid w:val="00C62B0C"/>
    <w:rsid w:val="00C63717"/>
    <w:rsid w:val="00C64C7E"/>
    <w:rsid w:val="00C66598"/>
    <w:rsid w:val="00C66CEC"/>
    <w:rsid w:val="00C73A9F"/>
    <w:rsid w:val="00C80A81"/>
    <w:rsid w:val="00C8250D"/>
    <w:rsid w:val="00C83D53"/>
    <w:rsid w:val="00C86FEC"/>
    <w:rsid w:val="00C91041"/>
    <w:rsid w:val="00C925AA"/>
    <w:rsid w:val="00C94541"/>
    <w:rsid w:val="00C94B09"/>
    <w:rsid w:val="00C976F7"/>
    <w:rsid w:val="00C97891"/>
    <w:rsid w:val="00CA0706"/>
    <w:rsid w:val="00CA1572"/>
    <w:rsid w:val="00CA3F0A"/>
    <w:rsid w:val="00CA3FBE"/>
    <w:rsid w:val="00CA46E3"/>
    <w:rsid w:val="00CA5FF9"/>
    <w:rsid w:val="00CA782B"/>
    <w:rsid w:val="00CB1700"/>
    <w:rsid w:val="00CB1792"/>
    <w:rsid w:val="00CB5073"/>
    <w:rsid w:val="00CB6F6F"/>
    <w:rsid w:val="00CC2C73"/>
    <w:rsid w:val="00CC2FDA"/>
    <w:rsid w:val="00CC3ED1"/>
    <w:rsid w:val="00CC4FCA"/>
    <w:rsid w:val="00CC5D63"/>
    <w:rsid w:val="00CD1884"/>
    <w:rsid w:val="00CD7222"/>
    <w:rsid w:val="00CE283F"/>
    <w:rsid w:val="00CE5BC7"/>
    <w:rsid w:val="00CF076A"/>
    <w:rsid w:val="00CF3723"/>
    <w:rsid w:val="00CF54BC"/>
    <w:rsid w:val="00D00144"/>
    <w:rsid w:val="00D00F13"/>
    <w:rsid w:val="00D02875"/>
    <w:rsid w:val="00D02F7B"/>
    <w:rsid w:val="00D163CB"/>
    <w:rsid w:val="00D17968"/>
    <w:rsid w:val="00D21953"/>
    <w:rsid w:val="00D21EBE"/>
    <w:rsid w:val="00D239D6"/>
    <w:rsid w:val="00D26B78"/>
    <w:rsid w:val="00D27833"/>
    <w:rsid w:val="00D3271F"/>
    <w:rsid w:val="00D37595"/>
    <w:rsid w:val="00D43C73"/>
    <w:rsid w:val="00D45A23"/>
    <w:rsid w:val="00D45DD8"/>
    <w:rsid w:val="00D50D00"/>
    <w:rsid w:val="00D50FCE"/>
    <w:rsid w:val="00D52874"/>
    <w:rsid w:val="00D533C8"/>
    <w:rsid w:val="00D53B98"/>
    <w:rsid w:val="00D53E4C"/>
    <w:rsid w:val="00D5446E"/>
    <w:rsid w:val="00D56090"/>
    <w:rsid w:val="00D64B89"/>
    <w:rsid w:val="00D64BAE"/>
    <w:rsid w:val="00D673B3"/>
    <w:rsid w:val="00D73C18"/>
    <w:rsid w:val="00D73DE6"/>
    <w:rsid w:val="00D83BAA"/>
    <w:rsid w:val="00D85741"/>
    <w:rsid w:val="00D8689E"/>
    <w:rsid w:val="00D8738D"/>
    <w:rsid w:val="00D91E32"/>
    <w:rsid w:val="00D92464"/>
    <w:rsid w:val="00DA2F60"/>
    <w:rsid w:val="00DA3B79"/>
    <w:rsid w:val="00DA3CDE"/>
    <w:rsid w:val="00DA7987"/>
    <w:rsid w:val="00DB0FA2"/>
    <w:rsid w:val="00DB1662"/>
    <w:rsid w:val="00DB1A55"/>
    <w:rsid w:val="00DB6CC9"/>
    <w:rsid w:val="00DC4101"/>
    <w:rsid w:val="00DC58A9"/>
    <w:rsid w:val="00DC6438"/>
    <w:rsid w:val="00DE0198"/>
    <w:rsid w:val="00DE14B3"/>
    <w:rsid w:val="00DE2C37"/>
    <w:rsid w:val="00DE36E9"/>
    <w:rsid w:val="00DF2E7A"/>
    <w:rsid w:val="00DF4D8A"/>
    <w:rsid w:val="00E02684"/>
    <w:rsid w:val="00E0428A"/>
    <w:rsid w:val="00E0591A"/>
    <w:rsid w:val="00E10E70"/>
    <w:rsid w:val="00E20E8F"/>
    <w:rsid w:val="00E24416"/>
    <w:rsid w:val="00E25946"/>
    <w:rsid w:val="00E26A71"/>
    <w:rsid w:val="00E318D7"/>
    <w:rsid w:val="00E40780"/>
    <w:rsid w:val="00E425F7"/>
    <w:rsid w:val="00E45984"/>
    <w:rsid w:val="00E569EA"/>
    <w:rsid w:val="00E56A7B"/>
    <w:rsid w:val="00E57ED6"/>
    <w:rsid w:val="00E62DFD"/>
    <w:rsid w:val="00E64660"/>
    <w:rsid w:val="00E65B70"/>
    <w:rsid w:val="00E6753C"/>
    <w:rsid w:val="00E71CC8"/>
    <w:rsid w:val="00E71E62"/>
    <w:rsid w:val="00E72CE7"/>
    <w:rsid w:val="00E76712"/>
    <w:rsid w:val="00E80691"/>
    <w:rsid w:val="00E866FA"/>
    <w:rsid w:val="00E92317"/>
    <w:rsid w:val="00E926FD"/>
    <w:rsid w:val="00E93173"/>
    <w:rsid w:val="00EA4301"/>
    <w:rsid w:val="00EA51F1"/>
    <w:rsid w:val="00EC1DBB"/>
    <w:rsid w:val="00EC5DCC"/>
    <w:rsid w:val="00EC6893"/>
    <w:rsid w:val="00EC72AC"/>
    <w:rsid w:val="00ED0E2A"/>
    <w:rsid w:val="00ED1317"/>
    <w:rsid w:val="00ED4DFE"/>
    <w:rsid w:val="00ED53AE"/>
    <w:rsid w:val="00EE7B15"/>
    <w:rsid w:val="00F01849"/>
    <w:rsid w:val="00F056D0"/>
    <w:rsid w:val="00F1202B"/>
    <w:rsid w:val="00F12688"/>
    <w:rsid w:val="00F133CE"/>
    <w:rsid w:val="00F13625"/>
    <w:rsid w:val="00F1700B"/>
    <w:rsid w:val="00F21F2A"/>
    <w:rsid w:val="00F22A56"/>
    <w:rsid w:val="00F2527E"/>
    <w:rsid w:val="00F254A9"/>
    <w:rsid w:val="00F26783"/>
    <w:rsid w:val="00F31AB0"/>
    <w:rsid w:val="00F328F3"/>
    <w:rsid w:val="00F32B5B"/>
    <w:rsid w:val="00F33765"/>
    <w:rsid w:val="00F33B65"/>
    <w:rsid w:val="00F35C11"/>
    <w:rsid w:val="00F43F8F"/>
    <w:rsid w:val="00F45A5A"/>
    <w:rsid w:val="00F53C6F"/>
    <w:rsid w:val="00F5563E"/>
    <w:rsid w:val="00F62EBD"/>
    <w:rsid w:val="00F63DDF"/>
    <w:rsid w:val="00F641F1"/>
    <w:rsid w:val="00F721B4"/>
    <w:rsid w:val="00F747C3"/>
    <w:rsid w:val="00F7669E"/>
    <w:rsid w:val="00F8472C"/>
    <w:rsid w:val="00F849AA"/>
    <w:rsid w:val="00F864AB"/>
    <w:rsid w:val="00F9093E"/>
    <w:rsid w:val="00F94E71"/>
    <w:rsid w:val="00FA68B5"/>
    <w:rsid w:val="00FB5B97"/>
    <w:rsid w:val="00FB66A3"/>
    <w:rsid w:val="00FB69D5"/>
    <w:rsid w:val="00FB7BF1"/>
    <w:rsid w:val="00FC0989"/>
    <w:rsid w:val="00FC2051"/>
    <w:rsid w:val="00FC3818"/>
    <w:rsid w:val="00FD0C47"/>
    <w:rsid w:val="00FD149D"/>
    <w:rsid w:val="00FD54B3"/>
    <w:rsid w:val="00FE16D2"/>
    <w:rsid w:val="00FE1702"/>
    <w:rsid w:val="00FE2692"/>
    <w:rsid w:val="00FF0986"/>
    <w:rsid w:val="00FF1EF2"/>
    <w:rsid w:val="00FF65D0"/>
    <w:rsid w:val="00FF67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2462"/>
    <w:rPr>
      <w:rFonts w:ascii="Garamond" w:hAnsi="Garamond" w:cs="Arial"/>
      <w:sz w:val="22"/>
    </w:rPr>
  </w:style>
  <w:style w:type="paragraph" w:styleId="Heading1">
    <w:name w:val="heading 1"/>
    <w:basedOn w:val="Normal"/>
    <w:next w:val="BodyText"/>
    <w:qFormat/>
    <w:rsid w:val="00602462"/>
    <w:pPr>
      <w:keepNext/>
      <w:spacing w:line="260" w:lineRule="atLeast"/>
      <w:outlineLvl w:val="0"/>
    </w:pPr>
    <w:rPr>
      <w:rFonts w:ascii="Arial Black" w:hAnsi="Arial Black"/>
      <w:bCs/>
      <w:color w:val="4F2D7F"/>
      <w:kern w:val="32"/>
      <w:sz w:val="19"/>
      <w:szCs w:val="28"/>
    </w:rPr>
  </w:style>
  <w:style w:type="paragraph" w:styleId="Heading2">
    <w:name w:val="heading 2"/>
    <w:basedOn w:val="Heading1"/>
    <w:next w:val="BodyText"/>
    <w:link w:val="Heading2Char"/>
    <w:uiPriority w:val="9"/>
    <w:qFormat/>
    <w:rsid w:val="0050648A"/>
    <w:pPr>
      <w:outlineLvl w:val="1"/>
    </w:pPr>
    <w:rPr>
      <w:bCs w:val="0"/>
      <w:color w:val="auto"/>
      <w:szCs w:val="24"/>
    </w:rPr>
  </w:style>
  <w:style w:type="paragraph" w:styleId="Heading3">
    <w:name w:val="heading 3"/>
    <w:basedOn w:val="Heading2"/>
    <w:next w:val="BodyText"/>
    <w:qFormat/>
    <w:rsid w:val="00602462"/>
    <w:pPr>
      <w:outlineLvl w:val="2"/>
    </w:pPr>
    <w:rPr>
      <w:rFonts w:ascii="Arial" w:hAnsi="Arial"/>
      <w:bCs/>
      <w:szCs w:val="22"/>
    </w:rPr>
  </w:style>
  <w:style w:type="paragraph" w:styleId="Heading4">
    <w:name w:val="heading 4"/>
    <w:basedOn w:val="Heading3"/>
    <w:next w:val="BodyText"/>
    <w:qFormat/>
    <w:rsid w:val="00602462"/>
    <w:pPr>
      <w:outlineLvl w:val="3"/>
    </w:pPr>
    <w:rPr>
      <w:bCs w:val="0"/>
      <w:i/>
    </w:rPr>
  </w:style>
  <w:style w:type="paragraph" w:styleId="Heading5">
    <w:name w:val="heading 5"/>
    <w:basedOn w:val="Normal"/>
    <w:next w:val="Normal"/>
    <w:qFormat/>
    <w:rsid w:val="00602462"/>
    <w:pPr>
      <w:numPr>
        <w:ilvl w:val="4"/>
        <w:numId w:val="1"/>
      </w:numPr>
      <w:spacing w:before="240" w:after="60"/>
      <w:outlineLvl w:val="4"/>
    </w:pPr>
    <w:rPr>
      <w:b/>
      <w:bCs/>
      <w:i/>
      <w:iCs/>
      <w:sz w:val="26"/>
      <w:szCs w:val="26"/>
    </w:rPr>
  </w:style>
  <w:style w:type="paragraph" w:styleId="Heading6">
    <w:name w:val="heading 6"/>
    <w:basedOn w:val="Normal"/>
    <w:next w:val="Normal"/>
    <w:qFormat/>
    <w:rsid w:val="00602462"/>
    <w:pPr>
      <w:numPr>
        <w:ilvl w:val="5"/>
        <w:numId w:val="1"/>
      </w:numPr>
      <w:spacing w:before="240" w:after="60"/>
      <w:outlineLvl w:val="5"/>
    </w:pPr>
    <w:rPr>
      <w:rFonts w:ascii="Times New Roman" w:hAnsi="Times New Roman" w:cs="Times New Roman"/>
      <w:b/>
      <w:bCs/>
      <w:szCs w:val="22"/>
    </w:rPr>
  </w:style>
  <w:style w:type="paragraph" w:styleId="Heading7">
    <w:name w:val="heading 7"/>
    <w:basedOn w:val="Normal"/>
    <w:next w:val="Normal"/>
    <w:qFormat/>
    <w:rsid w:val="00602462"/>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602462"/>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602462"/>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2462"/>
    <w:pPr>
      <w:spacing w:after="284" w:line="280" w:lineRule="atLeast"/>
    </w:pPr>
  </w:style>
  <w:style w:type="paragraph" w:styleId="ListBullet">
    <w:name w:val="List Bullet"/>
    <w:basedOn w:val="Normal"/>
    <w:rsid w:val="00602462"/>
    <w:pPr>
      <w:numPr>
        <w:numId w:val="2"/>
      </w:numPr>
      <w:spacing w:after="20" w:line="280" w:lineRule="atLeast"/>
    </w:pPr>
  </w:style>
  <w:style w:type="paragraph" w:styleId="ListNumber">
    <w:name w:val="List Number"/>
    <w:basedOn w:val="Normal"/>
    <w:rsid w:val="0050648A"/>
    <w:pPr>
      <w:numPr>
        <w:numId w:val="3"/>
      </w:numPr>
      <w:spacing w:after="284" w:line="280" w:lineRule="atLeast"/>
    </w:pPr>
  </w:style>
  <w:style w:type="paragraph" w:styleId="Header">
    <w:name w:val="header"/>
    <w:link w:val="HeaderChar"/>
    <w:uiPriority w:val="99"/>
    <w:semiHidden/>
    <w:rsid w:val="0050648A"/>
    <w:pPr>
      <w:tabs>
        <w:tab w:val="right" w:pos="8562"/>
      </w:tabs>
    </w:pPr>
    <w:rPr>
      <w:rFonts w:ascii="Arial" w:hAnsi="Arial" w:cs="Arial"/>
      <w:b/>
      <w:color w:val="747678"/>
      <w:sz w:val="16"/>
    </w:rPr>
  </w:style>
  <w:style w:type="paragraph" w:styleId="Footer">
    <w:name w:val="footer"/>
    <w:link w:val="FooterChar"/>
    <w:uiPriority w:val="99"/>
    <w:rsid w:val="0050648A"/>
    <w:pPr>
      <w:tabs>
        <w:tab w:val="center" w:pos="4153"/>
        <w:tab w:val="right" w:pos="8306"/>
      </w:tabs>
    </w:pPr>
    <w:rPr>
      <w:rFonts w:ascii="Arial" w:hAnsi="Arial" w:cs="Arial"/>
      <w:b/>
      <w:color w:val="747678"/>
      <w:sz w:val="13"/>
    </w:rPr>
  </w:style>
  <w:style w:type="table" w:styleId="TableGrid">
    <w:name w:val="Table Grid"/>
    <w:basedOn w:val="TableNormal"/>
    <w:rsid w:val="000D61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 Title"/>
    <w:basedOn w:val="Normal"/>
    <w:next w:val="BodyText"/>
    <w:rsid w:val="0050648A"/>
    <w:pPr>
      <w:spacing w:after="2520"/>
    </w:pPr>
    <w:rPr>
      <w:bCs/>
      <w:kern w:val="28"/>
      <w:sz w:val="48"/>
      <w:szCs w:val="32"/>
    </w:rPr>
  </w:style>
  <w:style w:type="paragraph" w:styleId="Title">
    <w:name w:val="Title"/>
    <w:basedOn w:val="Normal"/>
    <w:next w:val="BodyText"/>
    <w:qFormat/>
    <w:rsid w:val="0050648A"/>
    <w:pPr>
      <w:spacing w:before="400" w:after="400" w:line="580" w:lineRule="atLeast"/>
      <w:outlineLvl w:val="0"/>
    </w:pPr>
    <w:rPr>
      <w:bCs/>
      <w:kern w:val="28"/>
      <w:sz w:val="66"/>
      <w:szCs w:val="32"/>
    </w:rPr>
  </w:style>
  <w:style w:type="paragraph" w:styleId="Subtitle">
    <w:name w:val="Subtitle"/>
    <w:qFormat/>
    <w:rsid w:val="0050648A"/>
    <w:pPr>
      <w:spacing w:line="280" w:lineRule="atLeast"/>
      <w:outlineLvl w:val="1"/>
    </w:pPr>
    <w:rPr>
      <w:rFonts w:ascii="Arial" w:hAnsi="Arial" w:cs="Arial"/>
      <w:bCs/>
      <w:kern w:val="28"/>
      <w:sz w:val="24"/>
      <w:szCs w:val="24"/>
    </w:rPr>
  </w:style>
  <w:style w:type="paragraph" w:styleId="ListBullet2">
    <w:name w:val="List Bullet 2"/>
    <w:basedOn w:val="Normal"/>
    <w:rsid w:val="00602462"/>
    <w:pPr>
      <w:numPr>
        <w:ilvl w:val="1"/>
        <w:numId w:val="2"/>
      </w:numPr>
      <w:spacing w:after="20" w:line="260" w:lineRule="atLeast"/>
    </w:pPr>
  </w:style>
  <w:style w:type="paragraph" w:styleId="ListNumber2">
    <w:name w:val="List Number 2"/>
    <w:basedOn w:val="Normal"/>
    <w:rsid w:val="0050648A"/>
    <w:pPr>
      <w:numPr>
        <w:ilvl w:val="1"/>
        <w:numId w:val="3"/>
      </w:numPr>
      <w:spacing w:after="284" w:line="280" w:lineRule="atLeast"/>
    </w:pPr>
  </w:style>
  <w:style w:type="paragraph" w:styleId="ListNumber3">
    <w:name w:val="List Number 3"/>
    <w:basedOn w:val="Normal"/>
    <w:rsid w:val="00602462"/>
    <w:pPr>
      <w:numPr>
        <w:ilvl w:val="2"/>
        <w:numId w:val="3"/>
      </w:numPr>
      <w:spacing w:after="284" w:line="280" w:lineRule="atLeast"/>
    </w:pPr>
  </w:style>
  <w:style w:type="paragraph" w:customStyle="1" w:styleId="MarginNotes">
    <w:name w:val="Margin Notes"/>
    <w:rsid w:val="0050648A"/>
    <w:rPr>
      <w:rFonts w:ascii="Arial" w:hAnsi="Arial" w:cs="Arial"/>
      <w:sz w:val="16"/>
    </w:rPr>
  </w:style>
  <w:style w:type="paragraph" w:customStyle="1" w:styleId="SectionTitle">
    <w:name w:val="Section Title"/>
    <w:next w:val="BodyText"/>
    <w:rsid w:val="0050648A"/>
    <w:pPr>
      <w:spacing w:after="2520"/>
    </w:pPr>
    <w:rPr>
      <w:rFonts w:ascii="Garamond" w:hAnsi="Garamond" w:cs="Arial"/>
      <w:sz w:val="48"/>
    </w:rPr>
  </w:style>
  <w:style w:type="paragraph" w:customStyle="1" w:styleId="TableHeading">
    <w:name w:val="Table Heading"/>
    <w:rsid w:val="0050648A"/>
    <w:rPr>
      <w:rFonts w:ascii="Arial" w:hAnsi="Arial" w:cs="Arial"/>
      <w:b/>
      <w:bCs/>
      <w:kern w:val="28"/>
      <w:sz w:val="16"/>
      <w:szCs w:val="32"/>
    </w:rPr>
  </w:style>
  <w:style w:type="paragraph" w:customStyle="1" w:styleId="TableText">
    <w:name w:val="Table Text"/>
    <w:rsid w:val="0050648A"/>
    <w:rPr>
      <w:rFonts w:ascii="Arial" w:hAnsi="Arial" w:cs="Arial"/>
      <w:sz w:val="16"/>
    </w:rPr>
  </w:style>
  <w:style w:type="paragraph" w:customStyle="1" w:styleId="TintBoxTextBlack">
    <w:name w:val="Tint Box Text Black"/>
    <w:rsid w:val="0050648A"/>
    <w:pPr>
      <w:spacing w:after="280" w:line="280" w:lineRule="atLeast"/>
    </w:pPr>
    <w:rPr>
      <w:rFonts w:ascii="Arial" w:hAnsi="Arial" w:cs="Arial"/>
      <w:b/>
    </w:rPr>
  </w:style>
  <w:style w:type="paragraph" w:customStyle="1" w:styleId="TintBoxTextWhite">
    <w:name w:val="Tint Box Text White"/>
    <w:basedOn w:val="TintBoxTextBlack"/>
    <w:rsid w:val="0050648A"/>
    <w:rPr>
      <w:color w:val="FFFFFF"/>
    </w:rPr>
  </w:style>
  <w:style w:type="paragraph" w:styleId="TOC1">
    <w:name w:val="toc 1"/>
    <w:next w:val="Normal"/>
    <w:uiPriority w:val="39"/>
    <w:rsid w:val="00602462"/>
    <w:pPr>
      <w:tabs>
        <w:tab w:val="right" w:pos="8505"/>
      </w:tabs>
      <w:spacing w:before="165" w:after="100"/>
    </w:pPr>
    <w:rPr>
      <w:rFonts w:ascii="Arial" w:hAnsi="Arial" w:cs="Arial"/>
      <w:sz w:val="19"/>
      <w:lang w:val="en-GB"/>
    </w:rPr>
  </w:style>
  <w:style w:type="paragraph" w:styleId="TOC2">
    <w:name w:val="toc 2"/>
    <w:next w:val="Normal"/>
    <w:uiPriority w:val="39"/>
    <w:rsid w:val="00602462"/>
    <w:pPr>
      <w:tabs>
        <w:tab w:val="right" w:pos="8505"/>
      </w:tabs>
      <w:spacing w:after="100"/>
      <w:ind w:left="198"/>
    </w:pPr>
    <w:rPr>
      <w:rFonts w:ascii="Arial" w:hAnsi="Arial" w:cs="Arial"/>
      <w:sz w:val="19"/>
      <w:szCs w:val="24"/>
      <w:lang w:val="en-GB"/>
    </w:rPr>
  </w:style>
  <w:style w:type="paragraph" w:styleId="TOC3">
    <w:name w:val="toc 3"/>
    <w:basedOn w:val="TOC2"/>
    <w:next w:val="Normal"/>
    <w:semiHidden/>
    <w:rsid w:val="00602462"/>
    <w:pPr>
      <w:ind w:left="403"/>
    </w:pPr>
  </w:style>
  <w:style w:type="paragraph" w:customStyle="1" w:styleId="Contents">
    <w:name w:val="Contents"/>
    <w:next w:val="Normal"/>
    <w:rsid w:val="0050648A"/>
    <w:pPr>
      <w:spacing w:after="2520" w:line="580" w:lineRule="atLeast"/>
    </w:pPr>
    <w:rPr>
      <w:rFonts w:ascii="Garamond" w:hAnsi="Garamond" w:cs="Arial"/>
      <w:sz w:val="48"/>
    </w:rPr>
  </w:style>
  <w:style w:type="character" w:styleId="PageNumber">
    <w:name w:val="page number"/>
    <w:basedOn w:val="DefaultParagraphFont"/>
    <w:semiHidden/>
    <w:rsid w:val="00A20796"/>
    <w:rPr>
      <w:lang w:val="en-US"/>
    </w:rPr>
  </w:style>
  <w:style w:type="paragraph" w:customStyle="1" w:styleId="ChapterTitle">
    <w:name w:val="Chapter Title"/>
    <w:basedOn w:val="Subtitle"/>
    <w:rsid w:val="0050648A"/>
    <w:pPr>
      <w:pBdr>
        <w:bottom w:val="single" w:sz="4" w:space="5" w:color="auto"/>
      </w:pBdr>
    </w:pPr>
    <w:rPr>
      <w:sz w:val="20"/>
    </w:rPr>
  </w:style>
  <w:style w:type="paragraph" w:customStyle="1" w:styleId="AppendicesTitle">
    <w:name w:val="Appendices Title"/>
    <w:basedOn w:val="Heading2"/>
    <w:next w:val="Normal"/>
    <w:rsid w:val="0050648A"/>
  </w:style>
  <w:style w:type="character" w:styleId="Hyperlink">
    <w:name w:val="Hyperlink"/>
    <w:basedOn w:val="DefaultParagraphFont"/>
    <w:uiPriority w:val="99"/>
    <w:rsid w:val="0050648A"/>
    <w:rPr>
      <w:color w:val="0000FF"/>
      <w:u w:val="single"/>
      <w:lang w:val="en-US"/>
    </w:rPr>
  </w:style>
  <w:style w:type="paragraph" w:customStyle="1" w:styleId="ReferenceTitle">
    <w:name w:val="Reference Title"/>
    <w:next w:val="ReferenceText"/>
    <w:rsid w:val="0050648A"/>
    <w:rPr>
      <w:rFonts w:ascii="Arial Black" w:hAnsi="Arial Black" w:cs="Arial"/>
      <w:kern w:val="32"/>
      <w:sz w:val="18"/>
      <w:szCs w:val="24"/>
    </w:rPr>
  </w:style>
  <w:style w:type="paragraph" w:customStyle="1" w:styleId="ReferenceText">
    <w:name w:val="Reference Text"/>
    <w:rsid w:val="0050648A"/>
    <w:rPr>
      <w:rFonts w:ascii="Arial" w:hAnsi="Arial" w:cs="Arial"/>
      <w:kern w:val="32"/>
      <w:sz w:val="18"/>
      <w:szCs w:val="24"/>
    </w:rPr>
  </w:style>
  <w:style w:type="paragraph" w:customStyle="1" w:styleId="Backpage">
    <w:name w:val="Back page"/>
    <w:rsid w:val="0050648A"/>
    <w:rPr>
      <w:rFonts w:ascii="Arial Black" w:hAnsi="Arial Black" w:cs="Arial"/>
      <w:sz w:val="18"/>
    </w:rPr>
  </w:style>
  <w:style w:type="paragraph" w:customStyle="1" w:styleId="Copyright">
    <w:name w:val="Copyright"/>
    <w:semiHidden/>
    <w:rsid w:val="0050648A"/>
    <w:pPr>
      <w:spacing w:line="220" w:lineRule="atLeast"/>
    </w:pPr>
    <w:rPr>
      <w:rFonts w:ascii="Garamond" w:hAnsi="Garamond" w:cs="Arial"/>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602462"/>
    <w:pPr>
      <w:tabs>
        <w:tab w:val="clear" w:pos="8562"/>
        <w:tab w:val="right" w:pos="13438"/>
      </w:tabs>
    </w:pPr>
  </w:style>
  <w:style w:type="paragraph" w:customStyle="1" w:styleId="ParagraphBullet">
    <w:name w:val="Paragraph Bullet"/>
    <w:basedOn w:val="Normal"/>
    <w:rsid w:val="00602462"/>
    <w:pPr>
      <w:numPr>
        <w:numId w:val="4"/>
      </w:numPr>
      <w:spacing w:after="284" w:line="280" w:lineRule="atLeast"/>
    </w:pPr>
  </w:style>
  <w:style w:type="paragraph" w:customStyle="1" w:styleId="ParagraphBullet2">
    <w:name w:val="Paragraph Bullet 2"/>
    <w:basedOn w:val="Normal"/>
    <w:rsid w:val="00602462"/>
    <w:pPr>
      <w:numPr>
        <w:ilvl w:val="1"/>
        <w:numId w:val="4"/>
      </w:numPr>
      <w:spacing w:after="284" w:line="280" w:lineRule="atLeast"/>
    </w:pPr>
  </w:style>
  <w:style w:type="paragraph" w:customStyle="1" w:styleId="MarginNotesHeading">
    <w:name w:val="Margin Notes Heading"/>
    <w:basedOn w:val="MarginNotes"/>
    <w:rsid w:val="00602462"/>
    <w:rPr>
      <w:b/>
    </w:rPr>
  </w:style>
  <w:style w:type="paragraph" w:styleId="Quote">
    <w:name w:val="Quote"/>
    <w:basedOn w:val="BodyText"/>
    <w:qFormat/>
    <w:rsid w:val="00602462"/>
    <w:pPr>
      <w:spacing w:line="340" w:lineRule="atLeast"/>
    </w:pPr>
    <w:rPr>
      <w:sz w:val="28"/>
    </w:rPr>
  </w:style>
  <w:style w:type="paragraph" w:customStyle="1" w:styleId="AppendixTitleSpan">
    <w:name w:val="Appendix Title Span"/>
    <w:basedOn w:val="AppendixTitle"/>
    <w:rsid w:val="0050648A"/>
    <w:pPr>
      <w:framePr w:w="8840" w:wrap="around" w:vAnchor="text" w:hAnchor="margin" w:y="1"/>
    </w:pPr>
  </w:style>
  <w:style w:type="paragraph" w:customStyle="1" w:styleId="SectionTitleSpan">
    <w:name w:val="Section Title Span"/>
    <w:basedOn w:val="SectionTitle"/>
    <w:next w:val="BodyText"/>
    <w:rsid w:val="00C26898"/>
    <w:pPr>
      <w:framePr w:w="8840" w:wrap="around" w:vAnchor="text" w:hAnchor="margin" w:y="1"/>
    </w:pPr>
  </w:style>
  <w:style w:type="paragraph" w:customStyle="1" w:styleId="StyleRight">
    <w:name w:val="Style Right"/>
    <w:basedOn w:val="Normal"/>
    <w:rsid w:val="0050648A"/>
    <w:pPr>
      <w:jc w:val="right"/>
    </w:pPr>
    <w:rPr>
      <w:rFonts w:cs="Times New Roman"/>
    </w:rPr>
  </w:style>
  <w:style w:type="character" w:customStyle="1" w:styleId="Heading2Char">
    <w:name w:val="Heading 2 Char"/>
    <w:basedOn w:val="DefaultParagraphFont"/>
    <w:link w:val="Heading2"/>
    <w:uiPriority w:val="9"/>
    <w:rsid w:val="003A3855"/>
    <w:rPr>
      <w:rFonts w:ascii="Arial Black" w:hAnsi="Arial Black" w:cs="Arial"/>
      <w:kern w:val="32"/>
      <w:sz w:val="19"/>
      <w:szCs w:val="24"/>
    </w:rPr>
  </w:style>
  <w:style w:type="paragraph" w:styleId="BalloonText">
    <w:name w:val="Balloon Text"/>
    <w:basedOn w:val="Normal"/>
    <w:link w:val="BalloonTextChar"/>
    <w:rsid w:val="001C551D"/>
    <w:rPr>
      <w:rFonts w:ascii="Tahoma" w:hAnsi="Tahoma" w:cs="Tahoma"/>
      <w:sz w:val="16"/>
      <w:szCs w:val="16"/>
    </w:rPr>
  </w:style>
  <w:style w:type="character" w:customStyle="1" w:styleId="BalloonTextChar">
    <w:name w:val="Balloon Text Char"/>
    <w:basedOn w:val="DefaultParagraphFont"/>
    <w:link w:val="BalloonText"/>
    <w:rsid w:val="001C551D"/>
    <w:rPr>
      <w:rFonts w:ascii="Tahoma" w:hAnsi="Tahoma" w:cs="Tahoma"/>
      <w:sz w:val="16"/>
      <w:szCs w:val="16"/>
    </w:rPr>
  </w:style>
  <w:style w:type="character" w:styleId="CommentReference">
    <w:name w:val="annotation reference"/>
    <w:basedOn w:val="DefaultParagraphFont"/>
    <w:rsid w:val="00F43F8F"/>
    <w:rPr>
      <w:sz w:val="16"/>
      <w:szCs w:val="16"/>
    </w:rPr>
  </w:style>
  <w:style w:type="paragraph" w:styleId="CommentText">
    <w:name w:val="annotation text"/>
    <w:basedOn w:val="Normal"/>
    <w:link w:val="CommentTextChar"/>
    <w:rsid w:val="00F43F8F"/>
    <w:rPr>
      <w:sz w:val="20"/>
    </w:rPr>
  </w:style>
  <w:style w:type="character" w:customStyle="1" w:styleId="CommentTextChar">
    <w:name w:val="Comment Text Char"/>
    <w:basedOn w:val="DefaultParagraphFont"/>
    <w:link w:val="CommentText"/>
    <w:rsid w:val="00F43F8F"/>
    <w:rPr>
      <w:rFonts w:ascii="Garamond" w:hAnsi="Garamond" w:cs="Arial"/>
    </w:rPr>
  </w:style>
  <w:style w:type="paragraph" w:styleId="CommentSubject">
    <w:name w:val="annotation subject"/>
    <w:basedOn w:val="CommentText"/>
    <w:next w:val="CommentText"/>
    <w:link w:val="CommentSubjectChar"/>
    <w:rsid w:val="00F43F8F"/>
    <w:rPr>
      <w:b/>
      <w:bCs/>
    </w:rPr>
  </w:style>
  <w:style w:type="character" w:customStyle="1" w:styleId="CommentSubjectChar">
    <w:name w:val="Comment Subject Char"/>
    <w:basedOn w:val="CommentTextChar"/>
    <w:link w:val="CommentSubject"/>
    <w:rsid w:val="00F43F8F"/>
    <w:rPr>
      <w:b/>
      <w:bCs/>
    </w:rPr>
  </w:style>
  <w:style w:type="paragraph" w:customStyle="1" w:styleId="StyleHeading5Left">
    <w:name w:val="Style Heading 5 + Left"/>
    <w:basedOn w:val="Heading5"/>
    <w:autoRedefine/>
    <w:rsid w:val="003D1E3A"/>
    <w:pPr>
      <w:numPr>
        <w:ilvl w:val="0"/>
        <w:numId w:val="0"/>
      </w:numPr>
      <w:spacing w:before="120" w:after="120"/>
    </w:pPr>
    <w:rPr>
      <w:rFonts w:ascii="Times New Roman" w:hAnsi="Times New Roman" w:cs="Times New Roman"/>
      <w:b w:val="0"/>
      <w:i w:val="0"/>
      <w:iCs w:val="0"/>
      <w:sz w:val="22"/>
      <w:szCs w:val="22"/>
    </w:rPr>
  </w:style>
  <w:style w:type="paragraph" w:styleId="ListParagraph">
    <w:name w:val="List Paragraph"/>
    <w:basedOn w:val="Normal"/>
    <w:uiPriority w:val="34"/>
    <w:qFormat/>
    <w:rsid w:val="005D0351"/>
    <w:pPr>
      <w:ind w:left="720"/>
      <w:contextualSpacing/>
    </w:pPr>
  </w:style>
  <w:style w:type="paragraph" w:styleId="FootnoteText">
    <w:name w:val="footnote text"/>
    <w:basedOn w:val="Normal"/>
    <w:link w:val="FootnoteTextChar"/>
    <w:rsid w:val="00201EB6"/>
    <w:rPr>
      <w:sz w:val="20"/>
    </w:rPr>
  </w:style>
  <w:style w:type="character" w:customStyle="1" w:styleId="FootnoteTextChar">
    <w:name w:val="Footnote Text Char"/>
    <w:basedOn w:val="DefaultParagraphFont"/>
    <w:link w:val="FootnoteText"/>
    <w:rsid w:val="00201EB6"/>
    <w:rPr>
      <w:rFonts w:ascii="Garamond" w:hAnsi="Garamond" w:cs="Arial"/>
    </w:rPr>
  </w:style>
  <w:style w:type="character" w:styleId="FootnoteReference">
    <w:name w:val="footnote reference"/>
    <w:basedOn w:val="DefaultParagraphFont"/>
    <w:rsid w:val="00201EB6"/>
    <w:rPr>
      <w:vertAlign w:val="superscript"/>
    </w:rPr>
  </w:style>
  <w:style w:type="paragraph" w:styleId="Caption">
    <w:name w:val="caption"/>
    <w:basedOn w:val="Normal"/>
    <w:next w:val="Normal"/>
    <w:unhideWhenUsed/>
    <w:qFormat/>
    <w:rsid w:val="00A31DF4"/>
    <w:pPr>
      <w:spacing w:after="200"/>
    </w:pPr>
    <w:rPr>
      <w:b/>
      <w:bCs/>
      <w:color w:val="4F81BD" w:themeColor="accent1"/>
      <w:sz w:val="18"/>
      <w:szCs w:val="18"/>
    </w:rPr>
  </w:style>
  <w:style w:type="character" w:customStyle="1" w:styleId="FooterChar">
    <w:name w:val="Footer Char"/>
    <w:basedOn w:val="DefaultParagraphFont"/>
    <w:link w:val="Footer"/>
    <w:uiPriority w:val="99"/>
    <w:rsid w:val="004043BF"/>
    <w:rPr>
      <w:rFonts w:ascii="Arial" w:hAnsi="Arial" w:cs="Arial"/>
      <w:b/>
      <w:color w:val="747678"/>
      <w:sz w:val="13"/>
    </w:rPr>
  </w:style>
  <w:style w:type="character" w:styleId="FollowedHyperlink">
    <w:name w:val="FollowedHyperlink"/>
    <w:basedOn w:val="DefaultParagraphFont"/>
    <w:uiPriority w:val="99"/>
    <w:unhideWhenUsed/>
    <w:rsid w:val="00483C98"/>
    <w:rPr>
      <w:color w:val="800080"/>
      <w:u w:val="single"/>
    </w:rPr>
  </w:style>
  <w:style w:type="paragraph" w:customStyle="1" w:styleId="font5">
    <w:name w:val="font5"/>
    <w:basedOn w:val="Normal"/>
    <w:rsid w:val="00483C98"/>
    <w:pPr>
      <w:spacing w:before="100" w:beforeAutospacing="1" w:after="100" w:afterAutospacing="1"/>
    </w:pPr>
    <w:rPr>
      <w:rFonts w:ascii="Tahoma" w:hAnsi="Tahoma" w:cs="Tahoma"/>
      <w:color w:val="000000"/>
      <w:sz w:val="18"/>
      <w:szCs w:val="18"/>
    </w:rPr>
  </w:style>
  <w:style w:type="paragraph" w:customStyle="1" w:styleId="xl64">
    <w:name w:val="xl64"/>
    <w:basedOn w:val="Normal"/>
    <w:rsid w:val="00483C98"/>
    <w:pPr>
      <w:spacing w:before="100" w:beforeAutospacing="1" w:after="100" w:afterAutospacing="1"/>
      <w:textAlignment w:val="top"/>
    </w:pPr>
    <w:rPr>
      <w:rFonts w:ascii="Arial" w:hAnsi="Arial"/>
      <w:sz w:val="20"/>
    </w:rPr>
  </w:style>
  <w:style w:type="paragraph" w:customStyle="1" w:styleId="xl65">
    <w:name w:val="xl65"/>
    <w:basedOn w:val="Normal"/>
    <w:rsid w:val="00483C98"/>
    <w:pPr>
      <w:spacing w:before="100" w:beforeAutospacing="1" w:after="100" w:afterAutospacing="1"/>
    </w:pPr>
    <w:rPr>
      <w:rFonts w:ascii="Arial" w:hAnsi="Arial"/>
      <w:sz w:val="20"/>
    </w:rPr>
  </w:style>
  <w:style w:type="paragraph" w:customStyle="1" w:styleId="xl66">
    <w:name w:val="xl66"/>
    <w:basedOn w:val="Normal"/>
    <w:rsid w:val="00483C98"/>
    <w:pPr>
      <w:spacing w:before="100" w:beforeAutospacing="1" w:after="100" w:afterAutospacing="1"/>
      <w:jc w:val="center"/>
      <w:textAlignment w:val="top"/>
    </w:pPr>
    <w:rPr>
      <w:rFonts w:ascii="Arial" w:hAnsi="Arial"/>
      <w:sz w:val="20"/>
    </w:rPr>
  </w:style>
  <w:style w:type="paragraph" w:customStyle="1" w:styleId="xl67">
    <w:name w:val="xl67"/>
    <w:basedOn w:val="Normal"/>
    <w:rsid w:val="00483C98"/>
    <w:pPr>
      <w:spacing w:before="100" w:beforeAutospacing="1" w:after="100" w:afterAutospacing="1"/>
      <w:jc w:val="center"/>
    </w:pPr>
    <w:rPr>
      <w:rFonts w:ascii="Arial" w:hAnsi="Arial"/>
      <w:sz w:val="20"/>
    </w:rPr>
  </w:style>
  <w:style w:type="paragraph" w:customStyle="1" w:styleId="xl68">
    <w:name w:val="xl68"/>
    <w:basedOn w:val="Normal"/>
    <w:rsid w:val="00483C98"/>
    <w:pPr>
      <w:spacing w:before="100" w:beforeAutospacing="1" w:after="100" w:afterAutospacing="1"/>
      <w:jc w:val="center"/>
    </w:pPr>
    <w:rPr>
      <w:rFonts w:ascii="Arial" w:hAnsi="Arial"/>
      <w:sz w:val="20"/>
    </w:rPr>
  </w:style>
  <w:style w:type="paragraph" w:customStyle="1" w:styleId="xl69">
    <w:name w:val="xl69"/>
    <w:basedOn w:val="Normal"/>
    <w:rsid w:val="00483C98"/>
    <w:pPr>
      <w:spacing w:before="100" w:beforeAutospacing="1" w:after="100" w:afterAutospacing="1"/>
    </w:pPr>
    <w:rPr>
      <w:rFonts w:ascii="Times New Roman" w:hAnsi="Times New Roman" w:cs="Times New Roman"/>
      <w:sz w:val="20"/>
    </w:rPr>
  </w:style>
  <w:style w:type="paragraph" w:customStyle="1" w:styleId="xl70">
    <w:name w:val="xl70"/>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Times New Roman"/>
      <w:sz w:val="20"/>
    </w:rPr>
  </w:style>
  <w:style w:type="paragraph" w:customStyle="1" w:styleId="xl71">
    <w:name w:val="xl71"/>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sz w:val="20"/>
    </w:rPr>
  </w:style>
  <w:style w:type="paragraph" w:customStyle="1" w:styleId="xl72">
    <w:name w:val="xl72"/>
    <w:basedOn w:val="Normal"/>
    <w:rsid w:val="00483C9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paragraph" w:customStyle="1" w:styleId="xl73">
    <w:name w:val="xl73"/>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Times New Roman"/>
      <w:sz w:val="20"/>
    </w:rPr>
  </w:style>
  <w:style w:type="paragraph" w:customStyle="1" w:styleId="xl74">
    <w:name w:val="xl74"/>
    <w:basedOn w:val="Normal"/>
    <w:rsid w:val="00483C98"/>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paragraph" w:customStyle="1" w:styleId="xl75">
    <w:name w:val="xl75"/>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sz w:val="20"/>
    </w:rPr>
  </w:style>
  <w:style w:type="paragraph" w:customStyle="1" w:styleId="xl76">
    <w:name w:val="xl76"/>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Times New Roman"/>
      <w:sz w:val="20"/>
    </w:rPr>
  </w:style>
  <w:style w:type="paragraph" w:customStyle="1" w:styleId="xl77">
    <w:name w:val="xl77"/>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Times New Roman"/>
      <w:sz w:val="20"/>
    </w:rPr>
  </w:style>
  <w:style w:type="paragraph" w:customStyle="1" w:styleId="xl78">
    <w:name w:val="xl78"/>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sz w:val="20"/>
    </w:rPr>
  </w:style>
  <w:style w:type="paragraph" w:customStyle="1" w:styleId="xl79">
    <w:name w:val="xl79"/>
    <w:basedOn w:val="Normal"/>
    <w:rsid w:val="00483C98"/>
    <w:pPr>
      <w:pBdr>
        <w:top w:val="single" w:sz="4" w:space="0" w:color="auto"/>
        <w:left w:val="single" w:sz="4" w:space="0" w:color="auto"/>
        <w:bottom w:val="single" w:sz="4" w:space="0" w:color="auto"/>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paragraph" w:customStyle="1" w:styleId="xl80">
    <w:name w:val="xl80"/>
    <w:basedOn w:val="Normal"/>
    <w:rsid w:val="00483C98"/>
    <w:pPr>
      <w:pBdr>
        <w:top w:val="single" w:sz="4" w:space="0" w:color="auto"/>
        <w:bottom w:val="single" w:sz="4" w:space="0" w:color="auto"/>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paragraph" w:customStyle="1" w:styleId="xl81">
    <w:name w:val="xl81"/>
    <w:basedOn w:val="Normal"/>
    <w:rsid w:val="00483C98"/>
    <w:pPr>
      <w:pBdr>
        <w:top w:val="single" w:sz="4" w:space="0" w:color="auto"/>
        <w:bottom w:val="single" w:sz="4" w:space="0" w:color="auto"/>
      </w:pBdr>
      <w:spacing w:before="100" w:beforeAutospacing="1" w:after="100" w:afterAutospacing="1"/>
      <w:jc w:val="center"/>
      <w:textAlignment w:val="top"/>
    </w:pPr>
    <w:rPr>
      <w:rFonts w:ascii="Arial" w:hAnsi="Arial"/>
      <w:sz w:val="20"/>
    </w:rPr>
  </w:style>
  <w:style w:type="paragraph" w:customStyle="1" w:styleId="xl82">
    <w:name w:val="xl82"/>
    <w:basedOn w:val="Normal"/>
    <w:rsid w:val="00483C98"/>
    <w:pPr>
      <w:pBdr>
        <w:top w:val="single" w:sz="4" w:space="0" w:color="auto"/>
        <w:bottom w:val="single" w:sz="4" w:space="0" w:color="auto"/>
      </w:pBdr>
      <w:spacing w:before="100" w:beforeAutospacing="1" w:after="100" w:afterAutospacing="1"/>
      <w:textAlignment w:val="top"/>
    </w:pPr>
    <w:rPr>
      <w:rFonts w:ascii="Arial" w:hAnsi="Arial"/>
      <w:sz w:val="20"/>
    </w:rPr>
  </w:style>
  <w:style w:type="paragraph" w:customStyle="1" w:styleId="xl83">
    <w:name w:val="xl83"/>
    <w:basedOn w:val="Normal"/>
    <w:rsid w:val="00483C98"/>
    <w:pPr>
      <w:pBdr>
        <w:top w:val="single" w:sz="4" w:space="0" w:color="auto"/>
        <w:left w:val="single" w:sz="4" w:space="0" w:color="auto"/>
        <w:bottom w:val="single" w:sz="4" w:space="0" w:color="auto"/>
      </w:pBdr>
      <w:spacing w:before="100" w:beforeAutospacing="1" w:after="100" w:afterAutospacing="1"/>
      <w:jc w:val="center"/>
      <w:textAlignment w:val="top"/>
    </w:pPr>
    <w:rPr>
      <w:rFonts w:cs="Times New Roman"/>
      <w:b/>
      <w:bCs/>
      <w:sz w:val="20"/>
    </w:rPr>
  </w:style>
  <w:style w:type="paragraph" w:customStyle="1" w:styleId="xl84">
    <w:name w:val="xl84"/>
    <w:basedOn w:val="Normal"/>
    <w:rsid w:val="00483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b/>
      <w:bCs/>
      <w:sz w:val="20"/>
    </w:rPr>
  </w:style>
  <w:style w:type="paragraph" w:customStyle="1" w:styleId="xl85">
    <w:name w:val="xl85"/>
    <w:basedOn w:val="Normal"/>
    <w:rsid w:val="00483C98"/>
    <w:pPr>
      <w:pBdr>
        <w:top w:val="single" w:sz="4" w:space="0" w:color="auto"/>
        <w:left w:val="single" w:sz="4" w:space="0" w:color="FFFFFF"/>
        <w:bottom w:val="single" w:sz="4" w:space="0" w:color="auto"/>
        <w:right w:val="single" w:sz="4" w:space="0" w:color="FFFFFF"/>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paragraph" w:customStyle="1" w:styleId="xl86">
    <w:name w:val="xl86"/>
    <w:basedOn w:val="Normal"/>
    <w:rsid w:val="00483C98"/>
    <w:pPr>
      <w:pBdr>
        <w:top w:val="single" w:sz="4" w:space="0" w:color="auto"/>
        <w:left w:val="single" w:sz="4" w:space="0" w:color="FFFFFF"/>
        <w:bottom w:val="single" w:sz="4" w:space="0" w:color="auto"/>
        <w:right w:val="single" w:sz="4" w:space="0" w:color="auto"/>
      </w:pBdr>
      <w:shd w:val="clear" w:color="000000" w:fill="7030A0"/>
      <w:spacing w:before="100" w:beforeAutospacing="1" w:after="100" w:afterAutospacing="1"/>
      <w:jc w:val="center"/>
      <w:textAlignment w:val="center"/>
    </w:pPr>
    <w:rPr>
      <w:rFonts w:ascii="Times New Roman" w:hAnsi="Times New Roman" w:cs="Times New Roman"/>
      <w:b/>
      <w:bCs/>
      <w:color w:val="FFFFFF"/>
      <w:sz w:val="20"/>
    </w:rPr>
  </w:style>
  <w:style w:type="character" w:customStyle="1" w:styleId="HeaderChar">
    <w:name w:val="Header Char"/>
    <w:basedOn w:val="DefaultParagraphFont"/>
    <w:link w:val="Header"/>
    <w:uiPriority w:val="99"/>
    <w:semiHidden/>
    <w:rsid w:val="00EC1DBB"/>
    <w:rPr>
      <w:rFonts w:ascii="Arial" w:hAnsi="Arial" w:cs="Arial"/>
      <w:b/>
      <w:color w:val="747678"/>
      <w:sz w:val="16"/>
    </w:rPr>
  </w:style>
  <w:style w:type="paragraph" w:customStyle="1" w:styleId="xl87">
    <w:name w:val="xl87"/>
    <w:basedOn w:val="Normal"/>
    <w:rsid w:val="00EC1DBB"/>
    <w:pPr>
      <w:pBdr>
        <w:top w:val="single" w:sz="4" w:space="0" w:color="auto"/>
        <w:left w:val="single" w:sz="4" w:space="0" w:color="auto"/>
        <w:right w:val="single" w:sz="4" w:space="0" w:color="auto"/>
      </w:pBdr>
      <w:spacing w:before="100" w:beforeAutospacing="1" w:after="100" w:afterAutospacing="1"/>
      <w:jc w:val="right"/>
      <w:textAlignment w:val="top"/>
    </w:pPr>
    <w:rPr>
      <w:rFonts w:cs="Times New Roman"/>
      <w:sz w:val="24"/>
      <w:szCs w:val="24"/>
    </w:rPr>
  </w:style>
  <w:style w:type="paragraph" w:customStyle="1" w:styleId="xl88">
    <w:name w:val="xl88"/>
    <w:basedOn w:val="Normal"/>
    <w:rsid w:val="00EC1DBB"/>
    <w:pPr>
      <w:pBdr>
        <w:top w:val="single" w:sz="4" w:space="0" w:color="auto"/>
        <w:left w:val="single" w:sz="4" w:space="0" w:color="auto"/>
        <w:bottom w:val="single" w:sz="4" w:space="0" w:color="auto"/>
      </w:pBdr>
      <w:spacing w:before="100" w:beforeAutospacing="1" w:after="100" w:afterAutospacing="1"/>
      <w:jc w:val="center"/>
      <w:textAlignment w:val="top"/>
    </w:pPr>
    <w:rPr>
      <w:rFonts w:cs="Times New Roman"/>
      <w:b/>
      <w:bCs/>
      <w:sz w:val="24"/>
      <w:szCs w:val="24"/>
    </w:rPr>
  </w:style>
  <w:style w:type="paragraph" w:customStyle="1" w:styleId="xl89">
    <w:name w:val="xl89"/>
    <w:basedOn w:val="Normal"/>
    <w:rsid w:val="00EC1DBB"/>
    <w:pPr>
      <w:pBdr>
        <w:top w:val="single" w:sz="4" w:space="0" w:color="auto"/>
        <w:bottom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90">
    <w:name w:val="xl90"/>
    <w:basedOn w:val="Normal"/>
    <w:rsid w:val="00EC1DBB"/>
    <w:pPr>
      <w:pBdr>
        <w:top w:val="single" w:sz="4" w:space="0" w:color="auto"/>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91">
    <w:name w:val="xl91"/>
    <w:basedOn w:val="Normal"/>
    <w:rsid w:val="00EC1DBB"/>
    <w:pPr>
      <w:pBdr>
        <w:top w:val="single" w:sz="4" w:space="0" w:color="auto"/>
        <w:bottom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92">
    <w:name w:val="xl92"/>
    <w:basedOn w:val="Normal"/>
    <w:rsid w:val="00EC1DBB"/>
    <w:pPr>
      <w:spacing w:before="100" w:beforeAutospacing="1" w:after="100" w:afterAutospacing="1"/>
      <w:textAlignment w:val="top"/>
    </w:pPr>
    <w:rPr>
      <w:rFonts w:cs="Times New Roman"/>
      <w:sz w:val="24"/>
      <w:szCs w:val="24"/>
    </w:rPr>
  </w:style>
  <w:style w:type="paragraph" w:customStyle="1" w:styleId="xl93">
    <w:name w:val="xl93"/>
    <w:basedOn w:val="Normal"/>
    <w:rsid w:val="00EC1DBB"/>
    <w:pPr>
      <w:pBdr>
        <w:top w:val="single" w:sz="4" w:space="0" w:color="auto"/>
        <w:left w:val="single" w:sz="4" w:space="0" w:color="auto"/>
        <w:right w:val="single" w:sz="4" w:space="0" w:color="auto"/>
      </w:pBdr>
      <w:spacing w:before="100" w:beforeAutospacing="1" w:after="100" w:afterAutospacing="1"/>
      <w:jc w:val="right"/>
      <w:textAlignment w:val="top"/>
    </w:pPr>
    <w:rPr>
      <w:rFonts w:cs="Times New Roman"/>
      <w:sz w:val="24"/>
      <w:szCs w:val="24"/>
    </w:rPr>
  </w:style>
  <w:style w:type="paragraph" w:customStyle="1" w:styleId="xl94">
    <w:name w:val="xl94"/>
    <w:basedOn w:val="Normal"/>
    <w:rsid w:val="00EC1D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Times New Roman"/>
      <w:b/>
      <w:bCs/>
      <w:sz w:val="24"/>
      <w:szCs w:val="24"/>
    </w:rPr>
  </w:style>
  <w:style w:type="paragraph" w:customStyle="1" w:styleId="xl95">
    <w:name w:val="xl95"/>
    <w:basedOn w:val="Normal"/>
    <w:rsid w:val="00EC1DBB"/>
    <w:pPr>
      <w:spacing w:before="100" w:beforeAutospacing="1" w:after="100" w:afterAutospacing="1"/>
    </w:pPr>
    <w:rPr>
      <w:rFonts w:ascii="Times New Roman" w:hAnsi="Times New Roman" w:cs="Times New Roman"/>
      <w:sz w:val="24"/>
      <w:szCs w:val="24"/>
    </w:rPr>
  </w:style>
  <w:style w:type="paragraph" w:customStyle="1" w:styleId="Default">
    <w:name w:val="Default"/>
    <w:rsid w:val="00C97891"/>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1F6DD3"/>
    <w:rPr>
      <w:rFonts w:ascii="Garamond" w:hAnsi="Garamond" w:cs="Arial"/>
      <w:sz w:val="22"/>
    </w:rPr>
  </w:style>
  <w:style w:type="paragraph" w:styleId="NormalWeb">
    <w:name w:val="Normal (Web)"/>
    <w:basedOn w:val="Normal"/>
    <w:uiPriority w:val="99"/>
    <w:unhideWhenUsed/>
    <w:rsid w:val="00B02149"/>
    <w:pPr>
      <w:spacing w:before="100" w:beforeAutospacing="1" w:after="100" w:afterAutospacing="1"/>
    </w:pPr>
    <w:rPr>
      <w:rFonts w:ascii="Times New Roman" w:hAnsi="Times New Roman" w:cs="Times New Roman"/>
      <w:sz w:val="24"/>
      <w:szCs w:val="24"/>
    </w:rPr>
  </w:style>
  <w:style w:type="character" w:customStyle="1" w:styleId="BodyTextChar">
    <w:name w:val="Body Text Char"/>
    <w:basedOn w:val="DefaultParagraphFont"/>
    <w:link w:val="BodyText"/>
    <w:rsid w:val="00060026"/>
    <w:rPr>
      <w:rFonts w:ascii="Garamond" w:hAnsi="Garamond" w:cs="Arial"/>
      <w:sz w:val="22"/>
    </w:rPr>
  </w:style>
</w:styles>
</file>

<file path=word/webSettings.xml><?xml version="1.0" encoding="utf-8"?>
<w:webSettings xmlns:r="http://schemas.openxmlformats.org/officeDocument/2006/relationships" xmlns:w="http://schemas.openxmlformats.org/wordprocessingml/2006/main">
  <w:divs>
    <w:div w:id="28650215">
      <w:bodyDiv w:val="1"/>
      <w:marLeft w:val="0"/>
      <w:marRight w:val="0"/>
      <w:marTop w:val="0"/>
      <w:marBottom w:val="0"/>
      <w:divBdr>
        <w:top w:val="none" w:sz="0" w:space="0" w:color="auto"/>
        <w:left w:val="none" w:sz="0" w:space="0" w:color="auto"/>
        <w:bottom w:val="none" w:sz="0" w:space="0" w:color="auto"/>
        <w:right w:val="none" w:sz="0" w:space="0" w:color="auto"/>
      </w:divBdr>
    </w:div>
    <w:div w:id="51392360">
      <w:bodyDiv w:val="1"/>
      <w:marLeft w:val="0"/>
      <w:marRight w:val="0"/>
      <w:marTop w:val="0"/>
      <w:marBottom w:val="0"/>
      <w:divBdr>
        <w:top w:val="none" w:sz="0" w:space="0" w:color="auto"/>
        <w:left w:val="none" w:sz="0" w:space="0" w:color="auto"/>
        <w:bottom w:val="none" w:sz="0" w:space="0" w:color="auto"/>
        <w:right w:val="none" w:sz="0" w:space="0" w:color="auto"/>
      </w:divBdr>
    </w:div>
    <w:div w:id="175971127">
      <w:bodyDiv w:val="1"/>
      <w:marLeft w:val="0"/>
      <w:marRight w:val="0"/>
      <w:marTop w:val="0"/>
      <w:marBottom w:val="0"/>
      <w:divBdr>
        <w:top w:val="none" w:sz="0" w:space="0" w:color="auto"/>
        <w:left w:val="none" w:sz="0" w:space="0" w:color="auto"/>
        <w:bottom w:val="none" w:sz="0" w:space="0" w:color="auto"/>
        <w:right w:val="none" w:sz="0" w:space="0" w:color="auto"/>
      </w:divBdr>
    </w:div>
    <w:div w:id="178666922">
      <w:bodyDiv w:val="1"/>
      <w:marLeft w:val="0"/>
      <w:marRight w:val="0"/>
      <w:marTop w:val="0"/>
      <w:marBottom w:val="0"/>
      <w:divBdr>
        <w:top w:val="none" w:sz="0" w:space="0" w:color="auto"/>
        <w:left w:val="none" w:sz="0" w:space="0" w:color="auto"/>
        <w:bottom w:val="none" w:sz="0" w:space="0" w:color="auto"/>
        <w:right w:val="none" w:sz="0" w:space="0" w:color="auto"/>
      </w:divBdr>
    </w:div>
    <w:div w:id="198400069">
      <w:bodyDiv w:val="1"/>
      <w:marLeft w:val="0"/>
      <w:marRight w:val="0"/>
      <w:marTop w:val="0"/>
      <w:marBottom w:val="0"/>
      <w:divBdr>
        <w:top w:val="none" w:sz="0" w:space="0" w:color="auto"/>
        <w:left w:val="none" w:sz="0" w:space="0" w:color="auto"/>
        <w:bottom w:val="none" w:sz="0" w:space="0" w:color="auto"/>
        <w:right w:val="none" w:sz="0" w:space="0" w:color="auto"/>
      </w:divBdr>
    </w:div>
    <w:div w:id="327640177">
      <w:bodyDiv w:val="1"/>
      <w:marLeft w:val="0"/>
      <w:marRight w:val="0"/>
      <w:marTop w:val="0"/>
      <w:marBottom w:val="0"/>
      <w:divBdr>
        <w:top w:val="none" w:sz="0" w:space="0" w:color="auto"/>
        <w:left w:val="none" w:sz="0" w:space="0" w:color="auto"/>
        <w:bottom w:val="none" w:sz="0" w:space="0" w:color="auto"/>
        <w:right w:val="none" w:sz="0" w:space="0" w:color="auto"/>
      </w:divBdr>
      <w:divsChild>
        <w:div w:id="7102201">
          <w:marLeft w:val="547"/>
          <w:marRight w:val="0"/>
          <w:marTop w:val="134"/>
          <w:marBottom w:val="202"/>
          <w:divBdr>
            <w:top w:val="none" w:sz="0" w:space="0" w:color="auto"/>
            <w:left w:val="none" w:sz="0" w:space="0" w:color="auto"/>
            <w:bottom w:val="none" w:sz="0" w:space="0" w:color="auto"/>
            <w:right w:val="none" w:sz="0" w:space="0" w:color="auto"/>
          </w:divBdr>
        </w:div>
      </w:divsChild>
    </w:div>
    <w:div w:id="370573028">
      <w:bodyDiv w:val="1"/>
      <w:marLeft w:val="0"/>
      <w:marRight w:val="0"/>
      <w:marTop w:val="0"/>
      <w:marBottom w:val="0"/>
      <w:divBdr>
        <w:top w:val="none" w:sz="0" w:space="0" w:color="auto"/>
        <w:left w:val="none" w:sz="0" w:space="0" w:color="auto"/>
        <w:bottom w:val="none" w:sz="0" w:space="0" w:color="auto"/>
        <w:right w:val="none" w:sz="0" w:space="0" w:color="auto"/>
      </w:divBdr>
    </w:div>
    <w:div w:id="477307063">
      <w:bodyDiv w:val="1"/>
      <w:marLeft w:val="0"/>
      <w:marRight w:val="0"/>
      <w:marTop w:val="0"/>
      <w:marBottom w:val="0"/>
      <w:divBdr>
        <w:top w:val="none" w:sz="0" w:space="0" w:color="auto"/>
        <w:left w:val="none" w:sz="0" w:space="0" w:color="auto"/>
        <w:bottom w:val="none" w:sz="0" w:space="0" w:color="auto"/>
        <w:right w:val="none" w:sz="0" w:space="0" w:color="auto"/>
      </w:divBdr>
    </w:div>
    <w:div w:id="678846470">
      <w:bodyDiv w:val="1"/>
      <w:marLeft w:val="0"/>
      <w:marRight w:val="0"/>
      <w:marTop w:val="0"/>
      <w:marBottom w:val="0"/>
      <w:divBdr>
        <w:top w:val="none" w:sz="0" w:space="0" w:color="auto"/>
        <w:left w:val="none" w:sz="0" w:space="0" w:color="auto"/>
        <w:bottom w:val="none" w:sz="0" w:space="0" w:color="auto"/>
        <w:right w:val="none" w:sz="0" w:space="0" w:color="auto"/>
      </w:divBdr>
    </w:div>
    <w:div w:id="679280793">
      <w:bodyDiv w:val="1"/>
      <w:marLeft w:val="0"/>
      <w:marRight w:val="0"/>
      <w:marTop w:val="0"/>
      <w:marBottom w:val="0"/>
      <w:divBdr>
        <w:top w:val="none" w:sz="0" w:space="0" w:color="auto"/>
        <w:left w:val="none" w:sz="0" w:space="0" w:color="auto"/>
        <w:bottom w:val="none" w:sz="0" w:space="0" w:color="auto"/>
        <w:right w:val="none" w:sz="0" w:space="0" w:color="auto"/>
      </w:divBdr>
    </w:div>
    <w:div w:id="681594079">
      <w:bodyDiv w:val="1"/>
      <w:marLeft w:val="0"/>
      <w:marRight w:val="0"/>
      <w:marTop w:val="0"/>
      <w:marBottom w:val="0"/>
      <w:divBdr>
        <w:top w:val="none" w:sz="0" w:space="0" w:color="auto"/>
        <w:left w:val="none" w:sz="0" w:space="0" w:color="auto"/>
        <w:bottom w:val="none" w:sz="0" w:space="0" w:color="auto"/>
        <w:right w:val="none" w:sz="0" w:space="0" w:color="auto"/>
      </w:divBdr>
    </w:div>
    <w:div w:id="781074618">
      <w:bodyDiv w:val="1"/>
      <w:marLeft w:val="0"/>
      <w:marRight w:val="0"/>
      <w:marTop w:val="0"/>
      <w:marBottom w:val="0"/>
      <w:divBdr>
        <w:top w:val="none" w:sz="0" w:space="0" w:color="auto"/>
        <w:left w:val="none" w:sz="0" w:space="0" w:color="auto"/>
        <w:bottom w:val="none" w:sz="0" w:space="0" w:color="auto"/>
        <w:right w:val="none" w:sz="0" w:space="0" w:color="auto"/>
      </w:divBdr>
    </w:div>
    <w:div w:id="784080983">
      <w:bodyDiv w:val="1"/>
      <w:marLeft w:val="0"/>
      <w:marRight w:val="0"/>
      <w:marTop w:val="0"/>
      <w:marBottom w:val="0"/>
      <w:divBdr>
        <w:top w:val="none" w:sz="0" w:space="0" w:color="auto"/>
        <w:left w:val="none" w:sz="0" w:space="0" w:color="auto"/>
        <w:bottom w:val="none" w:sz="0" w:space="0" w:color="auto"/>
        <w:right w:val="none" w:sz="0" w:space="0" w:color="auto"/>
      </w:divBdr>
    </w:div>
    <w:div w:id="804854260">
      <w:bodyDiv w:val="1"/>
      <w:marLeft w:val="0"/>
      <w:marRight w:val="0"/>
      <w:marTop w:val="0"/>
      <w:marBottom w:val="0"/>
      <w:divBdr>
        <w:top w:val="none" w:sz="0" w:space="0" w:color="auto"/>
        <w:left w:val="none" w:sz="0" w:space="0" w:color="auto"/>
        <w:bottom w:val="none" w:sz="0" w:space="0" w:color="auto"/>
        <w:right w:val="none" w:sz="0" w:space="0" w:color="auto"/>
      </w:divBdr>
    </w:div>
    <w:div w:id="915014278">
      <w:bodyDiv w:val="1"/>
      <w:marLeft w:val="0"/>
      <w:marRight w:val="0"/>
      <w:marTop w:val="0"/>
      <w:marBottom w:val="0"/>
      <w:divBdr>
        <w:top w:val="none" w:sz="0" w:space="0" w:color="auto"/>
        <w:left w:val="none" w:sz="0" w:space="0" w:color="auto"/>
        <w:bottom w:val="none" w:sz="0" w:space="0" w:color="auto"/>
        <w:right w:val="none" w:sz="0" w:space="0" w:color="auto"/>
      </w:divBdr>
    </w:div>
    <w:div w:id="930891048">
      <w:bodyDiv w:val="1"/>
      <w:marLeft w:val="0"/>
      <w:marRight w:val="0"/>
      <w:marTop w:val="0"/>
      <w:marBottom w:val="0"/>
      <w:divBdr>
        <w:top w:val="none" w:sz="0" w:space="0" w:color="auto"/>
        <w:left w:val="none" w:sz="0" w:space="0" w:color="auto"/>
        <w:bottom w:val="none" w:sz="0" w:space="0" w:color="auto"/>
        <w:right w:val="none" w:sz="0" w:space="0" w:color="auto"/>
      </w:divBdr>
    </w:div>
    <w:div w:id="957220265">
      <w:bodyDiv w:val="1"/>
      <w:marLeft w:val="0"/>
      <w:marRight w:val="0"/>
      <w:marTop w:val="0"/>
      <w:marBottom w:val="0"/>
      <w:divBdr>
        <w:top w:val="none" w:sz="0" w:space="0" w:color="auto"/>
        <w:left w:val="none" w:sz="0" w:space="0" w:color="auto"/>
        <w:bottom w:val="none" w:sz="0" w:space="0" w:color="auto"/>
        <w:right w:val="none" w:sz="0" w:space="0" w:color="auto"/>
      </w:divBdr>
    </w:div>
    <w:div w:id="1006591026">
      <w:bodyDiv w:val="1"/>
      <w:marLeft w:val="0"/>
      <w:marRight w:val="0"/>
      <w:marTop w:val="0"/>
      <w:marBottom w:val="0"/>
      <w:divBdr>
        <w:top w:val="none" w:sz="0" w:space="0" w:color="auto"/>
        <w:left w:val="none" w:sz="0" w:space="0" w:color="auto"/>
        <w:bottom w:val="none" w:sz="0" w:space="0" w:color="auto"/>
        <w:right w:val="none" w:sz="0" w:space="0" w:color="auto"/>
      </w:divBdr>
    </w:div>
    <w:div w:id="1045174830">
      <w:bodyDiv w:val="1"/>
      <w:marLeft w:val="0"/>
      <w:marRight w:val="0"/>
      <w:marTop w:val="0"/>
      <w:marBottom w:val="0"/>
      <w:divBdr>
        <w:top w:val="none" w:sz="0" w:space="0" w:color="auto"/>
        <w:left w:val="none" w:sz="0" w:space="0" w:color="auto"/>
        <w:bottom w:val="none" w:sz="0" w:space="0" w:color="auto"/>
        <w:right w:val="none" w:sz="0" w:space="0" w:color="auto"/>
      </w:divBdr>
    </w:div>
    <w:div w:id="1048456716">
      <w:bodyDiv w:val="1"/>
      <w:marLeft w:val="0"/>
      <w:marRight w:val="0"/>
      <w:marTop w:val="0"/>
      <w:marBottom w:val="0"/>
      <w:divBdr>
        <w:top w:val="none" w:sz="0" w:space="0" w:color="auto"/>
        <w:left w:val="none" w:sz="0" w:space="0" w:color="auto"/>
        <w:bottom w:val="none" w:sz="0" w:space="0" w:color="auto"/>
        <w:right w:val="none" w:sz="0" w:space="0" w:color="auto"/>
      </w:divBdr>
    </w:div>
    <w:div w:id="1130705180">
      <w:bodyDiv w:val="1"/>
      <w:marLeft w:val="0"/>
      <w:marRight w:val="0"/>
      <w:marTop w:val="0"/>
      <w:marBottom w:val="0"/>
      <w:divBdr>
        <w:top w:val="none" w:sz="0" w:space="0" w:color="auto"/>
        <w:left w:val="none" w:sz="0" w:space="0" w:color="auto"/>
        <w:bottom w:val="none" w:sz="0" w:space="0" w:color="auto"/>
        <w:right w:val="none" w:sz="0" w:space="0" w:color="auto"/>
      </w:divBdr>
    </w:div>
    <w:div w:id="1193228385">
      <w:bodyDiv w:val="1"/>
      <w:marLeft w:val="0"/>
      <w:marRight w:val="0"/>
      <w:marTop w:val="0"/>
      <w:marBottom w:val="0"/>
      <w:divBdr>
        <w:top w:val="none" w:sz="0" w:space="0" w:color="auto"/>
        <w:left w:val="none" w:sz="0" w:space="0" w:color="auto"/>
        <w:bottom w:val="none" w:sz="0" w:space="0" w:color="auto"/>
        <w:right w:val="none" w:sz="0" w:space="0" w:color="auto"/>
      </w:divBdr>
    </w:div>
    <w:div w:id="1244994627">
      <w:bodyDiv w:val="1"/>
      <w:marLeft w:val="0"/>
      <w:marRight w:val="0"/>
      <w:marTop w:val="0"/>
      <w:marBottom w:val="0"/>
      <w:divBdr>
        <w:top w:val="none" w:sz="0" w:space="0" w:color="auto"/>
        <w:left w:val="none" w:sz="0" w:space="0" w:color="auto"/>
        <w:bottom w:val="none" w:sz="0" w:space="0" w:color="auto"/>
        <w:right w:val="none" w:sz="0" w:space="0" w:color="auto"/>
      </w:divBdr>
    </w:div>
    <w:div w:id="1265918173">
      <w:bodyDiv w:val="1"/>
      <w:marLeft w:val="0"/>
      <w:marRight w:val="0"/>
      <w:marTop w:val="0"/>
      <w:marBottom w:val="0"/>
      <w:divBdr>
        <w:top w:val="none" w:sz="0" w:space="0" w:color="auto"/>
        <w:left w:val="none" w:sz="0" w:space="0" w:color="auto"/>
        <w:bottom w:val="none" w:sz="0" w:space="0" w:color="auto"/>
        <w:right w:val="none" w:sz="0" w:space="0" w:color="auto"/>
      </w:divBdr>
    </w:div>
    <w:div w:id="1280837025">
      <w:bodyDiv w:val="1"/>
      <w:marLeft w:val="0"/>
      <w:marRight w:val="0"/>
      <w:marTop w:val="0"/>
      <w:marBottom w:val="0"/>
      <w:divBdr>
        <w:top w:val="none" w:sz="0" w:space="0" w:color="auto"/>
        <w:left w:val="none" w:sz="0" w:space="0" w:color="auto"/>
        <w:bottom w:val="none" w:sz="0" w:space="0" w:color="auto"/>
        <w:right w:val="none" w:sz="0" w:space="0" w:color="auto"/>
      </w:divBdr>
    </w:div>
    <w:div w:id="1313214197">
      <w:bodyDiv w:val="1"/>
      <w:marLeft w:val="0"/>
      <w:marRight w:val="0"/>
      <w:marTop w:val="0"/>
      <w:marBottom w:val="0"/>
      <w:divBdr>
        <w:top w:val="none" w:sz="0" w:space="0" w:color="auto"/>
        <w:left w:val="none" w:sz="0" w:space="0" w:color="auto"/>
        <w:bottom w:val="none" w:sz="0" w:space="0" w:color="auto"/>
        <w:right w:val="none" w:sz="0" w:space="0" w:color="auto"/>
      </w:divBdr>
    </w:div>
    <w:div w:id="1367636055">
      <w:bodyDiv w:val="1"/>
      <w:marLeft w:val="0"/>
      <w:marRight w:val="0"/>
      <w:marTop w:val="0"/>
      <w:marBottom w:val="0"/>
      <w:divBdr>
        <w:top w:val="none" w:sz="0" w:space="0" w:color="auto"/>
        <w:left w:val="none" w:sz="0" w:space="0" w:color="auto"/>
        <w:bottom w:val="none" w:sz="0" w:space="0" w:color="auto"/>
        <w:right w:val="none" w:sz="0" w:space="0" w:color="auto"/>
      </w:divBdr>
    </w:div>
    <w:div w:id="1373462440">
      <w:bodyDiv w:val="1"/>
      <w:marLeft w:val="0"/>
      <w:marRight w:val="0"/>
      <w:marTop w:val="0"/>
      <w:marBottom w:val="0"/>
      <w:divBdr>
        <w:top w:val="none" w:sz="0" w:space="0" w:color="auto"/>
        <w:left w:val="none" w:sz="0" w:space="0" w:color="auto"/>
        <w:bottom w:val="none" w:sz="0" w:space="0" w:color="auto"/>
        <w:right w:val="none" w:sz="0" w:space="0" w:color="auto"/>
      </w:divBdr>
    </w:div>
    <w:div w:id="1386446394">
      <w:bodyDiv w:val="1"/>
      <w:marLeft w:val="0"/>
      <w:marRight w:val="0"/>
      <w:marTop w:val="0"/>
      <w:marBottom w:val="0"/>
      <w:divBdr>
        <w:top w:val="none" w:sz="0" w:space="0" w:color="auto"/>
        <w:left w:val="none" w:sz="0" w:space="0" w:color="auto"/>
        <w:bottom w:val="none" w:sz="0" w:space="0" w:color="auto"/>
        <w:right w:val="none" w:sz="0" w:space="0" w:color="auto"/>
      </w:divBdr>
    </w:div>
    <w:div w:id="1407024872">
      <w:bodyDiv w:val="1"/>
      <w:marLeft w:val="0"/>
      <w:marRight w:val="0"/>
      <w:marTop w:val="0"/>
      <w:marBottom w:val="0"/>
      <w:divBdr>
        <w:top w:val="none" w:sz="0" w:space="0" w:color="auto"/>
        <w:left w:val="none" w:sz="0" w:space="0" w:color="auto"/>
        <w:bottom w:val="none" w:sz="0" w:space="0" w:color="auto"/>
        <w:right w:val="none" w:sz="0" w:space="0" w:color="auto"/>
      </w:divBdr>
    </w:div>
    <w:div w:id="1542597400">
      <w:bodyDiv w:val="1"/>
      <w:marLeft w:val="0"/>
      <w:marRight w:val="0"/>
      <w:marTop w:val="0"/>
      <w:marBottom w:val="0"/>
      <w:divBdr>
        <w:top w:val="none" w:sz="0" w:space="0" w:color="auto"/>
        <w:left w:val="none" w:sz="0" w:space="0" w:color="auto"/>
        <w:bottom w:val="none" w:sz="0" w:space="0" w:color="auto"/>
        <w:right w:val="none" w:sz="0" w:space="0" w:color="auto"/>
      </w:divBdr>
    </w:div>
    <w:div w:id="1603951312">
      <w:bodyDiv w:val="1"/>
      <w:marLeft w:val="0"/>
      <w:marRight w:val="0"/>
      <w:marTop w:val="0"/>
      <w:marBottom w:val="0"/>
      <w:divBdr>
        <w:top w:val="none" w:sz="0" w:space="0" w:color="auto"/>
        <w:left w:val="none" w:sz="0" w:space="0" w:color="auto"/>
        <w:bottom w:val="none" w:sz="0" w:space="0" w:color="auto"/>
        <w:right w:val="none" w:sz="0" w:space="0" w:color="auto"/>
      </w:divBdr>
    </w:div>
    <w:div w:id="1645543613">
      <w:bodyDiv w:val="1"/>
      <w:marLeft w:val="0"/>
      <w:marRight w:val="0"/>
      <w:marTop w:val="0"/>
      <w:marBottom w:val="0"/>
      <w:divBdr>
        <w:top w:val="none" w:sz="0" w:space="0" w:color="auto"/>
        <w:left w:val="none" w:sz="0" w:space="0" w:color="auto"/>
        <w:bottom w:val="none" w:sz="0" w:space="0" w:color="auto"/>
        <w:right w:val="none" w:sz="0" w:space="0" w:color="auto"/>
      </w:divBdr>
      <w:divsChild>
        <w:div w:id="757142121">
          <w:marLeft w:val="0"/>
          <w:marRight w:val="0"/>
          <w:marTop w:val="0"/>
          <w:marBottom w:val="0"/>
          <w:divBdr>
            <w:top w:val="none" w:sz="0" w:space="0" w:color="auto"/>
            <w:left w:val="none" w:sz="0" w:space="0" w:color="auto"/>
            <w:bottom w:val="none" w:sz="0" w:space="0" w:color="auto"/>
            <w:right w:val="none" w:sz="0" w:space="0" w:color="auto"/>
          </w:divBdr>
          <w:divsChild>
            <w:div w:id="1507288789">
              <w:marLeft w:val="0"/>
              <w:marRight w:val="0"/>
              <w:marTop w:val="0"/>
              <w:marBottom w:val="0"/>
              <w:divBdr>
                <w:top w:val="none" w:sz="0" w:space="0" w:color="auto"/>
                <w:left w:val="none" w:sz="0" w:space="0" w:color="auto"/>
                <w:bottom w:val="none" w:sz="0" w:space="0" w:color="auto"/>
                <w:right w:val="none" w:sz="0" w:space="0" w:color="auto"/>
              </w:divBdr>
              <w:divsChild>
                <w:div w:id="15356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5093">
      <w:bodyDiv w:val="1"/>
      <w:marLeft w:val="0"/>
      <w:marRight w:val="0"/>
      <w:marTop w:val="0"/>
      <w:marBottom w:val="0"/>
      <w:divBdr>
        <w:top w:val="none" w:sz="0" w:space="0" w:color="auto"/>
        <w:left w:val="none" w:sz="0" w:space="0" w:color="auto"/>
        <w:bottom w:val="none" w:sz="0" w:space="0" w:color="auto"/>
        <w:right w:val="none" w:sz="0" w:space="0" w:color="auto"/>
      </w:divBdr>
    </w:div>
    <w:div w:id="1719890091">
      <w:bodyDiv w:val="1"/>
      <w:marLeft w:val="0"/>
      <w:marRight w:val="0"/>
      <w:marTop w:val="0"/>
      <w:marBottom w:val="0"/>
      <w:divBdr>
        <w:top w:val="none" w:sz="0" w:space="0" w:color="auto"/>
        <w:left w:val="none" w:sz="0" w:space="0" w:color="auto"/>
        <w:bottom w:val="none" w:sz="0" w:space="0" w:color="auto"/>
        <w:right w:val="none" w:sz="0" w:space="0" w:color="auto"/>
      </w:divBdr>
    </w:div>
    <w:div w:id="1776243981">
      <w:bodyDiv w:val="1"/>
      <w:marLeft w:val="0"/>
      <w:marRight w:val="0"/>
      <w:marTop w:val="0"/>
      <w:marBottom w:val="0"/>
      <w:divBdr>
        <w:top w:val="none" w:sz="0" w:space="0" w:color="auto"/>
        <w:left w:val="none" w:sz="0" w:space="0" w:color="auto"/>
        <w:bottom w:val="none" w:sz="0" w:space="0" w:color="auto"/>
        <w:right w:val="none" w:sz="0" w:space="0" w:color="auto"/>
      </w:divBdr>
    </w:div>
    <w:div w:id="1779565229">
      <w:bodyDiv w:val="1"/>
      <w:marLeft w:val="0"/>
      <w:marRight w:val="0"/>
      <w:marTop w:val="0"/>
      <w:marBottom w:val="0"/>
      <w:divBdr>
        <w:top w:val="none" w:sz="0" w:space="0" w:color="auto"/>
        <w:left w:val="none" w:sz="0" w:space="0" w:color="auto"/>
        <w:bottom w:val="none" w:sz="0" w:space="0" w:color="auto"/>
        <w:right w:val="none" w:sz="0" w:space="0" w:color="auto"/>
      </w:divBdr>
    </w:div>
    <w:div w:id="1874417342">
      <w:bodyDiv w:val="1"/>
      <w:marLeft w:val="0"/>
      <w:marRight w:val="0"/>
      <w:marTop w:val="0"/>
      <w:marBottom w:val="0"/>
      <w:divBdr>
        <w:top w:val="none" w:sz="0" w:space="0" w:color="auto"/>
        <w:left w:val="none" w:sz="0" w:space="0" w:color="auto"/>
        <w:bottom w:val="none" w:sz="0" w:space="0" w:color="auto"/>
        <w:right w:val="none" w:sz="0" w:space="0" w:color="auto"/>
      </w:divBdr>
    </w:div>
    <w:div w:id="1893467328">
      <w:bodyDiv w:val="1"/>
      <w:marLeft w:val="0"/>
      <w:marRight w:val="0"/>
      <w:marTop w:val="0"/>
      <w:marBottom w:val="0"/>
      <w:divBdr>
        <w:top w:val="none" w:sz="0" w:space="0" w:color="auto"/>
        <w:left w:val="none" w:sz="0" w:space="0" w:color="auto"/>
        <w:bottom w:val="none" w:sz="0" w:space="0" w:color="auto"/>
        <w:right w:val="none" w:sz="0" w:space="0" w:color="auto"/>
      </w:divBdr>
    </w:div>
    <w:div w:id="1913083725">
      <w:bodyDiv w:val="1"/>
      <w:marLeft w:val="0"/>
      <w:marRight w:val="0"/>
      <w:marTop w:val="0"/>
      <w:marBottom w:val="0"/>
      <w:divBdr>
        <w:top w:val="none" w:sz="0" w:space="0" w:color="auto"/>
        <w:left w:val="none" w:sz="0" w:space="0" w:color="auto"/>
        <w:bottom w:val="none" w:sz="0" w:space="0" w:color="auto"/>
        <w:right w:val="none" w:sz="0" w:space="0" w:color="auto"/>
      </w:divBdr>
    </w:div>
    <w:div w:id="1936592197">
      <w:bodyDiv w:val="1"/>
      <w:marLeft w:val="0"/>
      <w:marRight w:val="0"/>
      <w:marTop w:val="0"/>
      <w:marBottom w:val="0"/>
      <w:divBdr>
        <w:top w:val="none" w:sz="0" w:space="0" w:color="auto"/>
        <w:left w:val="none" w:sz="0" w:space="0" w:color="auto"/>
        <w:bottom w:val="none" w:sz="0" w:space="0" w:color="auto"/>
        <w:right w:val="none" w:sz="0" w:space="0" w:color="auto"/>
      </w:divBdr>
    </w:div>
    <w:div w:id="2032756286">
      <w:bodyDiv w:val="1"/>
      <w:marLeft w:val="0"/>
      <w:marRight w:val="0"/>
      <w:marTop w:val="0"/>
      <w:marBottom w:val="0"/>
      <w:divBdr>
        <w:top w:val="none" w:sz="0" w:space="0" w:color="auto"/>
        <w:left w:val="none" w:sz="0" w:space="0" w:color="auto"/>
        <w:bottom w:val="none" w:sz="0" w:space="0" w:color="auto"/>
        <w:right w:val="none" w:sz="0" w:space="0" w:color="auto"/>
      </w:divBdr>
    </w:div>
    <w:div w:id="213282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jeff.davis@hq.doe.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gao.gov/assets/650/648939.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hitehouse.gov/omb/procurement-service-contract-inven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835B-5FE8-4EE9-9A08-6C5CFEBB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2148</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14845</CharactersWithSpaces>
  <SharedDoc>false</SharedDoc>
  <HLinks>
    <vt:vector size="12" baseType="variant">
      <vt:variant>
        <vt:i4>1179697</vt:i4>
      </vt:variant>
      <vt:variant>
        <vt:i4>12</vt:i4>
      </vt:variant>
      <vt:variant>
        <vt:i4>0</vt:i4>
      </vt:variant>
      <vt:variant>
        <vt:i4>5</vt:i4>
      </vt:variant>
      <vt:variant>
        <vt:lpwstr/>
      </vt:variant>
      <vt:variant>
        <vt:lpwstr>_Toc190358570</vt:lpwstr>
      </vt:variant>
      <vt:variant>
        <vt:i4>1245233</vt:i4>
      </vt:variant>
      <vt:variant>
        <vt:i4>6</vt:i4>
      </vt:variant>
      <vt:variant>
        <vt:i4>0</vt:i4>
      </vt:variant>
      <vt:variant>
        <vt:i4>5</vt:i4>
      </vt:variant>
      <vt:variant>
        <vt:lpwstr/>
      </vt:variant>
      <vt:variant>
        <vt:lpwstr>_Toc190358569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Wilhelm</dc:creator>
  <cp:lastModifiedBy>davisth</cp:lastModifiedBy>
  <cp:revision>5</cp:revision>
  <cp:lastPrinted>2012-12-28T18:10:00Z</cp:lastPrinted>
  <dcterms:created xsi:type="dcterms:W3CDTF">2014-01-31T17:47:00Z</dcterms:created>
  <dcterms:modified xsi:type="dcterms:W3CDTF">2014-01-31T18:07:00Z</dcterms:modified>
</cp:coreProperties>
</file>