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3F" w:rsidRPr="003B4D42" w:rsidRDefault="008D453F"/>
    <w:p w:rsidR="00895AB4" w:rsidRDefault="00895AB4">
      <w:pPr>
        <w:rPr>
          <w:sz w:val="28"/>
          <w:szCs w:val="28"/>
          <w:highlight w:val="yellow"/>
        </w:rPr>
      </w:pPr>
    </w:p>
    <w:p w:rsidR="00895AB4" w:rsidRDefault="00895AB4">
      <w:pPr>
        <w:rPr>
          <w:sz w:val="28"/>
          <w:szCs w:val="28"/>
          <w:highlight w:val="yellow"/>
        </w:rPr>
      </w:pPr>
    </w:p>
    <w:p w:rsidR="006C0175" w:rsidRDefault="006C0175"/>
    <w:p w:rsidR="006C0175" w:rsidRDefault="006C0175"/>
    <w:p w:rsidR="00A80A0E" w:rsidRDefault="00A80A0E" w:rsidP="00A80A0E">
      <w:pPr>
        <w:pStyle w:val="Heading1"/>
        <w:ind w:right="-1800"/>
        <w:jc w:val="left"/>
        <w:rPr>
          <w:sz w:val="20"/>
        </w:rPr>
      </w:pPr>
    </w:p>
    <w:p w:rsidR="00A80A0E" w:rsidRDefault="00A80A0E" w:rsidP="00A80A0E">
      <w:pPr>
        <w:pStyle w:val="Heading1"/>
        <w:ind w:right="-1800"/>
        <w:jc w:val="left"/>
        <w:rPr>
          <w:sz w:val="20"/>
        </w:rPr>
      </w:pPr>
    </w:p>
    <w:p w:rsidR="00873B8E" w:rsidRPr="003B4D42" w:rsidRDefault="001B7FE5" w:rsidP="00A80A0E">
      <w:pPr>
        <w:pStyle w:val="Heading1"/>
        <w:ind w:left="-360" w:right="-1800" w:hanging="1350"/>
        <w:rPr>
          <w:b/>
        </w:rPr>
      </w:pPr>
      <w:r w:rsidRPr="003B4D42">
        <w:rPr>
          <w:b/>
        </w:rPr>
        <w:t xml:space="preserve">U.S. </w:t>
      </w:r>
      <w:r w:rsidR="00873B8E" w:rsidRPr="003B4D42">
        <w:rPr>
          <w:b/>
        </w:rPr>
        <w:t>Department of Energy</w:t>
      </w:r>
      <w:r w:rsidR="00A80A0E">
        <w:rPr>
          <w:b/>
        </w:rPr>
        <w:t xml:space="preserve">                        </w:t>
      </w:r>
    </w:p>
    <w:p w:rsidR="00873B8E" w:rsidRPr="003B4D42" w:rsidRDefault="00256BB9" w:rsidP="00A80A0E">
      <w:pPr>
        <w:pStyle w:val="Heading1"/>
        <w:rPr>
          <w:b/>
        </w:rPr>
      </w:pPr>
      <w:r w:rsidRPr="00256BB9">
        <w:rPr>
          <w:b/>
          <w:highlight w:val="yellow"/>
        </w:rPr>
        <w:t>[Insert organizations name]</w:t>
      </w:r>
    </w:p>
    <w:p w:rsidR="001B7FE5" w:rsidRPr="003B4D42" w:rsidRDefault="001B7FE5" w:rsidP="001B7FE5"/>
    <w:p w:rsidR="001B7FE5" w:rsidRPr="003B4D42" w:rsidRDefault="001B7FE5" w:rsidP="001B7FE5"/>
    <w:p w:rsidR="001B7FE5" w:rsidRPr="003B4D42" w:rsidRDefault="001B7FE5" w:rsidP="001B7FE5"/>
    <w:p w:rsidR="001B7FE5" w:rsidRPr="003B4D42" w:rsidRDefault="001B7FE5" w:rsidP="001B7FE5"/>
    <w:p w:rsidR="008D453F" w:rsidRPr="003B4D42" w:rsidRDefault="008D453F" w:rsidP="00873B8E">
      <w:pPr>
        <w:pStyle w:val="Heading1"/>
        <w:rPr>
          <w:b/>
        </w:rPr>
      </w:pPr>
      <w:r w:rsidRPr="003B4D42">
        <w:t xml:space="preserve"> Annual Training Plan</w:t>
      </w:r>
    </w:p>
    <w:p w:rsidR="008D453F" w:rsidRDefault="00FC4C8A">
      <w:pPr>
        <w:jc w:val="center"/>
        <w:rPr>
          <w:sz w:val="48"/>
        </w:rPr>
      </w:pPr>
      <w:r w:rsidRPr="003B4D42">
        <w:rPr>
          <w:sz w:val="48"/>
        </w:rPr>
        <w:t>Fiscal Year 20</w:t>
      </w:r>
      <w:r w:rsidR="00F327C0">
        <w:rPr>
          <w:sz w:val="48"/>
        </w:rPr>
        <w:t>1</w:t>
      </w:r>
      <w:r w:rsidR="009645CE">
        <w:rPr>
          <w:sz w:val="48"/>
        </w:rPr>
        <w:t>4</w:t>
      </w:r>
    </w:p>
    <w:p w:rsidR="001B7FE5" w:rsidRPr="003B4D42" w:rsidRDefault="001B7FE5">
      <w:pPr>
        <w:jc w:val="center"/>
        <w:rPr>
          <w:sz w:val="48"/>
        </w:rPr>
      </w:pPr>
    </w:p>
    <w:p w:rsidR="001B7FE5" w:rsidRPr="003B4D42" w:rsidRDefault="001B7FE5" w:rsidP="008B57C9">
      <w:pPr>
        <w:ind w:left="-2"/>
        <w:jc w:val="both"/>
        <w:rPr>
          <w:b/>
          <w:sz w:val="32"/>
          <w:szCs w:val="32"/>
        </w:rPr>
      </w:pPr>
    </w:p>
    <w:p w:rsidR="001B7FE5" w:rsidRPr="003B4D42" w:rsidRDefault="00D3068B" w:rsidP="001B7FE5">
      <w:pPr>
        <w:ind w:left="-2"/>
        <w:jc w:val="center"/>
      </w:pPr>
      <w:r>
        <w:rPr>
          <w:noProof/>
        </w:rPr>
        <w:drawing>
          <wp:inline distT="0" distB="0" distL="0" distR="0">
            <wp:extent cx="1377315" cy="1377315"/>
            <wp:effectExtent l="19050" t="0" r="0" b="0"/>
            <wp:docPr id="1" name="Picture 1" descr="DOE Seal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Seal hi res"/>
                    <pic:cNvPicPr>
                      <a:picLocks noChangeAspect="1" noChangeArrowheads="1"/>
                    </pic:cNvPicPr>
                  </pic:nvPicPr>
                  <pic:blipFill>
                    <a:blip r:embed="rId8" cstate="print"/>
                    <a:srcRect/>
                    <a:stretch>
                      <a:fillRect/>
                    </a:stretch>
                  </pic:blipFill>
                  <pic:spPr bwMode="auto">
                    <a:xfrm>
                      <a:off x="0" y="0"/>
                      <a:ext cx="1377315" cy="1377315"/>
                    </a:xfrm>
                    <a:prstGeom prst="rect">
                      <a:avLst/>
                    </a:prstGeom>
                    <a:noFill/>
                    <a:ln w="9525">
                      <a:noFill/>
                      <a:miter lim="800000"/>
                      <a:headEnd/>
                      <a:tailEnd/>
                    </a:ln>
                  </pic:spPr>
                </pic:pic>
              </a:graphicData>
            </a:graphic>
          </wp:inline>
        </w:drawing>
      </w:r>
    </w:p>
    <w:p w:rsidR="001B7FE5" w:rsidRPr="003B4D42" w:rsidRDefault="001B7FE5" w:rsidP="001B7FE5">
      <w:pPr>
        <w:ind w:left="-2"/>
        <w:jc w:val="center"/>
      </w:pPr>
    </w:p>
    <w:p w:rsidR="001B7FE5" w:rsidRPr="003B4D42" w:rsidRDefault="001B7FE5" w:rsidP="001B7FE5">
      <w:pPr>
        <w:ind w:left="-2"/>
        <w:jc w:val="center"/>
      </w:pPr>
    </w:p>
    <w:p w:rsidR="001B7FE5" w:rsidRPr="003B4D42" w:rsidRDefault="001B7FE5" w:rsidP="001B7FE5">
      <w:pPr>
        <w:ind w:left="-2"/>
        <w:jc w:val="center"/>
      </w:pPr>
    </w:p>
    <w:p w:rsidR="001B7FE5" w:rsidRPr="003B4D42" w:rsidRDefault="001B7FE5" w:rsidP="001B7FE5">
      <w:pPr>
        <w:ind w:left="-2"/>
        <w:jc w:val="center"/>
      </w:pPr>
    </w:p>
    <w:p w:rsidR="001B7FE5" w:rsidRPr="003B4D42" w:rsidRDefault="001B7FE5" w:rsidP="001B7FE5">
      <w:pPr>
        <w:ind w:left="-2"/>
        <w:jc w:val="center"/>
      </w:pPr>
    </w:p>
    <w:p w:rsidR="001B7FE5" w:rsidRPr="003B4D42" w:rsidRDefault="001B7FE5" w:rsidP="001B7FE5">
      <w:pPr>
        <w:ind w:left="-2"/>
        <w:jc w:val="center"/>
      </w:pPr>
    </w:p>
    <w:p w:rsidR="001B7FE5" w:rsidRPr="003B4D42" w:rsidRDefault="001B7FE5" w:rsidP="001B7FE5">
      <w:pPr>
        <w:ind w:left="-2"/>
        <w:rPr>
          <w:sz w:val="24"/>
          <w:szCs w:val="24"/>
        </w:rPr>
      </w:pPr>
      <w:r w:rsidRPr="008B3A68">
        <w:rPr>
          <w:sz w:val="24"/>
          <w:szCs w:val="24"/>
          <w:highlight w:val="yellow"/>
        </w:rPr>
        <w:t>Approved:</w:t>
      </w:r>
      <w:r w:rsidR="009B4068" w:rsidRPr="008B3A68">
        <w:rPr>
          <w:sz w:val="24"/>
          <w:szCs w:val="24"/>
          <w:highlight w:val="yellow"/>
        </w:rPr>
        <w:t xml:space="preserve"> </w:t>
      </w:r>
      <w:r w:rsidR="00841FF8" w:rsidRPr="008B3A68">
        <w:rPr>
          <w:sz w:val="24"/>
          <w:szCs w:val="24"/>
          <w:highlight w:val="yellow"/>
        </w:rPr>
        <w:t>&lt;DATE&gt;</w:t>
      </w:r>
    </w:p>
    <w:p w:rsidR="001B7FE5" w:rsidRPr="003B4D42" w:rsidRDefault="001B7FE5" w:rsidP="001B7FE5">
      <w:pPr>
        <w:ind w:left="-2"/>
        <w:rPr>
          <w:sz w:val="24"/>
          <w:szCs w:val="24"/>
        </w:rPr>
      </w:pPr>
    </w:p>
    <w:p w:rsidR="001B7FE5" w:rsidRPr="003B4D42" w:rsidRDefault="001B7FE5" w:rsidP="001B7FE5">
      <w:pPr>
        <w:ind w:left="-2"/>
        <w:rPr>
          <w:sz w:val="24"/>
          <w:szCs w:val="24"/>
        </w:rPr>
      </w:pPr>
    </w:p>
    <w:p w:rsidR="001B7FE5" w:rsidRPr="003B4D42" w:rsidRDefault="001B7FE5" w:rsidP="001B7FE5">
      <w:pPr>
        <w:ind w:left="-2"/>
        <w:rPr>
          <w:sz w:val="24"/>
          <w:szCs w:val="24"/>
        </w:rPr>
      </w:pPr>
    </w:p>
    <w:p w:rsidR="001B7FE5" w:rsidRPr="001E3355" w:rsidRDefault="001B7FE5" w:rsidP="001B7FE5">
      <w:pPr>
        <w:ind w:left="-2"/>
        <w:rPr>
          <w:sz w:val="24"/>
          <w:szCs w:val="24"/>
        </w:rPr>
      </w:pPr>
      <w:r w:rsidRPr="001E3355">
        <w:rPr>
          <w:sz w:val="24"/>
          <w:szCs w:val="24"/>
        </w:rPr>
        <w:t>____________________________________</w:t>
      </w:r>
    </w:p>
    <w:p w:rsidR="001B7FE5" w:rsidRPr="003B4D42" w:rsidRDefault="00841FF8" w:rsidP="001B7FE5">
      <w:pPr>
        <w:ind w:left="-2"/>
        <w:rPr>
          <w:sz w:val="24"/>
          <w:szCs w:val="24"/>
        </w:rPr>
      </w:pPr>
      <w:r w:rsidRPr="008B3A68">
        <w:rPr>
          <w:sz w:val="24"/>
          <w:szCs w:val="24"/>
          <w:highlight w:val="yellow"/>
        </w:rPr>
        <w:t>&lt;Element Manager</w:t>
      </w:r>
      <w:r w:rsidR="00D547FE" w:rsidRPr="008B3A68">
        <w:rPr>
          <w:sz w:val="24"/>
          <w:szCs w:val="24"/>
          <w:highlight w:val="yellow"/>
        </w:rPr>
        <w:t>&gt;,</w:t>
      </w:r>
      <w:r w:rsidR="009B4068" w:rsidRPr="008B3A68">
        <w:rPr>
          <w:sz w:val="24"/>
          <w:szCs w:val="24"/>
          <w:highlight w:val="yellow"/>
        </w:rPr>
        <w:t xml:space="preserve"> </w:t>
      </w:r>
      <w:r w:rsidRPr="008B3A68">
        <w:rPr>
          <w:sz w:val="24"/>
          <w:szCs w:val="24"/>
          <w:highlight w:val="yellow"/>
        </w:rPr>
        <w:t>&lt;Title&gt;</w:t>
      </w:r>
    </w:p>
    <w:p w:rsidR="008D453F" w:rsidRPr="002C6989" w:rsidRDefault="009A6B09" w:rsidP="001B7FE5">
      <w:pPr>
        <w:ind w:left="-2"/>
        <w:rPr>
          <w:sz w:val="32"/>
        </w:rPr>
      </w:pPr>
      <w:r w:rsidRPr="003B4D42">
        <w:rPr>
          <w:b/>
          <w:sz w:val="32"/>
          <w:szCs w:val="32"/>
        </w:rPr>
        <w:br w:type="page"/>
      </w:r>
      <w:r w:rsidR="00871C0F" w:rsidRPr="002C6989">
        <w:rPr>
          <w:sz w:val="32"/>
          <w:szCs w:val="32"/>
        </w:rPr>
        <w:lastRenderedPageBreak/>
        <w:t xml:space="preserve">I.  </w:t>
      </w:r>
      <w:r w:rsidR="008D453F" w:rsidRPr="002C6989">
        <w:rPr>
          <w:sz w:val="32"/>
        </w:rPr>
        <w:t>Executive Summary</w:t>
      </w:r>
    </w:p>
    <w:p w:rsidR="008D453F" w:rsidRPr="003B4D42" w:rsidRDefault="008D453F">
      <w:pPr>
        <w:jc w:val="center"/>
        <w:rPr>
          <w:b/>
          <w:sz w:val="32"/>
        </w:rPr>
      </w:pPr>
    </w:p>
    <w:p w:rsidR="00CF2DB9" w:rsidRDefault="00CF2DB9" w:rsidP="00CF2DB9">
      <w:pPr>
        <w:jc w:val="both"/>
        <w:rPr>
          <w:sz w:val="24"/>
        </w:rPr>
      </w:pPr>
      <w:r w:rsidRPr="003B4D42">
        <w:rPr>
          <w:sz w:val="24"/>
        </w:rPr>
        <w:t xml:space="preserve">The </w:t>
      </w:r>
      <w:r>
        <w:rPr>
          <w:sz w:val="24"/>
        </w:rPr>
        <w:t xml:space="preserve">Learning and Workforce Development </w:t>
      </w:r>
      <w:r w:rsidRPr="003B4D42">
        <w:rPr>
          <w:sz w:val="24"/>
        </w:rPr>
        <w:t xml:space="preserve">which serves the Department of Energy (DOE) employees for the </w:t>
      </w:r>
      <w:r w:rsidRPr="00035BFA">
        <w:rPr>
          <w:sz w:val="24"/>
          <w:highlight w:val="yellow"/>
        </w:rPr>
        <w:t>[Organization Name Here]</w:t>
      </w:r>
      <w:r>
        <w:rPr>
          <w:sz w:val="24"/>
        </w:rPr>
        <w:t xml:space="preserve"> h</w:t>
      </w:r>
      <w:r w:rsidRPr="003B4D42">
        <w:rPr>
          <w:sz w:val="24"/>
        </w:rPr>
        <w:t xml:space="preserve">as </w:t>
      </w:r>
      <w:r>
        <w:rPr>
          <w:sz w:val="24"/>
        </w:rPr>
        <w:t xml:space="preserve">prepared its Fiscal Year </w:t>
      </w:r>
      <w:r w:rsidR="009645CE">
        <w:rPr>
          <w:sz w:val="24"/>
        </w:rPr>
        <w:t>2014</w:t>
      </w:r>
      <w:r w:rsidRPr="003B4D42">
        <w:rPr>
          <w:sz w:val="24"/>
        </w:rPr>
        <w:t xml:space="preserve"> (</w:t>
      </w:r>
      <w:r>
        <w:rPr>
          <w:sz w:val="24"/>
        </w:rPr>
        <w:t xml:space="preserve">FY </w:t>
      </w:r>
      <w:r w:rsidR="009645CE">
        <w:rPr>
          <w:sz w:val="24"/>
        </w:rPr>
        <w:t>2014</w:t>
      </w:r>
      <w:r w:rsidRPr="003B4D42">
        <w:rPr>
          <w:sz w:val="24"/>
        </w:rPr>
        <w:t>) Annual Training Plan (ATP).  This ATP is based on requirement</w:t>
      </w:r>
      <w:r>
        <w:rPr>
          <w:sz w:val="24"/>
        </w:rPr>
        <w:t>s delineated in DOE Order 360.1C</w:t>
      </w:r>
      <w:r w:rsidRPr="003B4D42">
        <w:rPr>
          <w:sz w:val="24"/>
        </w:rPr>
        <w:t xml:space="preserve"> </w:t>
      </w:r>
      <w:r w:rsidRPr="000C0C69">
        <w:rPr>
          <w:i/>
          <w:sz w:val="24"/>
        </w:rPr>
        <w:t>Federal Employee Training</w:t>
      </w:r>
      <w:r w:rsidRPr="000C0C69">
        <w:rPr>
          <w:sz w:val="24"/>
        </w:rPr>
        <w:t>:</w:t>
      </w:r>
    </w:p>
    <w:p w:rsidR="00050633" w:rsidRDefault="00CF2DB9" w:rsidP="00CF2DB9">
      <w:pPr>
        <w:ind w:left="720"/>
        <w:rPr>
          <w:sz w:val="22"/>
          <w:szCs w:val="24"/>
        </w:rPr>
      </w:pPr>
      <w:r w:rsidRPr="000C0C69">
        <w:rPr>
          <w:sz w:val="22"/>
        </w:rPr>
        <w:t>“</w:t>
      </w:r>
      <w:r w:rsidRPr="000C0C69">
        <w:rPr>
          <w:sz w:val="22"/>
          <w:szCs w:val="24"/>
        </w:rPr>
        <w:t>Each DOE element must have a training policy and procedures that establish an integrated cycle of organizational needs analysis, training planning, needs assessment, resource allocation, design and delivery, evaluation, and reporting processes consistent with the requirements and responsibilities of this Order.” (paragraph 4a(1))</w:t>
      </w:r>
    </w:p>
    <w:p w:rsidR="00CF2DB9" w:rsidRDefault="00CF2DB9" w:rsidP="00CF2DB9">
      <w:pPr>
        <w:rPr>
          <w:sz w:val="24"/>
        </w:rPr>
      </w:pPr>
    </w:p>
    <w:p w:rsidR="001C2FC4" w:rsidRPr="001C2FC4" w:rsidRDefault="001C2FC4">
      <w:pPr>
        <w:rPr>
          <w:sz w:val="24"/>
          <w:szCs w:val="24"/>
        </w:rPr>
      </w:pPr>
      <w:r w:rsidRPr="001C2FC4">
        <w:rPr>
          <w:sz w:val="24"/>
          <w:szCs w:val="24"/>
        </w:rPr>
        <w:t xml:space="preserve">The Department of Energy (DOE) has implemented the </w:t>
      </w:r>
      <w:r w:rsidRPr="001C2FC4">
        <w:rPr>
          <w:i/>
          <w:iCs/>
          <w:sz w:val="24"/>
          <w:szCs w:val="24"/>
        </w:rPr>
        <w:t>DOE Competency-centric Learning and Development Framework</w:t>
      </w:r>
      <w:r w:rsidRPr="001C2FC4">
        <w:rPr>
          <w:sz w:val="24"/>
          <w:szCs w:val="24"/>
        </w:rPr>
        <w:t xml:space="preserve"> to proactively develop a “continuously high performing competent organization.” A key element of the competency-centric approach is the ability of DOE leaders to </w:t>
      </w:r>
      <w:r>
        <w:rPr>
          <w:sz w:val="24"/>
          <w:szCs w:val="24"/>
        </w:rPr>
        <w:t xml:space="preserve">assess </w:t>
      </w:r>
      <w:r w:rsidRPr="001C2FC4">
        <w:rPr>
          <w:sz w:val="24"/>
          <w:szCs w:val="24"/>
        </w:rPr>
        <w:t>training</w:t>
      </w:r>
      <w:r>
        <w:rPr>
          <w:sz w:val="24"/>
          <w:szCs w:val="24"/>
        </w:rPr>
        <w:t xml:space="preserve"> needs and develop comprehensive training plans which </w:t>
      </w:r>
      <w:r w:rsidR="00EB2EFE">
        <w:rPr>
          <w:sz w:val="24"/>
          <w:szCs w:val="24"/>
        </w:rPr>
        <w:t>strengthen the skills and effectiveness of their organizations</w:t>
      </w:r>
      <w:r w:rsidRPr="001C2FC4">
        <w:rPr>
          <w:sz w:val="24"/>
          <w:szCs w:val="24"/>
        </w:rPr>
        <w:t>.</w:t>
      </w:r>
    </w:p>
    <w:p w:rsidR="001C2FC4" w:rsidRDefault="001C2FC4">
      <w:pPr>
        <w:rPr>
          <w:sz w:val="24"/>
        </w:rPr>
      </w:pPr>
    </w:p>
    <w:p w:rsidR="001C2FC4" w:rsidRPr="001C2FC4" w:rsidRDefault="001C2FC4" w:rsidP="001C2FC4">
      <w:pPr>
        <w:rPr>
          <w:sz w:val="24"/>
          <w:szCs w:val="24"/>
        </w:rPr>
      </w:pPr>
      <w:r w:rsidRPr="001C2FC4">
        <w:rPr>
          <w:sz w:val="24"/>
          <w:szCs w:val="24"/>
        </w:rPr>
        <w:t>Th</w:t>
      </w:r>
      <w:r>
        <w:rPr>
          <w:sz w:val="24"/>
          <w:szCs w:val="24"/>
        </w:rPr>
        <w:t xml:space="preserve">e Annual Training Plan </w:t>
      </w:r>
      <w:r w:rsidR="001475CC">
        <w:rPr>
          <w:sz w:val="24"/>
          <w:szCs w:val="24"/>
        </w:rPr>
        <w:t xml:space="preserve">is </w:t>
      </w:r>
      <w:r>
        <w:rPr>
          <w:sz w:val="24"/>
          <w:szCs w:val="24"/>
        </w:rPr>
        <w:t xml:space="preserve">a key component in </w:t>
      </w:r>
      <w:r w:rsidRPr="001C2FC4">
        <w:rPr>
          <w:sz w:val="24"/>
          <w:szCs w:val="24"/>
        </w:rPr>
        <w:t xml:space="preserve">the identification of crosscutting training needs. The information gathered during the needs assessment </w:t>
      </w:r>
      <w:r w:rsidR="001475CC">
        <w:rPr>
          <w:sz w:val="24"/>
          <w:szCs w:val="24"/>
        </w:rPr>
        <w:t>is</w:t>
      </w:r>
      <w:r w:rsidRPr="001C2FC4">
        <w:rPr>
          <w:sz w:val="24"/>
          <w:szCs w:val="24"/>
        </w:rPr>
        <w:t xml:space="preserve"> critical to the development of each organization’s and the department’s training plan. A comprehensive training plan reduces redundancy, enhances collaboration across organizations, and makes most efficient use of the Department’s resources.</w:t>
      </w:r>
    </w:p>
    <w:p w:rsidR="005619A4" w:rsidRDefault="005619A4">
      <w:pPr>
        <w:rPr>
          <w:sz w:val="24"/>
        </w:rPr>
      </w:pPr>
    </w:p>
    <w:p w:rsidR="005619A4" w:rsidRPr="005619A4" w:rsidRDefault="005619A4" w:rsidP="005619A4">
      <w:pPr>
        <w:tabs>
          <w:tab w:val="left" w:pos="1800"/>
        </w:tabs>
        <w:rPr>
          <w:sz w:val="24"/>
          <w:szCs w:val="24"/>
        </w:rPr>
      </w:pPr>
      <w:r w:rsidRPr="005619A4">
        <w:rPr>
          <w:sz w:val="24"/>
          <w:szCs w:val="24"/>
        </w:rPr>
        <w:t>The Integrated Training Management (ITM) Program is an integrated approach to training and development planning that covers the following phases:</w:t>
      </w:r>
    </w:p>
    <w:p w:rsidR="005619A4" w:rsidRPr="005619A4" w:rsidRDefault="005619A4" w:rsidP="005619A4">
      <w:pPr>
        <w:tabs>
          <w:tab w:val="left" w:pos="1800"/>
        </w:tabs>
        <w:rPr>
          <w:sz w:val="24"/>
          <w:szCs w:val="24"/>
        </w:rPr>
      </w:pPr>
    </w:p>
    <w:p w:rsidR="005619A4" w:rsidRDefault="005619A4" w:rsidP="005619A4">
      <w:pPr>
        <w:rPr>
          <w:sz w:val="24"/>
          <w:szCs w:val="24"/>
        </w:rPr>
      </w:pPr>
      <w:r w:rsidRPr="00CF2DB9">
        <w:rPr>
          <w:b/>
          <w:sz w:val="24"/>
          <w:szCs w:val="24"/>
        </w:rPr>
        <w:t>Phase 1:</w:t>
      </w:r>
      <w:r w:rsidR="000B14D3">
        <w:rPr>
          <w:b/>
          <w:sz w:val="24"/>
          <w:szCs w:val="24"/>
        </w:rPr>
        <w:t xml:space="preserve"> </w:t>
      </w:r>
      <w:r w:rsidRPr="00CF2DB9">
        <w:rPr>
          <w:b/>
          <w:sz w:val="24"/>
          <w:szCs w:val="24"/>
        </w:rPr>
        <w:t>The Training Needs Assessment (TNA)</w:t>
      </w:r>
      <w:r w:rsidRPr="005619A4">
        <w:rPr>
          <w:sz w:val="24"/>
          <w:szCs w:val="24"/>
        </w:rPr>
        <w:t xml:space="preserve"> helps organizations to identify critical needs through organizational analysis.  Data-driven identification of an organization’s competency gaps and other training needs helps the organization identify and acquire learning and development solutions.  This </w:t>
      </w:r>
      <w:r w:rsidR="001475CC" w:rsidRPr="005619A4">
        <w:rPr>
          <w:sz w:val="24"/>
          <w:szCs w:val="24"/>
        </w:rPr>
        <w:t>process improves</w:t>
      </w:r>
      <w:r w:rsidRPr="005619A4">
        <w:rPr>
          <w:sz w:val="24"/>
          <w:szCs w:val="24"/>
        </w:rPr>
        <w:t xml:space="preserve"> the use of training resources and allocation of training funds, while providing critical input for the DOE Annual Training Plan.</w:t>
      </w:r>
    </w:p>
    <w:p w:rsidR="001475CC" w:rsidRPr="005619A4" w:rsidRDefault="001475CC" w:rsidP="005619A4">
      <w:pPr>
        <w:rPr>
          <w:sz w:val="24"/>
          <w:szCs w:val="24"/>
        </w:rPr>
      </w:pPr>
    </w:p>
    <w:p w:rsidR="00256BB9" w:rsidRPr="005619A4" w:rsidRDefault="000B14D3" w:rsidP="00256BB9">
      <w:pPr>
        <w:tabs>
          <w:tab w:val="left" w:pos="1800"/>
        </w:tabs>
        <w:rPr>
          <w:sz w:val="24"/>
          <w:szCs w:val="24"/>
        </w:rPr>
      </w:pPr>
      <w:r>
        <w:rPr>
          <w:b/>
          <w:sz w:val="24"/>
          <w:szCs w:val="24"/>
        </w:rPr>
        <w:t xml:space="preserve">Phase 2: </w:t>
      </w:r>
      <w:r w:rsidR="00256BB9" w:rsidRPr="00CF2DB9">
        <w:rPr>
          <w:b/>
          <w:sz w:val="24"/>
          <w:szCs w:val="24"/>
        </w:rPr>
        <w:t>The Annual Training Plan (ATP)</w:t>
      </w:r>
      <w:r w:rsidR="00256BB9" w:rsidRPr="005619A4">
        <w:rPr>
          <w:sz w:val="24"/>
          <w:szCs w:val="24"/>
        </w:rPr>
        <w:t xml:space="preserve"> is a management planning tool designed to establish the framework of competency-centric development activities. Training planning significantly improves leadership, communications, team-building, business, and technical competencies by directing solutions to human capital needs.  Training planning should be a critical component of the effort to improve project and program management at DOE.</w:t>
      </w:r>
    </w:p>
    <w:p w:rsidR="00256BB9" w:rsidRPr="005619A4" w:rsidRDefault="00256BB9" w:rsidP="00256BB9">
      <w:pPr>
        <w:tabs>
          <w:tab w:val="left" w:pos="1800"/>
        </w:tabs>
        <w:rPr>
          <w:sz w:val="24"/>
          <w:szCs w:val="24"/>
        </w:rPr>
      </w:pPr>
    </w:p>
    <w:p w:rsidR="00256BB9" w:rsidRPr="005619A4" w:rsidRDefault="00256BB9" w:rsidP="00256BB9">
      <w:pPr>
        <w:tabs>
          <w:tab w:val="left" w:pos="1800"/>
        </w:tabs>
        <w:rPr>
          <w:sz w:val="24"/>
          <w:szCs w:val="24"/>
        </w:rPr>
      </w:pPr>
      <w:r w:rsidRPr="00CF2DB9">
        <w:rPr>
          <w:b/>
          <w:sz w:val="24"/>
          <w:szCs w:val="24"/>
        </w:rPr>
        <w:t>Phase 3</w:t>
      </w:r>
      <w:r w:rsidR="000B14D3">
        <w:rPr>
          <w:b/>
          <w:sz w:val="24"/>
          <w:szCs w:val="24"/>
        </w:rPr>
        <w:t xml:space="preserve">: </w:t>
      </w:r>
      <w:r w:rsidRPr="00CF2DB9">
        <w:rPr>
          <w:b/>
          <w:sz w:val="24"/>
          <w:szCs w:val="24"/>
        </w:rPr>
        <w:t>The Annual Training Summary (ATS)</w:t>
      </w:r>
      <w:r w:rsidRPr="005619A4">
        <w:rPr>
          <w:sz w:val="24"/>
          <w:szCs w:val="24"/>
        </w:rPr>
        <w:t xml:space="preserve"> serves as a performance measurement tool, comparing planned versus actual training performance.  The ATS identifies gaps between planned and actual training activity and serves as a corrective measurement tool.</w:t>
      </w:r>
    </w:p>
    <w:p w:rsidR="005619A4" w:rsidRDefault="005619A4">
      <w:pPr>
        <w:rPr>
          <w:sz w:val="24"/>
        </w:rPr>
      </w:pPr>
    </w:p>
    <w:p w:rsidR="005619A4" w:rsidRPr="001475CC" w:rsidRDefault="00D3068B" w:rsidP="005619A4">
      <w:pPr>
        <w:tabs>
          <w:tab w:val="left" w:pos="1800"/>
        </w:tabs>
      </w:pPr>
      <w:r>
        <w:rPr>
          <w:noProof/>
        </w:rPr>
        <w:lastRenderedPageBreak/>
        <w:drawing>
          <wp:inline distT="0" distB="0" distL="0" distR="0">
            <wp:extent cx="5296535" cy="30518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2257" b="11891"/>
                    <a:stretch>
                      <a:fillRect/>
                    </a:stretch>
                  </pic:blipFill>
                  <pic:spPr bwMode="auto">
                    <a:xfrm>
                      <a:off x="0" y="0"/>
                      <a:ext cx="5296535" cy="3051810"/>
                    </a:xfrm>
                    <a:prstGeom prst="rect">
                      <a:avLst/>
                    </a:prstGeom>
                    <a:noFill/>
                    <a:ln w="9525">
                      <a:noFill/>
                      <a:miter lim="800000"/>
                      <a:headEnd/>
                      <a:tailEnd/>
                    </a:ln>
                  </pic:spPr>
                </pic:pic>
              </a:graphicData>
            </a:graphic>
          </wp:inline>
        </w:drawing>
      </w:r>
    </w:p>
    <w:p w:rsidR="001475CC" w:rsidRDefault="001475CC" w:rsidP="005619A4">
      <w:pPr>
        <w:tabs>
          <w:tab w:val="left" w:pos="1800"/>
        </w:tabs>
      </w:pPr>
    </w:p>
    <w:p w:rsidR="005619A4" w:rsidRPr="005619A4" w:rsidRDefault="005619A4" w:rsidP="005619A4">
      <w:pPr>
        <w:tabs>
          <w:tab w:val="left" w:pos="1800"/>
        </w:tabs>
        <w:rPr>
          <w:sz w:val="24"/>
          <w:szCs w:val="24"/>
        </w:rPr>
      </w:pPr>
    </w:p>
    <w:p w:rsidR="004F3511" w:rsidRDefault="00035BFA" w:rsidP="004A3CD9">
      <w:pPr>
        <w:autoSpaceDE w:val="0"/>
        <w:autoSpaceDN w:val="0"/>
        <w:adjustRightInd w:val="0"/>
        <w:rPr>
          <w:sz w:val="24"/>
        </w:rPr>
      </w:pPr>
      <w:r>
        <w:rPr>
          <w:sz w:val="24"/>
          <w:szCs w:val="24"/>
        </w:rPr>
        <w:t xml:space="preserve">Overall, </w:t>
      </w:r>
      <w:r w:rsidR="004F3511" w:rsidRPr="004F3511">
        <w:rPr>
          <w:sz w:val="24"/>
          <w:szCs w:val="24"/>
        </w:rPr>
        <w:t>DOE worker training and skills i</w:t>
      </w:r>
      <w:r>
        <w:rPr>
          <w:sz w:val="24"/>
          <w:szCs w:val="24"/>
        </w:rPr>
        <w:t>mprovement</w:t>
      </w:r>
      <w:r w:rsidR="00C71EA3">
        <w:rPr>
          <w:sz w:val="24"/>
          <w:szCs w:val="24"/>
        </w:rPr>
        <w:t xml:space="preserve"> </w:t>
      </w:r>
      <w:r w:rsidR="004F3511" w:rsidRPr="004F3511">
        <w:rPr>
          <w:sz w:val="24"/>
          <w:szCs w:val="24"/>
        </w:rPr>
        <w:t xml:space="preserve">will </w:t>
      </w:r>
      <w:r w:rsidR="00B86ADF">
        <w:rPr>
          <w:sz w:val="24"/>
          <w:szCs w:val="24"/>
        </w:rPr>
        <w:t xml:space="preserve">continue to </w:t>
      </w:r>
      <w:r w:rsidR="004F3511" w:rsidRPr="004F3511">
        <w:rPr>
          <w:sz w:val="24"/>
          <w:szCs w:val="24"/>
        </w:rPr>
        <w:t>receive increased focus over the next year.  The establishment of competency-centric development activities will be a critical component of the effort to improve project and program management at DOE.</w:t>
      </w:r>
      <w:r>
        <w:rPr>
          <w:sz w:val="24"/>
          <w:szCs w:val="24"/>
        </w:rPr>
        <w:t xml:space="preserve"> </w:t>
      </w:r>
      <w:r w:rsidR="004F3511" w:rsidRPr="004F3511">
        <w:rPr>
          <w:sz w:val="24"/>
          <w:szCs w:val="24"/>
        </w:rPr>
        <w:t xml:space="preserve"> </w:t>
      </w:r>
      <w:r>
        <w:rPr>
          <w:sz w:val="24"/>
          <w:szCs w:val="24"/>
        </w:rPr>
        <w:t>Additionally, i</w:t>
      </w:r>
      <w:r w:rsidR="004F3511" w:rsidRPr="004F3511">
        <w:rPr>
          <w:sz w:val="24"/>
          <w:szCs w:val="24"/>
        </w:rPr>
        <w:t xml:space="preserve">mprovement in leadership, communications, team-building, business, and technical competencies </w:t>
      </w:r>
      <w:r>
        <w:rPr>
          <w:sz w:val="24"/>
          <w:szCs w:val="24"/>
        </w:rPr>
        <w:t>is necessary to close the gap on mission critical functions (MCF)</w:t>
      </w:r>
      <w:r w:rsidR="004F3511" w:rsidRPr="004F3511">
        <w:rPr>
          <w:sz w:val="24"/>
          <w:szCs w:val="24"/>
        </w:rPr>
        <w:t>.</w:t>
      </w:r>
      <w:r>
        <w:rPr>
          <w:sz w:val="24"/>
          <w:szCs w:val="24"/>
        </w:rPr>
        <w:t xml:space="preserve"> </w:t>
      </w:r>
      <w:r w:rsidR="004F3511" w:rsidRPr="004F3511">
        <w:rPr>
          <w:sz w:val="24"/>
          <w:szCs w:val="24"/>
        </w:rPr>
        <w:t xml:space="preserve"> </w:t>
      </w:r>
      <w:r>
        <w:rPr>
          <w:sz w:val="24"/>
          <w:szCs w:val="24"/>
        </w:rPr>
        <w:t>Technical and Non-technical c</w:t>
      </w:r>
      <w:r w:rsidR="004F3511" w:rsidRPr="004F3511">
        <w:rPr>
          <w:sz w:val="24"/>
          <w:szCs w:val="24"/>
        </w:rPr>
        <w:t xml:space="preserve">ertification programs </w:t>
      </w:r>
      <w:r>
        <w:rPr>
          <w:sz w:val="24"/>
          <w:szCs w:val="24"/>
        </w:rPr>
        <w:t xml:space="preserve">need to be </w:t>
      </w:r>
      <w:r w:rsidR="004F3511" w:rsidRPr="004F3511">
        <w:rPr>
          <w:sz w:val="24"/>
          <w:szCs w:val="24"/>
        </w:rPr>
        <w:t>maintained to ensure that the requisite skills are obtained, sustained</w:t>
      </w:r>
      <w:r w:rsidR="004A3CD9">
        <w:rPr>
          <w:sz w:val="24"/>
          <w:szCs w:val="24"/>
        </w:rPr>
        <w:t>, and applied against the work.</w:t>
      </w:r>
      <w:r w:rsidR="008D453F" w:rsidRPr="003B4D42">
        <w:rPr>
          <w:sz w:val="24"/>
        </w:rPr>
        <w:t xml:space="preserve"> </w:t>
      </w:r>
      <w:r w:rsidR="0052406D">
        <w:rPr>
          <w:sz w:val="24"/>
        </w:rPr>
        <w:t xml:space="preserve"> </w:t>
      </w:r>
    </w:p>
    <w:p w:rsidR="00256BB9" w:rsidRDefault="00256BB9" w:rsidP="004A3CD9">
      <w:pPr>
        <w:autoSpaceDE w:val="0"/>
        <w:autoSpaceDN w:val="0"/>
        <w:adjustRightInd w:val="0"/>
        <w:rPr>
          <w:sz w:val="24"/>
        </w:rPr>
      </w:pPr>
    </w:p>
    <w:p w:rsidR="00C71EA3" w:rsidRPr="002C6989" w:rsidRDefault="00871C0F" w:rsidP="00C71EA3">
      <w:pPr>
        <w:pStyle w:val="Heading1"/>
        <w:tabs>
          <w:tab w:val="num" w:pos="360"/>
          <w:tab w:val="left" w:pos="504"/>
        </w:tabs>
        <w:spacing w:before="240" w:after="60"/>
        <w:jc w:val="left"/>
        <w:rPr>
          <w:sz w:val="32"/>
          <w:szCs w:val="32"/>
        </w:rPr>
      </w:pPr>
      <w:r w:rsidRPr="002C6989">
        <w:rPr>
          <w:sz w:val="32"/>
          <w:szCs w:val="32"/>
        </w:rPr>
        <w:t xml:space="preserve">II. </w:t>
      </w:r>
      <w:r w:rsidR="00C71EA3" w:rsidRPr="002C6989">
        <w:rPr>
          <w:sz w:val="32"/>
          <w:szCs w:val="32"/>
        </w:rPr>
        <w:t xml:space="preserve">Training Goals, Objectives, Performance Measures, and </w:t>
      </w:r>
      <w:r w:rsidRPr="002C6989">
        <w:rPr>
          <w:sz w:val="32"/>
          <w:szCs w:val="32"/>
        </w:rPr>
        <w:tab/>
        <w:t xml:space="preserve">   </w:t>
      </w:r>
      <w:r w:rsidRPr="002C6989">
        <w:rPr>
          <w:sz w:val="32"/>
          <w:szCs w:val="32"/>
        </w:rPr>
        <w:tab/>
      </w:r>
      <w:r w:rsidR="00C71EA3" w:rsidRPr="002C6989">
        <w:rPr>
          <w:sz w:val="32"/>
          <w:szCs w:val="32"/>
        </w:rPr>
        <w:t>Outcomes</w:t>
      </w:r>
    </w:p>
    <w:p w:rsidR="00B2590D" w:rsidRDefault="00B2590D" w:rsidP="00B2590D">
      <w:pPr>
        <w:rPr>
          <w:sz w:val="28"/>
          <w:szCs w:val="28"/>
        </w:rPr>
      </w:pPr>
    </w:p>
    <w:p w:rsidR="00C71EA3" w:rsidRPr="00366816" w:rsidRDefault="00C71EA3" w:rsidP="00C71EA3">
      <w:pPr>
        <w:pStyle w:val="Heading2"/>
        <w:jc w:val="left"/>
        <w:rPr>
          <w:b w:val="0"/>
          <w:sz w:val="24"/>
          <w:szCs w:val="24"/>
        </w:rPr>
      </w:pPr>
      <w:r w:rsidRPr="00366816">
        <w:rPr>
          <w:sz w:val="28"/>
          <w:szCs w:val="28"/>
        </w:rPr>
        <w:t xml:space="preserve">Goal 1: </w:t>
      </w:r>
      <w:r w:rsidRPr="00366816">
        <w:rPr>
          <w:b w:val="0"/>
          <w:sz w:val="24"/>
          <w:szCs w:val="24"/>
        </w:rPr>
        <w:t xml:space="preserve">Support the mission of the organization by </w:t>
      </w:r>
      <w:r w:rsidR="00435537" w:rsidRPr="00366816">
        <w:rPr>
          <w:b w:val="0"/>
          <w:sz w:val="24"/>
          <w:szCs w:val="24"/>
        </w:rPr>
        <w:t>identifying critical skill gaps and training need</w:t>
      </w:r>
      <w:r w:rsidR="007972A6" w:rsidRPr="00366816">
        <w:rPr>
          <w:b w:val="0"/>
          <w:sz w:val="24"/>
          <w:szCs w:val="24"/>
        </w:rPr>
        <w:t>s</w:t>
      </w:r>
      <w:r w:rsidR="00435537" w:rsidRPr="00366816">
        <w:rPr>
          <w:b w:val="0"/>
          <w:sz w:val="24"/>
          <w:szCs w:val="24"/>
        </w:rPr>
        <w:t xml:space="preserve"> </w:t>
      </w:r>
      <w:r w:rsidR="007D2F76" w:rsidRPr="00366816">
        <w:rPr>
          <w:b w:val="0"/>
          <w:sz w:val="24"/>
          <w:szCs w:val="24"/>
        </w:rPr>
        <w:t xml:space="preserve">aligned with </w:t>
      </w:r>
      <w:r w:rsidRPr="00366816">
        <w:rPr>
          <w:b w:val="0"/>
          <w:sz w:val="24"/>
          <w:szCs w:val="24"/>
        </w:rPr>
        <w:t>identified</w:t>
      </w:r>
      <w:r w:rsidR="005A1526" w:rsidRPr="00366816">
        <w:rPr>
          <w:b w:val="0"/>
          <w:sz w:val="24"/>
          <w:szCs w:val="24"/>
        </w:rPr>
        <w:t xml:space="preserve"> </w:t>
      </w:r>
      <w:r w:rsidRPr="00366816">
        <w:rPr>
          <w:b w:val="0"/>
          <w:sz w:val="24"/>
          <w:szCs w:val="24"/>
        </w:rPr>
        <w:t>competencies.</w:t>
      </w:r>
    </w:p>
    <w:p w:rsidR="00B2590D" w:rsidRPr="00366816" w:rsidRDefault="00B2590D" w:rsidP="00C71EA3">
      <w:pPr>
        <w:pStyle w:val="Heading3"/>
        <w:ind w:left="2250" w:hanging="1530"/>
        <w:jc w:val="left"/>
        <w:rPr>
          <w:b w:val="0"/>
          <w:sz w:val="20"/>
        </w:rPr>
      </w:pPr>
    </w:p>
    <w:p w:rsidR="00CB6EFA" w:rsidRPr="00366816" w:rsidRDefault="001475CC" w:rsidP="00C21B1D">
      <w:pPr>
        <w:pStyle w:val="Heading3"/>
        <w:ind w:left="540" w:hanging="180"/>
        <w:rPr>
          <w:b w:val="0"/>
        </w:rPr>
      </w:pPr>
      <w:r w:rsidRPr="00366816">
        <w:rPr>
          <w:sz w:val="24"/>
          <w:szCs w:val="24"/>
        </w:rPr>
        <w:t>Objective 1.1</w:t>
      </w:r>
      <w:r w:rsidR="00841FF8" w:rsidRPr="00366816">
        <w:rPr>
          <w:sz w:val="24"/>
          <w:szCs w:val="24"/>
        </w:rPr>
        <w:t xml:space="preserve">:  </w:t>
      </w:r>
      <w:r w:rsidR="00841FF8" w:rsidRPr="00366816">
        <w:rPr>
          <w:b w:val="0"/>
          <w:sz w:val="24"/>
        </w:rPr>
        <w:t>Identify</w:t>
      </w:r>
      <w:r w:rsidR="00C71EA3" w:rsidRPr="00366816">
        <w:rPr>
          <w:b w:val="0"/>
          <w:sz w:val="24"/>
        </w:rPr>
        <w:t xml:space="preserve"> critical </w:t>
      </w:r>
      <w:r w:rsidR="00841FF8" w:rsidRPr="00366816">
        <w:rPr>
          <w:b w:val="0"/>
          <w:sz w:val="24"/>
        </w:rPr>
        <w:t xml:space="preserve">skill gaps </w:t>
      </w:r>
      <w:r w:rsidR="00C71EA3" w:rsidRPr="00366816">
        <w:rPr>
          <w:b w:val="0"/>
          <w:sz w:val="24"/>
        </w:rPr>
        <w:t>and</w:t>
      </w:r>
      <w:r w:rsidR="00A86782" w:rsidRPr="00366816">
        <w:rPr>
          <w:b w:val="0"/>
          <w:sz w:val="24"/>
        </w:rPr>
        <w:t xml:space="preserve"> training needs through </w:t>
      </w:r>
      <w:r w:rsidR="00435537" w:rsidRPr="00366816">
        <w:rPr>
          <w:b w:val="0"/>
          <w:sz w:val="24"/>
        </w:rPr>
        <w:t>o</w:t>
      </w:r>
      <w:r w:rsidR="00A86782" w:rsidRPr="00366816">
        <w:rPr>
          <w:b w:val="0"/>
          <w:sz w:val="24"/>
        </w:rPr>
        <w:t>rganizational analysis</w:t>
      </w:r>
      <w:r w:rsidR="00CB6EFA" w:rsidRPr="00366816">
        <w:rPr>
          <w:b w:val="0"/>
          <w:sz w:val="24"/>
        </w:rPr>
        <w:t xml:space="preserve"> which will improve organizational and workforce performance.</w:t>
      </w:r>
      <w:r w:rsidR="00256BB9" w:rsidRPr="00366816" w:rsidDel="00256BB9">
        <w:rPr>
          <w:b w:val="0"/>
          <w:sz w:val="24"/>
        </w:rPr>
        <w:t xml:space="preserve"> </w:t>
      </w:r>
    </w:p>
    <w:p w:rsidR="00C71EA3" w:rsidRPr="00366816" w:rsidRDefault="00C71EA3" w:rsidP="00C21B1D">
      <w:pPr>
        <w:pStyle w:val="Heading3"/>
        <w:ind w:left="990"/>
        <w:jc w:val="left"/>
        <w:rPr>
          <w:b w:val="0"/>
          <w:sz w:val="24"/>
          <w:szCs w:val="24"/>
        </w:rPr>
      </w:pPr>
      <w:r w:rsidRPr="00366816">
        <w:rPr>
          <w:bCs/>
          <w:sz w:val="24"/>
          <w:szCs w:val="24"/>
        </w:rPr>
        <w:t>Performance Measure:</w:t>
      </w:r>
      <w:r w:rsidRPr="00366816">
        <w:rPr>
          <w:sz w:val="24"/>
          <w:szCs w:val="24"/>
        </w:rPr>
        <w:t xml:space="preserve"> </w:t>
      </w:r>
      <w:r w:rsidR="007D2F76" w:rsidRPr="00366816">
        <w:rPr>
          <w:b w:val="0"/>
          <w:sz w:val="24"/>
          <w:szCs w:val="24"/>
        </w:rPr>
        <w:t>Critical training needs are effectively i</w:t>
      </w:r>
      <w:r w:rsidR="00A86782" w:rsidRPr="00366816">
        <w:rPr>
          <w:b w:val="0"/>
          <w:sz w:val="24"/>
          <w:szCs w:val="24"/>
        </w:rPr>
        <w:t>dentif</w:t>
      </w:r>
      <w:r w:rsidR="007D2F76" w:rsidRPr="00366816">
        <w:rPr>
          <w:b w:val="0"/>
          <w:sz w:val="24"/>
          <w:szCs w:val="24"/>
        </w:rPr>
        <w:t>ied</w:t>
      </w:r>
      <w:r w:rsidR="007972A6" w:rsidRPr="00366816">
        <w:rPr>
          <w:b w:val="0"/>
          <w:sz w:val="24"/>
          <w:szCs w:val="24"/>
        </w:rPr>
        <w:t xml:space="preserve"> to close the </w:t>
      </w:r>
      <w:r w:rsidR="00A86782" w:rsidRPr="00366816">
        <w:rPr>
          <w:b w:val="0"/>
          <w:sz w:val="24"/>
          <w:szCs w:val="24"/>
        </w:rPr>
        <w:t xml:space="preserve">critical skills gaps to increase organization and </w:t>
      </w:r>
      <w:r w:rsidR="00BD7047" w:rsidRPr="00366816">
        <w:rPr>
          <w:b w:val="0"/>
          <w:sz w:val="24"/>
          <w:szCs w:val="24"/>
        </w:rPr>
        <w:t>workforce</w:t>
      </w:r>
      <w:r w:rsidR="00A86782" w:rsidRPr="00366816">
        <w:rPr>
          <w:b w:val="0"/>
          <w:sz w:val="24"/>
          <w:szCs w:val="24"/>
        </w:rPr>
        <w:t xml:space="preserve"> </w:t>
      </w:r>
      <w:r w:rsidR="00035BFA" w:rsidRPr="00366816">
        <w:rPr>
          <w:b w:val="0"/>
          <w:sz w:val="24"/>
          <w:szCs w:val="24"/>
        </w:rPr>
        <w:t>performance</w:t>
      </w:r>
      <w:r w:rsidR="007972A6" w:rsidRPr="00366816">
        <w:rPr>
          <w:b w:val="0"/>
          <w:sz w:val="24"/>
          <w:szCs w:val="24"/>
        </w:rPr>
        <w:t>.</w:t>
      </w:r>
      <w:r w:rsidR="00035BFA" w:rsidRPr="00366816">
        <w:rPr>
          <w:b w:val="0"/>
          <w:sz w:val="24"/>
          <w:szCs w:val="24"/>
        </w:rPr>
        <w:t xml:space="preserve"> </w:t>
      </w:r>
    </w:p>
    <w:p w:rsidR="000527EF" w:rsidRPr="00366816" w:rsidRDefault="000527EF" w:rsidP="00C21B1D">
      <w:pPr>
        <w:pStyle w:val="Heading3"/>
        <w:ind w:left="990"/>
        <w:jc w:val="left"/>
        <w:rPr>
          <w:bCs/>
          <w:sz w:val="24"/>
          <w:szCs w:val="24"/>
        </w:rPr>
      </w:pPr>
    </w:p>
    <w:p w:rsidR="00C71EA3" w:rsidRPr="00366816" w:rsidRDefault="00C71EA3" w:rsidP="00C21B1D">
      <w:pPr>
        <w:pStyle w:val="Heading3"/>
        <w:ind w:left="990"/>
        <w:jc w:val="left"/>
        <w:rPr>
          <w:b w:val="0"/>
          <w:sz w:val="24"/>
          <w:szCs w:val="24"/>
        </w:rPr>
      </w:pPr>
      <w:r w:rsidRPr="00366816">
        <w:rPr>
          <w:bCs/>
          <w:sz w:val="24"/>
          <w:szCs w:val="24"/>
        </w:rPr>
        <w:t>O</w:t>
      </w:r>
      <w:r w:rsidR="0048657E" w:rsidRPr="00366816">
        <w:rPr>
          <w:bCs/>
          <w:sz w:val="24"/>
          <w:szCs w:val="24"/>
        </w:rPr>
        <w:t>utcomes</w:t>
      </w:r>
      <w:r w:rsidRPr="00366816">
        <w:rPr>
          <w:bCs/>
          <w:sz w:val="24"/>
          <w:szCs w:val="24"/>
        </w:rPr>
        <w:t>:</w:t>
      </w:r>
      <w:r w:rsidR="00C21B1D" w:rsidRPr="00366816">
        <w:rPr>
          <w:bCs/>
          <w:sz w:val="24"/>
          <w:szCs w:val="24"/>
        </w:rPr>
        <w:t xml:space="preserve">  </w:t>
      </w:r>
      <w:r w:rsidR="007D2F76" w:rsidRPr="00366816">
        <w:rPr>
          <w:b w:val="0"/>
          <w:sz w:val="24"/>
          <w:szCs w:val="24"/>
        </w:rPr>
        <w:t>A prioritized list of t</w:t>
      </w:r>
      <w:r w:rsidRPr="00366816">
        <w:rPr>
          <w:b w:val="0"/>
          <w:sz w:val="24"/>
          <w:szCs w:val="24"/>
        </w:rPr>
        <w:t xml:space="preserve">raining for critical training needs is </w:t>
      </w:r>
      <w:r w:rsidR="0062061A" w:rsidRPr="00366816">
        <w:rPr>
          <w:b w:val="0"/>
          <w:sz w:val="24"/>
          <w:szCs w:val="24"/>
        </w:rPr>
        <w:t>identified, scheduled</w:t>
      </w:r>
      <w:r w:rsidRPr="00366816">
        <w:rPr>
          <w:b w:val="0"/>
          <w:sz w:val="24"/>
          <w:szCs w:val="24"/>
        </w:rPr>
        <w:t xml:space="preserve">, and </w:t>
      </w:r>
      <w:r w:rsidR="00F327C0" w:rsidRPr="00366816">
        <w:rPr>
          <w:b w:val="0"/>
          <w:sz w:val="24"/>
          <w:szCs w:val="24"/>
        </w:rPr>
        <w:t xml:space="preserve">completed </w:t>
      </w:r>
      <w:r w:rsidRPr="00366816">
        <w:rPr>
          <w:b w:val="0"/>
          <w:sz w:val="24"/>
          <w:szCs w:val="24"/>
        </w:rPr>
        <w:t xml:space="preserve">by </w:t>
      </w:r>
      <w:r w:rsidR="005443EC" w:rsidRPr="00366816">
        <w:rPr>
          <w:b w:val="0"/>
          <w:sz w:val="24"/>
          <w:szCs w:val="24"/>
        </w:rPr>
        <w:t>Fourth Quarter</w:t>
      </w:r>
      <w:r w:rsidRPr="00366816">
        <w:rPr>
          <w:b w:val="0"/>
          <w:sz w:val="24"/>
          <w:szCs w:val="24"/>
        </w:rPr>
        <w:t xml:space="preserve"> </w:t>
      </w:r>
      <w:r w:rsidR="009645CE">
        <w:rPr>
          <w:b w:val="0"/>
          <w:sz w:val="24"/>
          <w:szCs w:val="24"/>
        </w:rPr>
        <w:t>2014</w:t>
      </w:r>
      <w:r w:rsidRPr="00366816">
        <w:rPr>
          <w:b w:val="0"/>
          <w:sz w:val="24"/>
          <w:szCs w:val="24"/>
        </w:rPr>
        <w:t>.</w:t>
      </w:r>
      <w:r w:rsidR="000527EF" w:rsidRPr="00366816">
        <w:rPr>
          <w:b w:val="0"/>
          <w:sz w:val="24"/>
          <w:szCs w:val="24"/>
        </w:rPr>
        <w:t xml:space="preserve"> </w:t>
      </w:r>
    </w:p>
    <w:p w:rsidR="00A86782" w:rsidRPr="00366816" w:rsidRDefault="00145C80" w:rsidP="00C21B1D">
      <w:pPr>
        <w:pStyle w:val="Outcome"/>
        <w:numPr>
          <w:ilvl w:val="0"/>
          <w:numId w:val="0"/>
        </w:numPr>
        <w:tabs>
          <w:tab w:val="left" w:pos="2160"/>
        </w:tabs>
        <w:ind w:left="990"/>
        <w:rPr>
          <w:rFonts w:ascii="Times New Roman" w:hAnsi="Times New Roman"/>
          <w:sz w:val="24"/>
          <w:szCs w:val="24"/>
        </w:rPr>
      </w:pPr>
      <w:r w:rsidRPr="00366816">
        <w:rPr>
          <w:rFonts w:ascii="Times New Roman" w:hAnsi="Times New Roman"/>
          <w:sz w:val="24"/>
          <w:szCs w:val="24"/>
        </w:rPr>
        <w:t>I</w:t>
      </w:r>
      <w:r w:rsidR="00841FF8" w:rsidRPr="00366816">
        <w:rPr>
          <w:rFonts w:ascii="Times New Roman" w:hAnsi="Times New Roman"/>
          <w:sz w:val="24"/>
          <w:szCs w:val="24"/>
        </w:rPr>
        <w:t>mprove</w:t>
      </w:r>
      <w:r w:rsidRPr="00366816">
        <w:rPr>
          <w:rFonts w:ascii="Times New Roman" w:hAnsi="Times New Roman"/>
          <w:sz w:val="24"/>
          <w:szCs w:val="24"/>
        </w:rPr>
        <w:t>d</w:t>
      </w:r>
      <w:r w:rsidR="00841FF8" w:rsidRPr="00366816">
        <w:rPr>
          <w:rFonts w:ascii="Times New Roman" w:hAnsi="Times New Roman"/>
          <w:sz w:val="24"/>
          <w:szCs w:val="24"/>
        </w:rPr>
        <w:t xml:space="preserve"> </w:t>
      </w:r>
      <w:r w:rsidR="00BD7047" w:rsidRPr="00366816">
        <w:rPr>
          <w:rFonts w:ascii="Times New Roman" w:hAnsi="Times New Roman"/>
          <w:sz w:val="24"/>
          <w:szCs w:val="24"/>
        </w:rPr>
        <w:t>resource allocation to support critical training and development needs</w:t>
      </w:r>
      <w:r w:rsidR="00F327C0" w:rsidRPr="00366816">
        <w:rPr>
          <w:rFonts w:ascii="Times New Roman" w:hAnsi="Times New Roman"/>
          <w:sz w:val="24"/>
          <w:szCs w:val="24"/>
        </w:rPr>
        <w:t>.</w:t>
      </w:r>
    </w:p>
    <w:p w:rsidR="00DA4F00" w:rsidRPr="00FC101D" w:rsidRDefault="00DA4F00" w:rsidP="00317244">
      <w:pPr>
        <w:pStyle w:val="Heading2"/>
        <w:jc w:val="left"/>
        <w:rPr>
          <w:sz w:val="28"/>
          <w:szCs w:val="28"/>
        </w:rPr>
      </w:pPr>
      <w:r w:rsidRPr="00FC101D">
        <w:rPr>
          <w:sz w:val="28"/>
          <w:szCs w:val="28"/>
        </w:rPr>
        <w:lastRenderedPageBreak/>
        <w:t>Goal 2: Maintain the organization’s training program.</w:t>
      </w:r>
    </w:p>
    <w:p w:rsidR="00DA4F00" w:rsidRPr="0062061A" w:rsidRDefault="00DA4F00" w:rsidP="00DA4F00">
      <w:pPr>
        <w:rPr>
          <w:highlight w:val="yellow"/>
        </w:rPr>
      </w:pPr>
    </w:p>
    <w:p w:rsidR="00FC101D" w:rsidRPr="00FA0FA9" w:rsidRDefault="00FC101D" w:rsidP="00FC101D">
      <w:pPr>
        <w:jc w:val="both"/>
        <w:rPr>
          <w:color w:val="FF0000"/>
          <w:sz w:val="24"/>
          <w:szCs w:val="24"/>
        </w:rPr>
      </w:pPr>
      <w:r w:rsidRPr="00FA0FA9">
        <w:rPr>
          <w:b/>
          <w:sz w:val="24"/>
          <w:szCs w:val="24"/>
        </w:rPr>
        <w:t xml:space="preserve">Objective 2.1: </w:t>
      </w:r>
      <w:r w:rsidRPr="00FA0FA9">
        <w:rPr>
          <w:sz w:val="24"/>
          <w:szCs w:val="24"/>
        </w:rPr>
        <w:t>Provide financial support for training program.</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Performance Measure:</w:t>
      </w:r>
      <w:r w:rsidRPr="00FA0FA9">
        <w:rPr>
          <w:rFonts w:ascii="Times New Roman" w:hAnsi="Times New Roman" w:cs="Times New Roman"/>
          <w:sz w:val="24"/>
          <w:szCs w:val="24"/>
        </w:rPr>
        <w:t xml:space="preserve"> Level of financial support provided for critical training needs.</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Outcome:</w:t>
      </w:r>
      <w:r w:rsidRPr="00FA0FA9">
        <w:rPr>
          <w:rFonts w:ascii="Times New Roman" w:hAnsi="Times New Roman" w:cs="Times New Roman"/>
          <w:sz w:val="24"/>
          <w:szCs w:val="24"/>
        </w:rPr>
        <w:t xml:space="preserve"> Funding is timely and adequate to support critical training activities set forth in the organizational training plan.</w:t>
      </w:r>
    </w:p>
    <w:p w:rsidR="00FC101D" w:rsidRPr="00FA0FA9" w:rsidRDefault="00FC101D" w:rsidP="00FC101D">
      <w:pPr>
        <w:jc w:val="both"/>
        <w:rPr>
          <w:b/>
          <w:sz w:val="24"/>
          <w:szCs w:val="24"/>
        </w:rPr>
      </w:pPr>
    </w:p>
    <w:p w:rsidR="00FC101D" w:rsidRPr="00FA0FA9" w:rsidRDefault="00FC101D" w:rsidP="00FC101D">
      <w:pPr>
        <w:ind w:left="720"/>
        <w:jc w:val="both"/>
        <w:rPr>
          <w:sz w:val="24"/>
          <w:szCs w:val="24"/>
        </w:rPr>
      </w:pPr>
      <w:r w:rsidRPr="00FA0FA9">
        <w:rPr>
          <w:b/>
          <w:sz w:val="24"/>
          <w:szCs w:val="24"/>
        </w:rPr>
        <w:t xml:space="preserve">Objective 2.2: </w:t>
      </w:r>
      <w:r w:rsidRPr="00FA0FA9">
        <w:rPr>
          <w:sz w:val="24"/>
          <w:szCs w:val="24"/>
        </w:rPr>
        <w:t>Execute training program per plan and track progress quarterly through plan execution tool.</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Performance Measure:</w:t>
      </w:r>
      <w:r w:rsidRPr="00FA0FA9">
        <w:rPr>
          <w:rFonts w:ascii="Times New Roman" w:hAnsi="Times New Roman" w:cs="Times New Roman"/>
          <w:sz w:val="24"/>
          <w:szCs w:val="24"/>
        </w:rPr>
        <w:t xml:space="preserve"> Percentage of training program that is executed.</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Outcome:</w:t>
      </w:r>
      <w:r w:rsidRPr="00FA0FA9">
        <w:rPr>
          <w:rFonts w:ascii="Times New Roman" w:hAnsi="Times New Roman" w:cs="Times New Roman"/>
          <w:sz w:val="24"/>
          <w:szCs w:val="24"/>
        </w:rPr>
        <w:t xml:space="preserve"> Training program execution is adequate to meet critical training needs.</w:t>
      </w:r>
    </w:p>
    <w:p w:rsidR="00FC101D" w:rsidRPr="00FA0FA9" w:rsidRDefault="00FC101D" w:rsidP="00FC101D">
      <w:pPr>
        <w:jc w:val="both"/>
        <w:rPr>
          <w:sz w:val="24"/>
          <w:szCs w:val="24"/>
        </w:rPr>
      </w:pPr>
    </w:p>
    <w:p w:rsidR="00FC101D" w:rsidRPr="00FA0FA9" w:rsidRDefault="00FC101D" w:rsidP="00FC101D">
      <w:pPr>
        <w:ind w:left="720"/>
        <w:jc w:val="both"/>
        <w:rPr>
          <w:sz w:val="24"/>
          <w:szCs w:val="24"/>
        </w:rPr>
      </w:pPr>
      <w:r w:rsidRPr="00FA0FA9">
        <w:rPr>
          <w:b/>
          <w:sz w:val="24"/>
          <w:szCs w:val="24"/>
        </w:rPr>
        <w:t xml:space="preserve">Objective 2.3: </w:t>
      </w:r>
      <w:r w:rsidRPr="00FA0FA9">
        <w:rPr>
          <w:sz w:val="24"/>
          <w:szCs w:val="24"/>
        </w:rPr>
        <w:t>Complete Annual Summary Report.</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Performance Measure:</w:t>
      </w:r>
      <w:r w:rsidRPr="00FA0FA9">
        <w:rPr>
          <w:rFonts w:ascii="Times New Roman" w:hAnsi="Times New Roman" w:cs="Times New Roman"/>
          <w:sz w:val="24"/>
          <w:szCs w:val="24"/>
        </w:rPr>
        <w:t xml:space="preserve"> Completion of an annual summary report</w:t>
      </w:r>
      <w:r>
        <w:rPr>
          <w:rFonts w:ascii="Times New Roman" w:hAnsi="Times New Roman" w:cs="Times New Roman"/>
          <w:sz w:val="24"/>
          <w:szCs w:val="24"/>
        </w:rPr>
        <w:t>.</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Outcome:</w:t>
      </w:r>
      <w:r w:rsidRPr="00FA0FA9">
        <w:rPr>
          <w:rFonts w:ascii="Times New Roman" w:hAnsi="Times New Roman" w:cs="Times New Roman"/>
          <w:sz w:val="24"/>
          <w:szCs w:val="24"/>
        </w:rPr>
        <w:t xml:space="preserve"> The organization’s Annual Summary Report is completed by December 31, </w:t>
      </w:r>
      <w:r w:rsidR="009645CE">
        <w:rPr>
          <w:rFonts w:ascii="Times New Roman" w:hAnsi="Times New Roman" w:cs="Times New Roman"/>
          <w:sz w:val="24"/>
          <w:szCs w:val="24"/>
        </w:rPr>
        <w:t>2013</w:t>
      </w:r>
      <w:r w:rsidRPr="00FA0FA9">
        <w:rPr>
          <w:rFonts w:ascii="Times New Roman" w:hAnsi="Times New Roman" w:cs="Times New Roman"/>
          <w:sz w:val="24"/>
          <w:szCs w:val="24"/>
        </w:rPr>
        <w:t xml:space="preserve">, which compares the planned versus the actual training completed for the prior </w:t>
      </w:r>
      <w:r w:rsidRPr="003B3E1B">
        <w:rPr>
          <w:rFonts w:ascii="Times New Roman" w:hAnsi="Times New Roman" w:cs="Times New Roman"/>
          <w:sz w:val="24"/>
          <w:szCs w:val="24"/>
        </w:rPr>
        <w:t>Fiscal Year</w:t>
      </w:r>
      <w:r w:rsidRPr="00FA0FA9">
        <w:rPr>
          <w:rFonts w:ascii="Times New Roman" w:hAnsi="Times New Roman" w:cs="Times New Roman"/>
          <w:sz w:val="24"/>
          <w:szCs w:val="24"/>
        </w:rPr>
        <w:t xml:space="preserve">. </w:t>
      </w:r>
    </w:p>
    <w:p w:rsidR="00FC101D" w:rsidRPr="00FA0FA9" w:rsidRDefault="00FC101D" w:rsidP="00FC101D">
      <w:pPr>
        <w:pStyle w:val="Heading3"/>
        <w:ind w:left="720"/>
        <w:jc w:val="both"/>
        <w:rPr>
          <w:sz w:val="24"/>
          <w:szCs w:val="24"/>
        </w:rPr>
      </w:pPr>
    </w:p>
    <w:p w:rsidR="00FC101D" w:rsidRPr="00FA0FA9" w:rsidRDefault="00FC101D" w:rsidP="00FC101D">
      <w:pPr>
        <w:pStyle w:val="Heading3"/>
        <w:ind w:left="720"/>
        <w:jc w:val="both"/>
        <w:rPr>
          <w:sz w:val="24"/>
          <w:szCs w:val="24"/>
        </w:rPr>
      </w:pPr>
      <w:r w:rsidRPr="00FA0FA9">
        <w:rPr>
          <w:sz w:val="24"/>
          <w:szCs w:val="24"/>
        </w:rPr>
        <w:t xml:space="preserve">Objective 2.4: </w:t>
      </w:r>
      <w:r w:rsidRPr="00FA0FA9">
        <w:rPr>
          <w:b w:val="0"/>
          <w:sz w:val="24"/>
          <w:szCs w:val="24"/>
        </w:rPr>
        <w:t>Produce required training plans.</w:t>
      </w:r>
    </w:p>
    <w:p w:rsidR="00FC101D" w:rsidRPr="00FA0FA9" w:rsidRDefault="00FC101D" w:rsidP="00FC101D">
      <w:pPr>
        <w:pStyle w:val="PerformanceOutcom"/>
        <w:jc w:val="both"/>
        <w:rPr>
          <w:rFonts w:ascii="Times New Roman" w:hAnsi="Times New Roman" w:cs="Times New Roman"/>
          <w:sz w:val="24"/>
          <w:szCs w:val="24"/>
        </w:rPr>
      </w:pPr>
      <w:r w:rsidRPr="00FA0FA9">
        <w:rPr>
          <w:rFonts w:ascii="Times New Roman" w:hAnsi="Times New Roman" w:cs="Times New Roman"/>
          <w:b/>
          <w:sz w:val="24"/>
          <w:szCs w:val="24"/>
        </w:rPr>
        <w:t xml:space="preserve">Performance Measure: </w:t>
      </w:r>
      <w:r w:rsidRPr="00FA0FA9">
        <w:rPr>
          <w:rFonts w:ascii="Times New Roman" w:hAnsi="Times New Roman" w:cs="Times New Roman"/>
          <w:sz w:val="24"/>
          <w:szCs w:val="24"/>
        </w:rPr>
        <w:t>The organization complies with the requirements of DOE Order 360.1C</w:t>
      </w:r>
      <w:r w:rsidRPr="00FA0FA9">
        <w:rPr>
          <w:rFonts w:ascii="Times New Roman" w:hAnsi="Times New Roman" w:cs="Times New Roman"/>
          <w:i/>
          <w:sz w:val="24"/>
          <w:szCs w:val="24"/>
        </w:rPr>
        <w:t>.</w:t>
      </w:r>
    </w:p>
    <w:p w:rsidR="006A534F" w:rsidRPr="006A534F" w:rsidRDefault="00FC101D" w:rsidP="00FC101D">
      <w:pPr>
        <w:pStyle w:val="PerformanceOutcom"/>
        <w:rPr>
          <w:rFonts w:ascii="Times New Roman" w:hAnsi="Times New Roman" w:cs="Times New Roman"/>
          <w:sz w:val="24"/>
          <w:szCs w:val="24"/>
        </w:rPr>
      </w:pPr>
      <w:r w:rsidRPr="00FA0FA9">
        <w:rPr>
          <w:rFonts w:ascii="Times New Roman" w:hAnsi="Times New Roman" w:cs="Times New Roman"/>
          <w:b/>
          <w:sz w:val="24"/>
          <w:szCs w:val="24"/>
        </w:rPr>
        <w:t>Outcome:</w:t>
      </w:r>
      <w:r w:rsidRPr="00FA0FA9">
        <w:rPr>
          <w:rFonts w:ascii="Times New Roman" w:hAnsi="Times New Roman" w:cs="Times New Roman"/>
          <w:sz w:val="24"/>
          <w:szCs w:val="24"/>
        </w:rPr>
        <w:t xml:space="preserve">  The organization’s FY </w:t>
      </w:r>
      <w:r w:rsidR="009645CE">
        <w:rPr>
          <w:rFonts w:ascii="Times New Roman" w:hAnsi="Times New Roman" w:cs="Times New Roman"/>
          <w:sz w:val="24"/>
          <w:szCs w:val="24"/>
        </w:rPr>
        <w:t>2014</w:t>
      </w:r>
      <w:r w:rsidRPr="00FA0FA9">
        <w:rPr>
          <w:rFonts w:ascii="Times New Roman" w:hAnsi="Times New Roman" w:cs="Times New Roman"/>
          <w:sz w:val="24"/>
          <w:szCs w:val="24"/>
        </w:rPr>
        <w:t xml:space="preserve"> training plan is completed by September 30, </w:t>
      </w:r>
      <w:r w:rsidR="009645CE">
        <w:rPr>
          <w:rFonts w:ascii="Times New Roman" w:hAnsi="Times New Roman" w:cs="Times New Roman"/>
          <w:sz w:val="24"/>
          <w:szCs w:val="24"/>
        </w:rPr>
        <w:t>2013</w:t>
      </w:r>
      <w:r w:rsidRPr="00FA0FA9">
        <w:rPr>
          <w:rFonts w:ascii="Times New Roman" w:hAnsi="Times New Roman" w:cs="Times New Roman"/>
          <w:sz w:val="24"/>
          <w:szCs w:val="24"/>
        </w:rPr>
        <w:t>.</w:t>
      </w:r>
      <w:r w:rsidR="006A534F" w:rsidRPr="006A534F">
        <w:rPr>
          <w:rFonts w:ascii="Times New Roman" w:hAnsi="Times New Roman" w:cs="Times New Roman"/>
          <w:sz w:val="24"/>
          <w:szCs w:val="24"/>
        </w:rPr>
        <w:t xml:space="preserve"> </w:t>
      </w:r>
    </w:p>
    <w:p w:rsidR="00044705" w:rsidRPr="00C14AD4" w:rsidRDefault="00044705" w:rsidP="00C14AD4">
      <w:pPr>
        <w:rPr>
          <w:b/>
          <w:sz w:val="24"/>
          <w:szCs w:val="24"/>
        </w:rPr>
      </w:pPr>
    </w:p>
    <w:p w:rsidR="00871C0F" w:rsidRPr="002C6989" w:rsidRDefault="00871C0F" w:rsidP="00871C0F">
      <w:pPr>
        <w:pStyle w:val="Heading1"/>
        <w:tabs>
          <w:tab w:val="num" w:pos="360"/>
          <w:tab w:val="left" w:pos="504"/>
        </w:tabs>
        <w:spacing w:before="240" w:after="60"/>
        <w:jc w:val="left"/>
        <w:rPr>
          <w:sz w:val="32"/>
          <w:szCs w:val="32"/>
        </w:rPr>
      </w:pPr>
      <w:r w:rsidRPr="002C6989">
        <w:rPr>
          <w:sz w:val="32"/>
          <w:szCs w:val="32"/>
        </w:rPr>
        <w:t>III. Training Budget</w:t>
      </w:r>
    </w:p>
    <w:p w:rsidR="00871C0F" w:rsidRDefault="00871C0F" w:rsidP="00871C0F"/>
    <w:p w:rsidR="00871C0F" w:rsidRDefault="00871C0F" w:rsidP="00871C0F">
      <w:pPr>
        <w:pStyle w:val="Heading5"/>
        <w:jc w:val="left"/>
        <w:rPr>
          <w:b w:val="0"/>
          <w:sz w:val="24"/>
          <w:szCs w:val="24"/>
        </w:rPr>
      </w:pPr>
      <w:r w:rsidRPr="00B53A64">
        <w:rPr>
          <w:b w:val="0"/>
          <w:sz w:val="24"/>
          <w:szCs w:val="24"/>
        </w:rPr>
        <w:t>The training budget is maintained within each Office or Assistant Manager (AM) organization for discretionary training costs and by the training staff in H</w:t>
      </w:r>
      <w:r w:rsidR="00895AB4">
        <w:rPr>
          <w:b w:val="0"/>
          <w:sz w:val="24"/>
          <w:szCs w:val="24"/>
        </w:rPr>
        <w:t>C</w:t>
      </w:r>
      <w:r w:rsidRPr="00B53A64">
        <w:rPr>
          <w:b w:val="0"/>
          <w:sz w:val="24"/>
          <w:szCs w:val="24"/>
        </w:rPr>
        <w:t xml:space="preserve"> for training costs related t</w:t>
      </w:r>
      <w:r w:rsidRPr="00305836">
        <w:rPr>
          <w:b w:val="0"/>
          <w:sz w:val="24"/>
          <w:szCs w:val="24"/>
        </w:rPr>
        <w:t xml:space="preserve">o </w:t>
      </w:r>
      <w:r>
        <w:rPr>
          <w:b w:val="0"/>
          <w:sz w:val="24"/>
          <w:szCs w:val="24"/>
        </w:rPr>
        <w:t>qualifications,</w:t>
      </w:r>
      <w:r w:rsidRPr="00305836">
        <w:rPr>
          <w:b w:val="0"/>
          <w:sz w:val="24"/>
          <w:szCs w:val="24"/>
        </w:rPr>
        <w:t xml:space="preserve"> higher education, professional licenses, and the</w:t>
      </w:r>
      <w:r>
        <w:rPr>
          <w:b w:val="0"/>
          <w:sz w:val="24"/>
          <w:szCs w:val="24"/>
        </w:rPr>
        <w:t xml:space="preserve"> Energy</w:t>
      </w:r>
      <w:r w:rsidRPr="00305836">
        <w:rPr>
          <w:b w:val="0"/>
          <w:sz w:val="24"/>
          <w:szCs w:val="24"/>
        </w:rPr>
        <w:t xml:space="preserve"> On</w:t>
      </w:r>
      <w:r w:rsidR="00CE3E38">
        <w:rPr>
          <w:b w:val="0"/>
          <w:sz w:val="24"/>
          <w:szCs w:val="24"/>
        </w:rPr>
        <w:t>l</w:t>
      </w:r>
      <w:r w:rsidRPr="00305836">
        <w:rPr>
          <w:b w:val="0"/>
          <w:sz w:val="24"/>
          <w:szCs w:val="24"/>
        </w:rPr>
        <w:t>ine Learning Center</w:t>
      </w:r>
      <w:r>
        <w:rPr>
          <w:b w:val="0"/>
          <w:sz w:val="24"/>
          <w:szCs w:val="24"/>
        </w:rPr>
        <w:t xml:space="preserve"> 2</w:t>
      </w:r>
      <w:r w:rsidR="00E3677A">
        <w:rPr>
          <w:b w:val="0"/>
          <w:sz w:val="24"/>
          <w:szCs w:val="24"/>
        </w:rPr>
        <w:t xml:space="preserve"> (OLC2)</w:t>
      </w:r>
      <w:r w:rsidRPr="00305836">
        <w:rPr>
          <w:b w:val="0"/>
          <w:sz w:val="24"/>
          <w:szCs w:val="24"/>
        </w:rPr>
        <w:t xml:space="preserve">.  </w:t>
      </w:r>
      <w:r w:rsidRPr="00B53A64">
        <w:rPr>
          <w:b w:val="0"/>
          <w:sz w:val="24"/>
          <w:szCs w:val="24"/>
        </w:rPr>
        <w:t xml:space="preserve">Each organization is responsible for tracking the status of its training expenditures.  </w:t>
      </w:r>
    </w:p>
    <w:p w:rsidR="00871C0F" w:rsidRPr="00871C0F" w:rsidRDefault="00871C0F" w:rsidP="00871C0F"/>
    <w:p w:rsidR="00871C0F" w:rsidRDefault="00871C0F" w:rsidP="00871C0F">
      <w:pPr>
        <w:pStyle w:val="BodyText2"/>
      </w:pPr>
      <w:r w:rsidRPr="004A3CD9">
        <w:t xml:space="preserve">The organization’s </w:t>
      </w:r>
      <w:r w:rsidR="00A953BE">
        <w:t>estimated</w:t>
      </w:r>
      <w:r w:rsidR="00500C5B">
        <w:t xml:space="preserve"> </w:t>
      </w:r>
      <w:r w:rsidRPr="004A3CD9">
        <w:t>tr</w:t>
      </w:r>
      <w:r w:rsidR="00500C5B">
        <w:t xml:space="preserve">aining budget for FY </w:t>
      </w:r>
      <w:r w:rsidR="009645CE">
        <w:t>2014</w:t>
      </w:r>
      <w:r w:rsidR="00500C5B">
        <w:t xml:space="preserve"> is $</w:t>
      </w:r>
      <w:r w:rsidR="00CE3E38" w:rsidRPr="00895AB4">
        <w:rPr>
          <w:highlight w:val="yellow"/>
        </w:rPr>
        <w:t>XXX</w:t>
      </w:r>
      <w:r w:rsidRPr="00895AB4">
        <w:rPr>
          <w:highlight w:val="yellow"/>
        </w:rPr>
        <w:t>,</w:t>
      </w:r>
      <w:r w:rsidR="00CE3E38" w:rsidRPr="00895AB4">
        <w:rPr>
          <w:highlight w:val="yellow"/>
        </w:rPr>
        <w:t>XXX</w:t>
      </w:r>
      <w:r w:rsidRPr="00895AB4">
        <w:rPr>
          <w:highlight w:val="yellow"/>
        </w:rPr>
        <w:t>.</w:t>
      </w:r>
      <w:r w:rsidRPr="004A3CD9">
        <w:t xml:space="preserve"> </w:t>
      </w:r>
      <w:r w:rsidRPr="0073539D">
        <w:t xml:space="preserve">  </w:t>
      </w:r>
    </w:p>
    <w:p w:rsidR="00FA1868" w:rsidRPr="002C6989" w:rsidRDefault="005A1526" w:rsidP="00FA1868">
      <w:pPr>
        <w:pStyle w:val="Heading1"/>
        <w:tabs>
          <w:tab w:val="num" w:pos="360"/>
          <w:tab w:val="left" w:pos="504"/>
        </w:tabs>
        <w:spacing w:before="240" w:after="60"/>
        <w:jc w:val="left"/>
        <w:rPr>
          <w:sz w:val="32"/>
          <w:szCs w:val="32"/>
        </w:rPr>
      </w:pPr>
      <w:r w:rsidRPr="002C6989">
        <w:rPr>
          <w:sz w:val="32"/>
          <w:szCs w:val="32"/>
        </w:rPr>
        <w:t xml:space="preserve">IV. </w:t>
      </w:r>
      <w:r w:rsidR="00FA1868" w:rsidRPr="002C6989">
        <w:rPr>
          <w:sz w:val="32"/>
          <w:szCs w:val="32"/>
        </w:rPr>
        <w:t>Federal Training Staff</w:t>
      </w:r>
      <w:r w:rsidR="006C0175" w:rsidRPr="002C6989">
        <w:rPr>
          <w:sz w:val="32"/>
          <w:szCs w:val="32"/>
        </w:rPr>
        <w:t xml:space="preserve"> </w:t>
      </w:r>
    </w:p>
    <w:p w:rsidR="00DE1CC1" w:rsidRPr="00DE1CC1" w:rsidRDefault="00DE1CC1" w:rsidP="00DE1CC1"/>
    <w:p w:rsidR="003F4CBC" w:rsidRDefault="003F4CBC" w:rsidP="003F4CBC">
      <w:pPr>
        <w:rPr>
          <w:sz w:val="24"/>
          <w:szCs w:val="24"/>
        </w:rPr>
      </w:pPr>
      <w:r w:rsidRPr="00B01051">
        <w:rPr>
          <w:sz w:val="24"/>
          <w:szCs w:val="24"/>
        </w:rPr>
        <w:t xml:space="preserve">In order to provide training support to the organizations it services, </w:t>
      </w:r>
      <w:r w:rsidR="00202F0B">
        <w:rPr>
          <w:sz w:val="24"/>
          <w:szCs w:val="24"/>
        </w:rPr>
        <w:t>Learning and Development Training Services (LDTS)</w:t>
      </w:r>
      <w:r w:rsidR="00D3068B">
        <w:rPr>
          <w:sz w:val="24"/>
          <w:szCs w:val="24"/>
        </w:rPr>
        <w:t xml:space="preserve"> </w:t>
      </w:r>
      <w:r w:rsidRPr="00B01051">
        <w:rPr>
          <w:sz w:val="24"/>
          <w:szCs w:val="24"/>
        </w:rPr>
        <w:t xml:space="preserve">has assigned a training consultant, a dedicated human resource development specialist, to each organization to be the first point of contact for that organization.  The organization has established a training point of contact to work with the </w:t>
      </w:r>
      <w:r w:rsidR="00202F0B">
        <w:rPr>
          <w:sz w:val="24"/>
          <w:szCs w:val="24"/>
        </w:rPr>
        <w:t xml:space="preserve">LDTS </w:t>
      </w:r>
      <w:r w:rsidRPr="00B01051">
        <w:rPr>
          <w:sz w:val="24"/>
          <w:szCs w:val="24"/>
        </w:rPr>
        <w:t xml:space="preserve">training consultant; together the consultant and point of contact </w:t>
      </w:r>
      <w:r w:rsidRPr="00B01051">
        <w:rPr>
          <w:sz w:val="24"/>
          <w:szCs w:val="24"/>
        </w:rPr>
        <w:lastRenderedPageBreak/>
        <w:t xml:space="preserve">provide a communication network between the two organizations.  This enhances communication and ensures quality training services.  The training consultant and/or the training point of contact disseminate training information and training assistance to the organization.  The training point of contact provides the organization’s perspective so that the </w:t>
      </w:r>
      <w:r w:rsidR="00202F0B">
        <w:rPr>
          <w:sz w:val="24"/>
          <w:szCs w:val="24"/>
        </w:rPr>
        <w:t>LDTS</w:t>
      </w:r>
      <w:r w:rsidRPr="00B01051">
        <w:rPr>
          <w:sz w:val="24"/>
          <w:szCs w:val="24"/>
        </w:rPr>
        <w:t xml:space="preserve"> can correctly address its training needs.</w:t>
      </w:r>
      <w:r>
        <w:rPr>
          <w:sz w:val="24"/>
          <w:szCs w:val="24"/>
        </w:rPr>
        <w:t xml:space="preserve">  </w:t>
      </w:r>
    </w:p>
    <w:p w:rsidR="00191F70" w:rsidRPr="002C6989" w:rsidRDefault="00191F70" w:rsidP="00FA1868">
      <w:pPr>
        <w:pStyle w:val="BodyText2"/>
      </w:pPr>
    </w:p>
    <w:p w:rsidR="00FA1868" w:rsidRPr="002C6989" w:rsidRDefault="00B1648F" w:rsidP="00FA1868">
      <w:pPr>
        <w:pStyle w:val="Heading1"/>
        <w:tabs>
          <w:tab w:val="num" w:pos="360"/>
          <w:tab w:val="left" w:pos="504"/>
        </w:tabs>
        <w:spacing w:before="240" w:after="60"/>
        <w:jc w:val="left"/>
        <w:rPr>
          <w:sz w:val="32"/>
          <w:szCs w:val="32"/>
        </w:rPr>
      </w:pPr>
      <w:r w:rsidRPr="002C6989">
        <w:rPr>
          <w:sz w:val="32"/>
          <w:szCs w:val="32"/>
        </w:rPr>
        <w:t xml:space="preserve">VI. </w:t>
      </w:r>
      <w:r w:rsidR="001E70F2">
        <w:rPr>
          <w:sz w:val="32"/>
          <w:szCs w:val="32"/>
        </w:rPr>
        <w:t xml:space="preserve">Critical Needs and </w:t>
      </w:r>
      <w:r w:rsidR="00FA1868" w:rsidRPr="002C6989">
        <w:rPr>
          <w:sz w:val="32"/>
          <w:szCs w:val="32"/>
        </w:rPr>
        <w:t xml:space="preserve">Major Training Programs for </w:t>
      </w:r>
      <w:r w:rsidR="009645CE">
        <w:rPr>
          <w:sz w:val="32"/>
          <w:szCs w:val="32"/>
        </w:rPr>
        <w:t>2014</w:t>
      </w:r>
      <w:r w:rsidR="007E12F2" w:rsidRPr="002C6989">
        <w:rPr>
          <w:sz w:val="32"/>
          <w:szCs w:val="32"/>
        </w:rPr>
        <w:t xml:space="preserve"> </w:t>
      </w:r>
    </w:p>
    <w:p w:rsidR="00DE1CC1" w:rsidRPr="00DE1CC1" w:rsidRDefault="00DE1CC1" w:rsidP="00DE1CC1"/>
    <w:p w:rsidR="00752CDB" w:rsidRDefault="00752CDB" w:rsidP="00752CDB">
      <w:pPr>
        <w:pStyle w:val="BodyText2"/>
      </w:pPr>
      <w:r w:rsidRPr="00B1648F">
        <w:t xml:space="preserve">The following </w:t>
      </w:r>
      <w:r>
        <w:t xml:space="preserve">mission critical training is planned for FY </w:t>
      </w:r>
      <w:r w:rsidR="009645CE">
        <w:t>2014</w:t>
      </w:r>
      <w:r>
        <w:t>:</w:t>
      </w:r>
    </w:p>
    <w:p w:rsidR="001E70F2" w:rsidRDefault="001E70F2" w:rsidP="00AC6D1A">
      <w:pPr>
        <w:pStyle w:val="BodyText2"/>
      </w:pPr>
    </w:p>
    <w:p w:rsidR="001E70F2" w:rsidRPr="001E70F2" w:rsidRDefault="001E70F2" w:rsidP="001E70F2">
      <w:pPr>
        <w:pStyle w:val="ListBullet2"/>
        <w:tabs>
          <w:tab w:val="clear" w:pos="720"/>
          <w:tab w:val="num" w:pos="1080"/>
        </w:tabs>
        <w:ind w:left="1080"/>
        <w:rPr>
          <w:rFonts w:ascii="Times New Roman" w:hAnsi="Times New Roman"/>
          <w:sz w:val="24"/>
          <w:szCs w:val="24"/>
        </w:rPr>
      </w:pPr>
      <w:r w:rsidRPr="001E70F2">
        <w:rPr>
          <w:rFonts w:ascii="Times New Roman" w:hAnsi="Times New Roman"/>
          <w:b/>
          <w:sz w:val="24"/>
          <w:szCs w:val="24"/>
        </w:rPr>
        <w:t>Mission Critical Needs</w:t>
      </w:r>
      <w:r w:rsidR="00752CDB">
        <w:rPr>
          <w:rFonts w:ascii="Times New Roman" w:hAnsi="Times New Roman"/>
          <w:b/>
          <w:sz w:val="24"/>
          <w:szCs w:val="24"/>
        </w:rPr>
        <w:t>:</w:t>
      </w:r>
      <w:r w:rsidRPr="001E70F2">
        <w:rPr>
          <w:rFonts w:ascii="Times New Roman" w:hAnsi="Times New Roman"/>
          <w:sz w:val="24"/>
          <w:szCs w:val="24"/>
        </w:rPr>
        <w:t xml:space="preserve">  Element critical needs are those immediate training needs which, when met, will be effective in improving organizational and workforce performance. </w:t>
      </w:r>
    </w:p>
    <w:p w:rsidR="001E70F2" w:rsidRPr="00191F70" w:rsidRDefault="001E70F2" w:rsidP="001E70F2">
      <w:pPr>
        <w:pStyle w:val="ListBullet2"/>
        <w:tabs>
          <w:tab w:val="clear" w:pos="720"/>
          <w:tab w:val="num" w:pos="1080"/>
        </w:tabs>
        <w:ind w:left="1080"/>
        <w:rPr>
          <w:rFonts w:ascii="Times New Roman" w:hAnsi="Times New Roman"/>
          <w:sz w:val="24"/>
          <w:szCs w:val="24"/>
        </w:rPr>
      </w:pPr>
      <w:r w:rsidRPr="001E70F2">
        <w:rPr>
          <w:rFonts w:ascii="Times New Roman" w:hAnsi="Times New Roman"/>
          <w:sz w:val="24"/>
          <w:szCs w:val="24"/>
        </w:rPr>
        <w:t xml:space="preserve">The following are focus areas </w:t>
      </w:r>
      <w:r>
        <w:rPr>
          <w:rFonts w:ascii="Times New Roman" w:hAnsi="Times New Roman"/>
          <w:sz w:val="24"/>
          <w:szCs w:val="24"/>
        </w:rPr>
        <w:t xml:space="preserve">for Mission Critical </w:t>
      </w:r>
      <w:r w:rsidRPr="001E70F2">
        <w:rPr>
          <w:rFonts w:ascii="Times New Roman" w:hAnsi="Times New Roman"/>
          <w:sz w:val="24"/>
          <w:szCs w:val="24"/>
        </w:rPr>
        <w:t>training:</w:t>
      </w:r>
      <w:r w:rsidRPr="001E70F2">
        <w:rPr>
          <w:rFonts w:ascii="Times New Roman" w:hAnsi="Times New Roman"/>
          <w:sz w:val="24"/>
          <w:szCs w:val="24"/>
        </w:rPr>
        <w:tab/>
      </w:r>
    </w:p>
    <w:p w:rsidR="001E70F2" w:rsidRPr="00256BB9" w:rsidRDefault="001E70F2" w:rsidP="001E70F2">
      <w:pPr>
        <w:pStyle w:val="ListBullet2"/>
        <w:numPr>
          <w:ilvl w:val="0"/>
          <w:numId w:val="6"/>
        </w:numPr>
        <w:tabs>
          <w:tab w:val="clear" w:pos="1080"/>
          <w:tab w:val="num" w:pos="1440"/>
        </w:tabs>
        <w:ind w:left="1440"/>
        <w:rPr>
          <w:rFonts w:ascii="Times New Roman" w:hAnsi="Times New Roman"/>
          <w:sz w:val="24"/>
          <w:szCs w:val="24"/>
          <w:highlight w:val="yellow"/>
        </w:rPr>
      </w:pPr>
      <w:r>
        <w:rPr>
          <w:rFonts w:ascii="Times New Roman" w:hAnsi="Times New Roman"/>
          <w:sz w:val="24"/>
          <w:szCs w:val="24"/>
          <w:highlight w:val="yellow"/>
        </w:rPr>
        <w:t>COTR</w:t>
      </w:r>
    </w:p>
    <w:p w:rsidR="001E70F2" w:rsidRDefault="001E70F2" w:rsidP="001E70F2">
      <w:pPr>
        <w:pStyle w:val="ListBullet2"/>
        <w:numPr>
          <w:ilvl w:val="0"/>
          <w:numId w:val="6"/>
        </w:numPr>
        <w:tabs>
          <w:tab w:val="clear" w:pos="1080"/>
          <w:tab w:val="num" w:pos="1440"/>
        </w:tabs>
        <w:ind w:left="1440"/>
        <w:rPr>
          <w:rFonts w:ascii="Times New Roman" w:hAnsi="Times New Roman"/>
          <w:sz w:val="24"/>
          <w:szCs w:val="24"/>
          <w:highlight w:val="yellow"/>
        </w:rPr>
      </w:pPr>
      <w:r>
        <w:rPr>
          <w:rFonts w:ascii="Times New Roman" w:hAnsi="Times New Roman"/>
          <w:sz w:val="24"/>
          <w:szCs w:val="24"/>
          <w:highlight w:val="yellow"/>
        </w:rPr>
        <w:t>Airline Pilot</w:t>
      </w:r>
    </w:p>
    <w:p w:rsidR="001E70F2" w:rsidRPr="00256BB9" w:rsidRDefault="001E70F2" w:rsidP="00A80A0E">
      <w:pPr>
        <w:pStyle w:val="ListBullet2"/>
        <w:numPr>
          <w:ilvl w:val="0"/>
          <w:numId w:val="0"/>
        </w:numPr>
        <w:ind w:left="1440"/>
        <w:rPr>
          <w:rFonts w:ascii="Times New Roman" w:hAnsi="Times New Roman"/>
          <w:sz w:val="24"/>
          <w:szCs w:val="24"/>
          <w:highlight w:val="yellow"/>
        </w:rPr>
      </w:pPr>
    </w:p>
    <w:p w:rsidR="001E70F2" w:rsidRDefault="001E70F2" w:rsidP="001E70F2">
      <w:pPr>
        <w:pStyle w:val="ListBullet2"/>
        <w:numPr>
          <w:ilvl w:val="0"/>
          <w:numId w:val="8"/>
        </w:numPr>
        <w:rPr>
          <w:rFonts w:ascii="Times New Roman" w:hAnsi="Times New Roman"/>
          <w:sz w:val="24"/>
          <w:szCs w:val="24"/>
        </w:rPr>
      </w:pPr>
      <w:r w:rsidRPr="00F2014F">
        <w:rPr>
          <w:rFonts w:ascii="Times New Roman" w:hAnsi="Times New Roman"/>
          <w:sz w:val="24"/>
          <w:szCs w:val="24"/>
        </w:rPr>
        <w:t xml:space="preserve">Approximately </w:t>
      </w:r>
      <w:r w:rsidRPr="00E95560">
        <w:rPr>
          <w:rFonts w:ascii="Times New Roman" w:hAnsi="Times New Roman"/>
          <w:b/>
          <w:sz w:val="24"/>
          <w:szCs w:val="24"/>
          <w:highlight w:val="yellow"/>
        </w:rPr>
        <w:t>XX</w:t>
      </w:r>
      <w:r w:rsidRPr="00F2014F">
        <w:rPr>
          <w:rFonts w:ascii="Times New Roman" w:hAnsi="Times New Roman"/>
          <w:sz w:val="24"/>
          <w:szCs w:val="24"/>
        </w:rPr>
        <w:t xml:space="preserve"> employees </w:t>
      </w:r>
      <w:r>
        <w:rPr>
          <w:rFonts w:ascii="Times New Roman" w:hAnsi="Times New Roman"/>
          <w:sz w:val="24"/>
          <w:szCs w:val="24"/>
        </w:rPr>
        <w:t>need the Mission Critical training</w:t>
      </w:r>
    </w:p>
    <w:p w:rsidR="001E70F2" w:rsidRPr="002C6989" w:rsidRDefault="001E70F2" w:rsidP="001E70F2">
      <w:pPr>
        <w:pStyle w:val="ListBullet2"/>
        <w:numPr>
          <w:ilvl w:val="0"/>
          <w:numId w:val="8"/>
        </w:numPr>
        <w:rPr>
          <w:rFonts w:ascii="Times New Roman" w:hAnsi="Times New Roman"/>
          <w:sz w:val="24"/>
          <w:szCs w:val="24"/>
        </w:rPr>
      </w:pPr>
      <w:r>
        <w:rPr>
          <w:rFonts w:ascii="Times New Roman" w:hAnsi="Times New Roman"/>
          <w:sz w:val="24"/>
          <w:szCs w:val="24"/>
        </w:rPr>
        <w:t>Mission Critical</w:t>
      </w:r>
      <w:r w:rsidRPr="00343FF1">
        <w:rPr>
          <w:rFonts w:ascii="Times New Roman" w:hAnsi="Times New Roman"/>
          <w:sz w:val="24"/>
          <w:szCs w:val="24"/>
        </w:rPr>
        <w:t xml:space="preserve"> training needs are identified</w:t>
      </w:r>
      <w:r w:rsidRPr="002C6989">
        <w:rPr>
          <w:rFonts w:ascii="Times New Roman" w:hAnsi="Times New Roman"/>
          <w:sz w:val="24"/>
          <w:szCs w:val="24"/>
        </w:rPr>
        <w:t xml:space="preserve"> in attachment 1.  </w:t>
      </w:r>
    </w:p>
    <w:p w:rsidR="001E70F2" w:rsidRDefault="001E70F2" w:rsidP="001E70F2">
      <w:pPr>
        <w:rPr>
          <w:sz w:val="24"/>
          <w:szCs w:val="24"/>
        </w:rPr>
      </w:pPr>
    </w:p>
    <w:p w:rsidR="001E70F2" w:rsidRDefault="001E70F2" w:rsidP="00AC6D1A">
      <w:pPr>
        <w:pStyle w:val="BodyText2"/>
      </w:pPr>
    </w:p>
    <w:p w:rsidR="004A3CD9" w:rsidRDefault="00FA1868" w:rsidP="00AC6D1A">
      <w:pPr>
        <w:pStyle w:val="BodyText2"/>
      </w:pPr>
      <w:r w:rsidRPr="00B1648F">
        <w:t>The following major training delivery programs, projects, and other significant acti</w:t>
      </w:r>
      <w:r w:rsidR="00AC6D1A">
        <w:t xml:space="preserve">vities are planned for FY </w:t>
      </w:r>
      <w:r w:rsidR="009645CE">
        <w:t>2014</w:t>
      </w:r>
      <w:r w:rsidR="00AC6D1A">
        <w:t>:</w:t>
      </w:r>
    </w:p>
    <w:p w:rsidR="00B20FE7" w:rsidRPr="005443EC" w:rsidRDefault="00B20FE7" w:rsidP="00AC6D1A">
      <w:pPr>
        <w:pStyle w:val="BodyText2"/>
      </w:pPr>
    </w:p>
    <w:p w:rsidR="00021557" w:rsidRPr="00021557" w:rsidRDefault="00FA1868" w:rsidP="00191F70">
      <w:pPr>
        <w:pStyle w:val="ListBullet2"/>
        <w:rPr>
          <w:rFonts w:ascii="Times New Roman" w:hAnsi="Times New Roman"/>
          <w:sz w:val="24"/>
          <w:szCs w:val="24"/>
        </w:rPr>
      </w:pPr>
      <w:r w:rsidRPr="00B56CA8">
        <w:rPr>
          <w:rFonts w:ascii="Times New Roman" w:hAnsi="Times New Roman"/>
          <w:b/>
          <w:sz w:val="24"/>
          <w:szCs w:val="24"/>
        </w:rPr>
        <w:t>Technical Qualification Program (TQP)</w:t>
      </w:r>
      <w:r w:rsidR="00313078" w:rsidRPr="00B56CA8">
        <w:rPr>
          <w:rFonts w:ascii="Times New Roman" w:hAnsi="Times New Roman"/>
          <w:b/>
          <w:sz w:val="24"/>
          <w:szCs w:val="24"/>
        </w:rPr>
        <w:t>:</w:t>
      </w:r>
      <w:r w:rsidR="00313078">
        <w:rPr>
          <w:rFonts w:ascii="Times New Roman" w:hAnsi="Times New Roman"/>
          <w:sz w:val="24"/>
          <w:szCs w:val="24"/>
        </w:rPr>
        <w:t xml:space="preserve">  </w:t>
      </w:r>
      <w:r w:rsidR="0073539D" w:rsidRPr="0073539D">
        <w:rPr>
          <w:rFonts w:ascii="Times New Roman" w:hAnsi="Times New Roman"/>
          <w:color w:val="000000"/>
          <w:sz w:val="24"/>
          <w:szCs w:val="24"/>
        </w:rPr>
        <w:t xml:space="preserve">The Technical Qualification Program (TQP) establishes a process to objectively determine that individuals performing activities related to the technical support, management, oversight, or operation of defense nuclear facilities possess the </w:t>
      </w:r>
      <w:r w:rsidR="0073539D">
        <w:rPr>
          <w:rFonts w:ascii="Times New Roman" w:hAnsi="Times New Roman"/>
          <w:color w:val="000000"/>
          <w:sz w:val="24"/>
          <w:szCs w:val="24"/>
        </w:rPr>
        <w:tab/>
      </w:r>
      <w:r w:rsidR="0073539D" w:rsidRPr="0073539D">
        <w:rPr>
          <w:rFonts w:ascii="Times New Roman" w:hAnsi="Times New Roman"/>
          <w:color w:val="000000"/>
          <w:sz w:val="24"/>
          <w:szCs w:val="24"/>
        </w:rPr>
        <w:t xml:space="preserve">necessary knowledge, skills, and abilities to perform their assigned duties and responsibilities. </w:t>
      </w:r>
    </w:p>
    <w:p w:rsidR="00021557" w:rsidRPr="00021557" w:rsidRDefault="0073539D" w:rsidP="00021557">
      <w:pPr>
        <w:pStyle w:val="ListBullet2"/>
        <w:tabs>
          <w:tab w:val="clear" w:pos="720"/>
          <w:tab w:val="num" w:pos="1080"/>
        </w:tabs>
        <w:ind w:left="1080"/>
        <w:rPr>
          <w:rFonts w:ascii="Times New Roman" w:hAnsi="Times New Roman"/>
          <w:sz w:val="24"/>
          <w:szCs w:val="24"/>
        </w:rPr>
      </w:pPr>
      <w:r w:rsidRPr="0073539D">
        <w:rPr>
          <w:rFonts w:ascii="Times New Roman" w:hAnsi="Times New Roman"/>
          <w:color w:val="000000"/>
          <w:sz w:val="24"/>
          <w:szCs w:val="24"/>
        </w:rPr>
        <w:t>The TQP specifically applies to DOE technical employees whose duties and responsibilities require them to provide assistance, guidance, direction, oversight, or evaluation of contractor activities that could impact the safe operation of a defense nuclear facility. </w:t>
      </w:r>
    </w:p>
    <w:p w:rsidR="004146E5" w:rsidRPr="00191F70" w:rsidRDefault="004146E5" w:rsidP="00021557">
      <w:pPr>
        <w:pStyle w:val="ListBullet2"/>
        <w:tabs>
          <w:tab w:val="clear" w:pos="720"/>
          <w:tab w:val="num" w:pos="1080"/>
        </w:tabs>
        <w:ind w:left="1080"/>
        <w:rPr>
          <w:rFonts w:ascii="Times New Roman" w:hAnsi="Times New Roman"/>
          <w:sz w:val="24"/>
          <w:szCs w:val="24"/>
        </w:rPr>
      </w:pPr>
      <w:r w:rsidRPr="00191F70">
        <w:rPr>
          <w:rFonts w:ascii="Times New Roman" w:hAnsi="Times New Roman"/>
          <w:sz w:val="24"/>
          <w:szCs w:val="24"/>
        </w:rPr>
        <w:t>The following are focus areas of training for TQP staff:</w:t>
      </w:r>
      <w:r w:rsidRPr="00191F70">
        <w:rPr>
          <w:rFonts w:ascii="Times New Roman" w:hAnsi="Times New Roman"/>
          <w:sz w:val="24"/>
          <w:szCs w:val="24"/>
        </w:rPr>
        <w:tab/>
      </w:r>
      <w:r w:rsidRPr="00191F70">
        <w:rPr>
          <w:rFonts w:ascii="Times New Roman" w:hAnsi="Times New Roman"/>
          <w:sz w:val="24"/>
          <w:szCs w:val="24"/>
        </w:rPr>
        <w:tab/>
      </w:r>
    </w:p>
    <w:p w:rsidR="003F4CBC" w:rsidRPr="00256BB9" w:rsidRDefault="003F4CBC" w:rsidP="004A7F03">
      <w:pPr>
        <w:pStyle w:val="ListBullet2"/>
        <w:numPr>
          <w:ilvl w:val="0"/>
          <w:numId w:val="6"/>
        </w:numPr>
        <w:tabs>
          <w:tab w:val="clear" w:pos="1080"/>
          <w:tab w:val="num" w:pos="1440"/>
        </w:tabs>
        <w:ind w:left="1440"/>
        <w:rPr>
          <w:rFonts w:ascii="Times New Roman" w:hAnsi="Times New Roman"/>
          <w:sz w:val="24"/>
          <w:szCs w:val="24"/>
          <w:highlight w:val="yellow"/>
        </w:rPr>
      </w:pPr>
      <w:r w:rsidRPr="00256BB9">
        <w:rPr>
          <w:rFonts w:ascii="Times New Roman" w:hAnsi="Times New Roman"/>
          <w:sz w:val="24"/>
          <w:szCs w:val="24"/>
          <w:highlight w:val="yellow"/>
        </w:rPr>
        <w:t>Senior Technical Safety Manager</w:t>
      </w:r>
    </w:p>
    <w:p w:rsidR="003F4CBC" w:rsidRPr="00256BB9" w:rsidRDefault="003F4CBC" w:rsidP="004A7F03">
      <w:pPr>
        <w:pStyle w:val="ListBullet2"/>
        <w:numPr>
          <w:ilvl w:val="0"/>
          <w:numId w:val="6"/>
        </w:numPr>
        <w:tabs>
          <w:tab w:val="clear" w:pos="1080"/>
          <w:tab w:val="num" w:pos="1440"/>
        </w:tabs>
        <w:ind w:left="1440"/>
        <w:rPr>
          <w:rFonts w:ascii="Times New Roman" w:hAnsi="Times New Roman"/>
          <w:sz w:val="24"/>
          <w:szCs w:val="24"/>
          <w:highlight w:val="yellow"/>
        </w:rPr>
      </w:pPr>
      <w:r w:rsidRPr="00256BB9">
        <w:rPr>
          <w:rFonts w:ascii="Times New Roman" w:hAnsi="Times New Roman"/>
          <w:sz w:val="24"/>
          <w:szCs w:val="24"/>
          <w:highlight w:val="yellow"/>
        </w:rPr>
        <w:t>Safety System Oversight</w:t>
      </w:r>
    </w:p>
    <w:p w:rsidR="0054562D" w:rsidRPr="00256BB9" w:rsidRDefault="0054562D" w:rsidP="004A7F03">
      <w:pPr>
        <w:pStyle w:val="ListBullet2"/>
        <w:numPr>
          <w:ilvl w:val="0"/>
          <w:numId w:val="6"/>
        </w:numPr>
        <w:tabs>
          <w:tab w:val="clear" w:pos="1080"/>
          <w:tab w:val="num" w:pos="1440"/>
        </w:tabs>
        <w:ind w:left="1440"/>
        <w:rPr>
          <w:rFonts w:ascii="Times New Roman" w:hAnsi="Times New Roman"/>
          <w:sz w:val="24"/>
          <w:szCs w:val="24"/>
          <w:highlight w:val="yellow"/>
        </w:rPr>
      </w:pPr>
      <w:r w:rsidRPr="00256BB9">
        <w:rPr>
          <w:rFonts w:ascii="Times New Roman" w:hAnsi="Times New Roman"/>
          <w:sz w:val="24"/>
          <w:szCs w:val="24"/>
          <w:highlight w:val="yellow"/>
        </w:rPr>
        <w:t xml:space="preserve">Facility Representative Training and Qualification Program </w:t>
      </w:r>
    </w:p>
    <w:p w:rsidR="003F4CBC" w:rsidRPr="00256BB9" w:rsidRDefault="0054562D" w:rsidP="004A7F03">
      <w:pPr>
        <w:pStyle w:val="ListBullet2"/>
        <w:numPr>
          <w:ilvl w:val="0"/>
          <w:numId w:val="6"/>
        </w:numPr>
        <w:tabs>
          <w:tab w:val="clear" w:pos="1080"/>
          <w:tab w:val="num" w:pos="1440"/>
        </w:tabs>
        <w:ind w:left="1440"/>
        <w:rPr>
          <w:rFonts w:ascii="Times New Roman" w:hAnsi="Times New Roman"/>
          <w:sz w:val="24"/>
          <w:szCs w:val="24"/>
          <w:highlight w:val="yellow"/>
        </w:rPr>
      </w:pPr>
      <w:r w:rsidRPr="00256BB9">
        <w:rPr>
          <w:rFonts w:ascii="Times New Roman" w:hAnsi="Times New Roman"/>
          <w:sz w:val="24"/>
          <w:szCs w:val="24"/>
          <w:highlight w:val="yellow"/>
        </w:rPr>
        <w:t>Functional Area/</w:t>
      </w:r>
      <w:r w:rsidR="003F4CBC" w:rsidRPr="00256BB9">
        <w:rPr>
          <w:rFonts w:ascii="Times New Roman" w:hAnsi="Times New Roman"/>
          <w:sz w:val="24"/>
          <w:szCs w:val="24"/>
          <w:highlight w:val="yellow"/>
        </w:rPr>
        <w:t>Subject Matter Expert</w:t>
      </w:r>
      <w:r w:rsidRPr="00256BB9">
        <w:rPr>
          <w:rFonts w:ascii="Times New Roman" w:hAnsi="Times New Roman"/>
          <w:sz w:val="24"/>
          <w:szCs w:val="24"/>
          <w:highlight w:val="yellow"/>
        </w:rPr>
        <w:t>s</w:t>
      </w:r>
    </w:p>
    <w:p w:rsidR="00D547FE" w:rsidRDefault="00D547FE" w:rsidP="00D547FE">
      <w:pPr>
        <w:pStyle w:val="ListBullet2"/>
        <w:numPr>
          <w:ilvl w:val="0"/>
          <w:numId w:val="8"/>
        </w:numPr>
        <w:rPr>
          <w:rFonts w:ascii="Times New Roman" w:hAnsi="Times New Roman"/>
          <w:sz w:val="24"/>
          <w:szCs w:val="24"/>
        </w:rPr>
      </w:pPr>
      <w:r w:rsidRPr="00F2014F">
        <w:rPr>
          <w:rFonts w:ascii="Times New Roman" w:hAnsi="Times New Roman"/>
          <w:sz w:val="24"/>
          <w:szCs w:val="24"/>
        </w:rPr>
        <w:t xml:space="preserve">Approximately </w:t>
      </w:r>
      <w:r w:rsidRPr="00E95560">
        <w:rPr>
          <w:rFonts w:ascii="Times New Roman" w:hAnsi="Times New Roman"/>
          <w:b/>
          <w:sz w:val="24"/>
          <w:szCs w:val="24"/>
          <w:highlight w:val="yellow"/>
        </w:rPr>
        <w:t>XX</w:t>
      </w:r>
      <w:r w:rsidRPr="00F2014F">
        <w:rPr>
          <w:rFonts w:ascii="Times New Roman" w:hAnsi="Times New Roman"/>
          <w:sz w:val="24"/>
          <w:szCs w:val="24"/>
        </w:rPr>
        <w:t xml:space="preserve"> employees are part of</w:t>
      </w:r>
      <w:r w:rsidR="00E95560">
        <w:rPr>
          <w:rFonts w:ascii="Times New Roman" w:hAnsi="Times New Roman"/>
          <w:sz w:val="24"/>
          <w:szCs w:val="24"/>
        </w:rPr>
        <w:t xml:space="preserve"> the TQP Program</w:t>
      </w:r>
      <w:r w:rsidRPr="00F2014F">
        <w:rPr>
          <w:rFonts w:ascii="Times New Roman" w:hAnsi="Times New Roman"/>
          <w:sz w:val="24"/>
          <w:szCs w:val="24"/>
        </w:rPr>
        <w:t>.</w:t>
      </w:r>
    </w:p>
    <w:p w:rsidR="00F2014F" w:rsidRPr="002C6989" w:rsidRDefault="00E95560" w:rsidP="002C6989">
      <w:pPr>
        <w:pStyle w:val="ListBullet2"/>
        <w:numPr>
          <w:ilvl w:val="0"/>
          <w:numId w:val="8"/>
        </w:numPr>
        <w:rPr>
          <w:rFonts w:ascii="Times New Roman" w:hAnsi="Times New Roman"/>
          <w:sz w:val="24"/>
          <w:szCs w:val="24"/>
        </w:rPr>
      </w:pPr>
      <w:r w:rsidRPr="00343FF1">
        <w:rPr>
          <w:rFonts w:ascii="Times New Roman" w:hAnsi="Times New Roman"/>
          <w:sz w:val="24"/>
          <w:szCs w:val="24"/>
        </w:rPr>
        <w:t>TQP</w:t>
      </w:r>
      <w:r w:rsidR="002C6989" w:rsidRPr="00343FF1">
        <w:rPr>
          <w:rFonts w:ascii="Times New Roman" w:hAnsi="Times New Roman"/>
          <w:sz w:val="24"/>
          <w:szCs w:val="24"/>
        </w:rPr>
        <w:t xml:space="preserve"> </w:t>
      </w:r>
      <w:r w:rsidR="00343FF1" w:rsidRPr="00343FF1">
        <w:rPr>
          <w:rFonts w:ascii="Times New Roman" w:hAnsi="Times New Roman"/>
          <w:sz w:val="24"/>
          <w:szCs w:val="24"/>
        </w:rPr>
        <w:t xml:space="preserve">training </w:t>
      </w:r>
      <w:r w:rsidR="002C6989" w:rsidRPr="00343FF1">
        <w:rPr>
          <w:rFonts w:ascii="Times New Roman" w:hAnsi="Times New Roman"/>
          <w:sz w:val="24"/>
          <w:szCs w:val="24"/>
        </w:rPr>
        <w:t xml:space="preserve">needs are </w:t>
      </w:r>
      <w:r w:rsidR="00343FF1" w:rsidRPr="00343FF1">
        <w:rPr>
          <w:rFonts w:ascii="Times New Roman" w:hAnsi="Times New Roman"/>
          <w:sz w:val="24"/>
          <w:szCs w:val="24"/>
        </w:rPr>
        <w:t>identified</w:t>
      </w:r>
      <w:r w:rsidR="002C6989" w:rsidRPr="002C6989">
        <w:rPr>
          <w:rFonts w:ascii="Times New Roman" w:hAnsi="Times New Roman"/>
          <w:sz w:val="24"/>
          <w:szCs w:val="24"/>
        </w:rPr>
        <w:t xml:space="preserve"> in attachment 1.  </w:t>
      </w:r>
    </w:p>
    <w:p w:rsidR="00F2014F" w:rsidRDefault="00FF1AF0" w:rsidP="004146E5">
      <w:pPr>
        <w:pStyle w:val="ListBullet2"/>
        <w:numPr>
          <w:ilvl w:val="0"/>
          <w:numId w:val="0"/>
        </w:numPr>
        <w:ind w:left="360"/>
        <w:rPr>
          <w:rFonts w:ascii="Times New Roman" w:hAnsi="Times New Roman"/>
          <w:sz w:val="24"/>
          <w:szCs w:val="24"/>
        </w:rPr>
      </w:pPr>
      <w:r w:rsidRPr="009B4FDF">
        <w:rPr>
          <w:rFonts w:ascii="Times New Roman" w:hAnsi="Times New Roman"/>
          <w:sz w:val="24"/>
          <w:szCs w:val="24"/>
          <w:highlight w:val="yellow"/>
        </w:rPr>
        <w:t>{Delete if not applicable to your organization}</w:t>
      </w:r>
    </w:p>
    <w:p w:rsidR="00FF1AF0" w:rsidRPr="00B1648F" w:rsidRDefault="00FF1AF0" w:rsidP="004146E5">
      <w:pPr>
        <w:pStyle w:val="ListBullet2"/>
        <w:numPr>
          <w:ilvl w:val="0"/>
          <w:numId w:val="0"/>
        </w:numPr>
        <w:ind w:left="360"/>
        <w:rPr>
          <w:rFonts w:ascii="Times New Roman" w:hAnsi="Times New Roman"/>
          <w:sz w:val="24"/>
          <w:szCs w:val="24"/>
        </w:rPr>
      </w:pPr>
    </w:p>
    <w:p w:rsidR="008461FC" w:rsidRDefault="008461FC" w:rsidP="008461FC">
      <w:pPr>
        <w:pStyle w:val="ListBullet2"/>
        <w:rPr>
          <w:rFonts w:ascii="Times New Roman" w:hAnsi="Times New Roman"/>
          <w:sz w:val="24"/>
          <w:szCs w:val="24"/>
        </w:rPr>
      </w:pPr>
      <w:r w:rsidRPr="00B56CA8">
        <w:rPr>
          <w:rFonts w:ascii="Times New Roman" w:hAnsi="Times New Roman"/>
          <w:b/>
          <w:sz w:val="24"/>
          <w:szCs w:val="24"/>
        </w:rPr>
        <w:t>Project Management Career Development Program (PMCDP):</w:t>
      </w:r>
      <w:r w:rsidRPr="00EA3A5E">
        <w:rPr>
          <w:rFonts w:ascii="Times New Roman" w:hAnsi="Times New Roman"/>
          <w:sz w:val="24"/>
          <w:szCs w:val="24"/>
        </w:rPr>
        <w:t xml:space="preserve"> </w:t>
      </w:r>
      <w:r>
        <w:rPr>
          <w:rFonts w:ascii="Times New Roman" w:hAnsi="Times New Roman"/>
          <w:sz w:val="24"/>
          <w:szCs w:val="24"/>
        </w:rPr>
        <w:t>This program</w:t>
      </w:r>
      <w:r w:rsidRPr="00EA3A5E">
        <w:rPr>
          <w:rFonts w:ascii="Times New Roman" w:hAnsi="Times New Roman"/>
          <w:sz w:val="24"/>
          <w:szCs w:val="24"/>
        </w:rPr>
        <w:t xml:space="preserve"> is designed to help all DOE employees understand key concepts about how DOE </w:t>
      </w:r>
      <w:r w:rsidRPr="00EA3A5E">
        <w:rPr>
          <w:rFonts w:ascii="Times New Roman" w:hAnsi="Times New Roman"/>
          <w:sz w:val="24"/>
          <w:szCs w:val="24"/>
        </w:rPr>
        <w:lastRenderedPageBreak/>
        <w:t>pro</w:t>
      </w:r>
      <w:r>
        <w:rPr>
          <w:rFonts w:ascii="Times New Roman" w:hAnsi="Times New Roman"/>
          <w:sz w:val="24"/>
          <w:szCs w:val="24"/>
        </w:rPr>
        <w:t>jects</w:t>
      </w:r>
      <w:r w:rsidRPr="00EA3A5E">
        <w:rPr>
          <w:rFonts w:ascii="Times New Roman" w:hAnsi="Times New Roman"/>
          <w:sz w:val="24"/>
          <w:szCs w:val="24"/>
        </w:rPr>
        <w:t xml:space="preserve"> are managed.  Participants receive basic education in DOE strategic planning, budgeting, execution, evaluation and control. </w:t>
      </w:r>
    </w:p>
    <w:p w:rsidR="008461FC" w:rsidRDefault="008461FC" w:rsidP="008461FC">
      <w:pPr>
        <w:pStyle w:val="ListBullet2"/>
        <w:numPr>
          <w:ilvl w:val="0"/>
          <w:numId w:val="13"/>
        </w:numPr>
        <w:rPr>
          <w:rFonts w:ascii="Times New Roman" w:hAnsi="Times New Roman"/>
          <w:sz w:val="24"/>
          <w:szCs w:val="24"/>
        </w:rPr>
      </w:pPr>
      <w:r w:rsidRPr="00F2014F">
        <w:rPr>
          <w:rFonts w:ascii="Times New Roman" w:hAnsi="Times New Roman"/>
          <w:sz w:val="24"/>
          <w:szCs w:val="24"/>
        </w:rPr>
        <w:t xml:space="preserve">Approximately </w:t>
      </w:r>
      <w:r w:rsidRPr="004A4209">
        <w:rPr>
          <w:rFonts w:ascii="Times New Roman" w:hAnsi="Times New Roman"/>
          <w:b/>
          <w:sz w:val="24"/>
          <w:szCs w:val="24"/>
          <w:highlight w:val="yellow"/>
        </w:rPr>
        <w:t>XX</w:t>
      </w:r>
      <w:r w:rsidRPr="00F2014F">
        <w:rPr>
          <w:rFonts w:ascii="Times New Roman" w:hAnsi="Times New Roman"/>
          <w:sz w:val="24"/>
          <w:szCs w:val="24"/>
        </w:rPr>
        <w:t xml:space="preserve"> employees are part of the </w:t>
      </w:r>
      <w:r>
        <w:rPr>
          <w:rFonts w:ascii="Times New Roman" w:hAnsi="Times New Roman"/>
          <w:sz w:val="24"/>
          <w:szCs w:val="24"/>
        </w:rPr>
        <w:t>PMCDP</w:t>
      </w:r>
      <w:r w:rsidRPr="00F2014F">
        <w:rPr>
          <w:rFonts w:ascii="Times New Roman" w:hAnsi="Times New Roman"/>
          <w:sz w:val="24"/>
          <w:szCs w:val="24"/>
        </w:rPr>
        <w:t xml:space="preserve"> Program</w:t>
      </w:r>
      <w:r>
        <w:rPr>
          <w:rFonts w:ascii="Times New Roman" w:hAnsi="Times New Roman"/>
          <w:sz w:val="24"/>
          <w:szCs w:val="24"/>
        </w:rPr>
        <w:t>.</w:t>
      </w:r>
    </w:p>
    <w:p w:rsidR="00FF1AF0" w:rsidRDefault="008461FC" w:rsidP="008461FC">
      <w:pPr>
        <w:pStyle w:val="ListBullet2"/>
        <w:numPr>
          <w:ilvl w:val="0"/>
          <w:numId w:val="11"/>
        </w:numPr>
        <w:rPr>
          <w:rFonts w:ascii="Times New Roman" w:hAnsi="Times New Roman"/>
          <w:sz w:val="24"/>
          <w:szCs w:val="24"/>
        </w:rPr>
      </w:pPr>
      <w:r>
        <w:rPr>
          <w:rFonts w:ascii="Times New Roman" w:hAnsi="Times New Roman"/>
          <w:sz w:val="24"/>
          <w:szCs w:val="24"/>
        </w:rPr>
        <w:t xml:space="preserve">PMCDP </w:t>
      </w:r>
      <w:r w:rsidRPr="00343FF1">
        <w:rPr>
          <w:rFonts w:ascii="Times New Roman" w:hAnsi="Times New Roman"/>
          <w:sz w:val="24"/>
          <w:szCs w:val="24"/>
        </w:rPr>
        <w:t>training needs are identified</w:t>
      </w:r>
      <w:r w:rsidRPr="002C6989">
        <w:rPr>
          <w:rFonts w:ascii="Times New Roman" w:hAnsi="Times New Roman"/>
          <w:sz w:val="24"/>
          <w:szCs w:val="24"/>
        </w:rPr>
        <w:t xml:space="preserve"> in attachment 1. </w:t>
      </w:r>
    </w:p>
    <w:p w:rsidR="008461FC" w:rsidRDefault="008461FC" w:rsidP="00FF1AF0">
      <w:pPr>
        <w:pStyle w:val="ListBullet2"/>
        <w:numPr>
          <w:ilvl w:val="0"/>
          <w:numId w:val="0"/>
        </w:numPr>
        <w:ind w:left="360"/>
        <w:rPr>
          <w:rFonts w:ascii="Times New Roman" w:hAnsi="Times New Roman"/>
          <w:sz w:val="24"/>
          <w:szCs w:val="24"/>
        </w:rPr>
      </w:pPr>
      <w:r w:rsidRPr="002C6989">
        <w:rPr>
          <w:rFonts w:ascii="Times New Roman" w:hAnsi="Times New Roman"/>
          <w:sz w:val="24"/>
          <w:szCs w:val="24"/>
        </w:rPr>
        <w:t xml:space="preserve"> </w:t>
      </w:r>
      <w:r w:rsidR="00FF1AF0" w:rsidRPr="009B4FDF">
        <w:rPr>
          <w:rFonts w:ascii="Times New Roman" w:hAnsi="Times New Roman"/>
          <w:sz w:val="24"/>
          <w:szCs w:val="24"/>
          <w:highlight w:val="yellow"/>
        </w:rPr>
        <w:t>{Delete if not applicable to your organization}</w:t>
      </w:r>
    </w:p>
    <w:p w:rsidR="008461FC" w:rsidRPr="00EA3A5E" w:rsidRDefault="008461FC" w:rsidP="008461FC">
      <w:pPr>
        <w:pStyle w:val="ListBullet2"/>
        <w:numPr>
          <w:ilvl w:val="0"/>
          <w:numId w:val="0"/>
        </w:numPr>
        <w:ind w:left="360"/>
        <w:rPr>
          <w:rFonts w:ascii="Times New Roman" w:hAnsi="Times New Roman"/>
          <w:sz w:val="24"/>
          <w:szCs w:val="24"/>
        </w:rPr>
      </w:pPr>
    </w:p>
    <w:p w:rsidR="00021557" w:rsidRDefault="00FA1868" w:rsidP="00313078">
      <w:pPr>
        <w:pStyle w:val="ListBullet2"/>
        <w:rPr>
          <w:rFonts w:ascii="Times New Roman" w:hAnsi="Times New Roman"/>
          <w:sz w:val="24"/>
          <w:szCs w:val="24"/>
        </w:rPr>
      </w:pPr>
      <w:r w:rsidRPr="00B56CA8">
        <w:rPr>
          <w:rFonts w:ascii="Times New Roman" w:hAnsi="Times New Roman"/>
          <w:b/>
          <w:sz w:val="24"/>
          <w:szCs w:val="24"/>
        </w:rPr>
        <w:t>Acquisition Career Management Program (ACMP)</w:t>
      </w:r>
      <w:r w:rsidR="004146E5" w:rsidRPr="00B56CA8">
        <w:rPr>
          <w:rFonts w:ascii="Times New Roman" w:hAnsi="Times New Roman"/>
          <w:b/>
          <w:sz w:val="24"/>
          <w:szCs w:val="24"/>
        </w:rPr>
        <w:t>:</w:t>
      </w:r>
      <w:r w:rsidR="00313078" w:rsidRPr="00313078">
        <w:rPr>
          <w:rFonts w:ascii="Times New Roman" w:hAnsi="Times New Roman"/>
          <w:sz w:val="24"/>
          <w:szCs w:val="24"/>
        </w:rPr>
        <w:t xml:space="preserve"> </w:t>
      </w:r>
      <w:r w:rsidR="004146E5" w:rsidRPr="00313078">
        <w:rPr>
          <w:rFonts w:ascii="Times New Roman" w:hAnsi="Times New Roman"/>
          <w:sz w:val="24"/>
          <w:szCs w:val="24"/>
        </w:rPr>
        <w:t xml:space="preserve">The </w:t>
      </w:r>
      <w:r w:rsidR="004A3CD9" w:rsidRPr="00313078">
        <w:rPr>
          <w:rFonts w:ascii="Times New Roman" w:hAnsi="Times New Roman"/>
          <w:sz w:val="24"/>
          <w:szCs w:val="24"/>
        </w:rPr>
        <w:t xml:space="preserve">ACMP </w:t>
      </w:r>
      <w:r w:rsidR="004A4209">
        <w:rPr>
          <w:rFonts w:ascii="Times New Roman" w:hAnsi="Times New Roman"/>
          <w:sz w:val="24"/>
          <w:szCs w:val="24"/>
        </w:rPr>
        <w:t>is a</w:t>
      </w:r>
      <w:r w:rsidR="004146E5" w:rsidRPr="00313078">
        <w:rPr>
          <w:rFonts w:ascii="Times New Roman" w:hAnsi="Times New Roman"/>
          <w:sz w:val="24"/>
          <w:szCs w:val="24"/>
        </w:rPr>
        <w:t xml:space="preserve"> formal, structured approach to career development and a road map for acquisition employees to guide them through the training, education and experience needed to facilitate advancement to higher level positions. </w:t>
      </w:r>
    </w:p>
    <w:p w:rsidR="004146E5" w:rsidRPr="00313078" w:rsidRDefault="004146E5" w:rsidP="00021557">
      <w:pPr>
        <w:pStyle w:val="ListBullet2"/>
        <w:tabs>
          <w:tab w:val="clear" w:pos="720"/>
          <w:tab w:val="num" w:pos="1080"/>
        </w:tabs>
        <w:ind w:left="1080"/>
        <w:rPr>
          <w:rFonts w:ascii="Times New Roman" w:hAnsi="Times New Roman"/>
          <w:sz w:val="24"/>
          <w:szCs w:val="24"/>
        </w:rPr>
      </w:pPr>
      <w:r w:rsidRPr="00313078">
        <w:rPr>
          <w:rFonts w:ascii="Times New Roman" w:hAnsi="Times New Roman"/>
          <w:sz w:val="24"/>
          <w:szCs w:val="24"/>
        </w:rPr>
        <w:t>The ACMP provides specific certification requirements in several key areas of acquisition such as:</w:t>
      </w:r>
    </w:p>
    <w:p w:rsidR="00313078" w:rsidRPr="00FF1AF0" w:rsidRDefault="00313078" w:rsidP="004A7F03">
      <w:pPr>
        <w:numPr>
          <w:ilvl w:val="0"/>
          <w:numId w:val="7"/>
        </w:numPr>
        <w:tabs>
          <w:tab w:val="clear" w:pos="1080"/>
          <w:tab w:val="num" w:pos="1440"/>
        </w:tabs>
        <w:autoSpaceDE w:val="0"/>
        <w:autoSpaceDN w:val="0"/>
        <w:adjustRightInd w:val="0"/>
        <w:ind w:left="1440"/>
        <w:rPr>
          <w:sz w:val="24"/>
          <w:szCs w:val="24"/>
          <w:highlight w:val="yellow"/>
        </w:rPr>
      </w:pPr>
      <w:r w:rsidRPr="00FF1AF0">
        <w:rPr>
          <w:sz w:val="24"/>
          <w:szCs w:val="24"/>
          <w:highlight w:val="yellow"/>
        </w:rPr>
        <w:t>Contracting and Purchasing</w:t>
      </w:r>
    </w:p>
    <w:p w:rsidR="00313078" w:rsidRPr="00FF1AF0" w:rsidRDefault="00313078" w:rsidP="004A7F03">
      <w:pPr>
        <w:numPr>
          <w:ilvl w:val="0"/>
          <w:numId w:val="7"/>
        </w:numPr>
        <w:tabs>
          <w:tab w:val="clear" w:pos="1080"/>
          <w:tab w:val="num" w:pos="1440"/>
        </w:tabs>
        <w:autoSpaceDE w:val="0"/>
        <w:autoSpaceDN w:val="0"/>
        <w:adjustRightInd w:val="0"/>
        <w:ind w:left="1440"/>
        <w:rPr>
          <w:sz w:val="24"/>
          <w:szCs w:val="24"/>
          <w:highlight w:val="yellow"/>
        </w:rPr>
      </w:pPr>
      <w:r w:rsidRPr="00FF1AF0">
        <w:rPr>
          <w:sz w:val="24"/>
          <w:szCs w:val="24"/>
          <w:highlight w:val="yellow"/>
        </w:rPr>
        <w:t>Financial Assistance</w:t>
      </w:r>
    </w:p>
    <w:p w:rsidR="00313078" w:rsidRPr="00FF1AF0" w:rsidRDefault="00313078" w:rsidP="004A7F03">
      <w:pPr>
        <w:numPr>
          <w:ilvl w:val="0"/>
          <w:numId w:val="7"/>
        </w:numPr>
        <w:tabs>
          <w:tab w:val="clear" w:pos="1080"/>
          <w:tab w:val="num" w:pos="1440"/>
        </w:tabs>
        <w:autoSpaceDE w:val="0"/>
        <w:autoSpaceDN w:val="0"/>
        <w:adjustRightInd w:val="0"/>
        <w:ind w:left="1440"/>
        <w:rPr>
          <w:sz w:val="24"/>
          <w:szCs w:val="24"/>
          <w:highlight w:val="yellow"/>
        </w:rPr>
      </w:pPr>
      <w:r w:rsidRPr="00FF1AF0">
        <w:rPr>
          <w:sz w:val="24"/>
          <w:szCs w:val="24"/>
          <w:highlight w:val="yellow"/>
        </w:rPr>
        <w:t>Personal Property Management</w:t>
      </w:r>
    </w:p>
    <w:p w:rsidR="00313078" w:rsidRPr="00FF1AF0" w:rsidRDefault="00313078" w:rsidP="004A7F03">
      <w:pPr>
        <w:numPr>
          <w:ilvl w:val="0"/>
          <w:numId w:val="7"/>
        </w:numPr>
        <w:tabs>
          <w:tab w:val="clear" w:pos="1080"/>
          <w:tab w:val="num" w:pos="1440"/>
        </w:tabs>
        <w:autoSpaceDE w:val="0"/>
        <w:autoSpaceDN w:val="0"/>
        <w:adjustRightInd w:val="0"/>
        <w:ind w:left="1440"/>
        <w:rPr>
          <w:sz w:val="24"/>
          <w:szCs w:val="24"/>
          <w:highlight w:val="yellow"/>
        </w:rPr>
      </w:pPr>
      <w:r w:rsidRPr="00FF1AF0">
        <w:rPr>
          <w:sz w:val="24"/>
          <w:szCs w:val="24"/>
          <w:highlight w:val="yellow"/>
        </w:rPr>
        <w:t>Real Property Contracting Officer</w:t>
      </w:r>
    </w:p>
    <w:p w:rsidR="00313078" w:rsidRPr="00FF1AF0" w:rsidRDefault="00313078" w:rsidP="004A7F03">
      <w:pPr>
        <w:numPr>
          <w:ilvl w:val="0"/>
          <w:numId w:val="7"/>
        </w:numPr>
        <w:tabs>
          <w:tab w:val="clear" w:pos="1080"/>
          <w:tab w:val="num" w:pos="1440"/>
        </w:tabs>
        <w:autoSpaceDE w:val="0"/>
        <w:autoSpaceDN w:val="0"/>
        <w:adjustRightInd w:val="0"/>
        <w:ind w:left="1440"/>
        <w:rPr>
          <w:sz w:val="24"/>
          <w:szCs w:val="24"/>
          <w:highlight w:val="yellow"/>
        </w:rPr>
      </w:pPr>
      <w:r w:rsidRPr="00FF1AF0">
        <w:rPr>
          <w:sz w:val="24"/>
          <w:szCs w:val="24"/>
          <w:highlight w:val="yellow"/>
        </w:rPr>
        <w:t>Contracting Officer/Contracting Officer Representative</w:t>
      </w:r>
    </w:p>
    <w:p w:rsidR="00343FF1" w:rsidRDefault="00343FF1" w:rsidP="00343FF1">
      <w:pPr>
        <w:pStyle w:val="ListBullet2"/>
        <w:numPr>
          <w:ilvl w:val="0"/>
          <w:numId w:val="13"/>
        </w:numPr>
        <w:rPr>
          <w:rFonts w:ascii="Times New Roman" w:hAnsi="Times New Roman"/>
          <w:sz w:val="24"/>
          <w:szCs w:val="24"/>
        </w:rPr>
      </w:pPr>
      <w:r w:rsidRPr="00F2014F">
        <w:rPr>
          <w:rFonts w:ascii="Times New Roman" w:hAnsi="Times New Roman"/>
          <w:sz w:val="24"/>
          <w:szCs w:val="24"/>
        </w:rPr>
        <w:t xml:space="preserve">Approximately </w:t>
      </w:r>
      <w:r w:rsidRPr="004A4209">
        <w:rPr>
          <w:rFonts w:ascii="Times New Roman" w:hAnsi="Times New Roman"/>
          <w:b/>
          <w:sz w:val="24"/>
          <w:szCs w:val="24"/>
          <w:highlight w:val="yellow"/>
        </w:rPr>
        <w:t>XX</w:t>
      </w:r>
      <w:r w:rsidRPr="00F2014F">
        <w:rPr>
          <w:rFonts w:ascii="Times New Roman" w:hAnsi="Times New Roman"/>
          <w:sz w:val="24"/>
          <w:szCs w:val="24"/>
        </w:rPr>
        <w:t xml:space="preserve"> employees are part of the </w:t>
      </w:r>
      <w:r>
        <w:rPr>
          <w:rFonts w:ascii="Times New Roman" w:hAnsi="Times New Roman"/>
          <w:sz w:val="24"/>
          <w:szCs w:val="24"/>
        </w:rPr>
        <w:t>ACMP</w:t>
      </w:r>
      <w:r w:rsidRPr="00F2014F">
        <w:rPr>
          <w:rFonts w:ascii="Times New Roman" w:hAnsi="Times New Roman"/>
          <w:sz w:val="24"/>
          <w:szCs w:val="24"/>
        </w:rPr>
        <w:t xml:space="preserve"> Program</w:t>
      </w:r>
      <w:r>
        <w:rPr>
          <w:rFonts w:ascii="Times New Roman" w:hAnsi="Times New Roman"/>
          <w:sz w:val="24"/>
          <w:szCs w:val="24"/>
        </w:rPr>
        <w:t>.</w:t>
      </w:r>
    </w:p>
    <w:p w:rsidR="00E74D91" w:rsidRPr="002C6989" w:rsidRDefault="00E95560" w:rsidP="00E74D91">
      <w:pPr>
        <w:pStyle w:val="ListBullet2"/>
        <w:numPr>
          <w:ilvl w:val="0"/>
          <w:numId w:val="10"/>
        </w:numPr>
        <w:rPr>
          <w:rFonts w:ascii="Times New Roman" w:hAnsi="Times New Roman"/>
          <w:sz w:val="24"/>
          <w:szCs w:val="24"/>
        </w:rPr>
      </w:pPr>
      <w:r>
        <w:rPr>
          <w:rFonts w:ascii="Times New Roman" w:hAnsi="Times New Roman"/>
          <w:sz w:val="24"/>
          <w:szCs w:val="24"/>
        </w:rPr>
        <w:t xml:space="preserve">ACMP </w:t>
      </w:r>
      <w:r w:rsidR="00343FF1" w:rsidRPr="00343FF1">
        <w:rPr>
          <w:rFonts w:ascii="Times New Roman" w:hAnsi="Times New Roman"/>
          <w:sz w:val="24"/>
          <w:szCs w:val="24"/>
        </w:rPr>
        <w:t>training needs are identified</w:t>
      </w:r>
      <w:r w:rsidR="00343FF1" w:rsidRPr="002C6989">
        <w:rPr>
          <w:rFonts w:ascii="Times New Roman" w:hAnsi="Times New Roman"/>
          <w:sz w:val="24"/>
          <w:szCs w:val="24"/>
        </w:rPr>
        <w:t xml:space="preserve"> in attachment 1.  </w:t>
      </w:r>
    </w:p>
    <w:p w:rsidR="00B56CA8" w:rsidRDefault="00FF1AF0" w:rsidP="00FF1AF0">
      <w:pPr>
        <w:autoSpaceDE w:val="0"/>
        <w:autoSpaceDN w:val="0"/>
        <w:adjustRightInd w:val="0"/>
        <w:ind w:left="1080"/>
        <w:rPr>
          <w:sz w:val="24"/>
          <w:szCs w:val="24"/>
        </w:rPr>
      </w:pPr>
      <w:r w:rsidRPr="009B4FDF">
        <w:rPr>
          <w:sz w:val="24"/>
          <w:szCs w:val="24"/>
          <w:highlight w:val="yellow"/>
        </w:rPr>
        <w:t>{Delete if not applicable to your organization}</w:t>
      </w:r>
    </w:p>
    <w:p w:rsidR="009B4FDF" w:rsidRDefault="009B4FDF" w:rsidP="00B56CA8">
      <w:pPr>
        <w:autoSpaceDE w:val="0"/>
        <w:autoSpaceDN w:val="0"/>
        <w:adjustRightInd w:val="0"/>
        <w:rPr>
          <w:sz w:val="24"/>
          <w:szCs w:val="24"/>
        </w:rPr>
      </w:pPr>
    </w:p>
    <w:p w:rsidR="009B4FDF" w:rsidRDefault="009B4FDF" w:rsidP="009B4FDF">
      <w:pPr>
        <w:pStyle w:val="ListBullet2"/>
        <w:rPr>
          <w:rFonts w:ascii="Times New Roman" w:hAnsi="Times New Roman"/>
          <w:sz w:val="24"/>
          <w:szCs w:val="24"/>
        </w:rPr>
      </w:pPr>
      <w:r w:rsidRPr="00D45F38">
        <w:rPr>
          <w:rFonts w:ascii="Times New Roman" w:hAnsi="Times New Roman"/>
          <w:b/>
          <w:sz w:val="24"/>
          <w:szCs w:val="24"/>
        </w:rPr>
        <w:t>Career Development Programs:</w:t>
      </w:r>
      <w:r>
        <w:rPr>
          <w:rFonts w:ascii="Times New Roman" w:hAnsi="Times New Roman"/>
          <w:sz w:val="24"/>
          <w:szCs w:val="24"/>
        </w:rPr>
        <w:t xml:space="preserve">  DOE supports sending employees to the following programs that are offered via the Graduate School and other institutions:  Executive Potential Program, Executive Leadership Program, New Leader Program, and Aspiring Leader Program.  These and other opportunities for development are offered to employees on a case by case basis or as budget allows. </w:t>
      </w:r>
    </w:p>
    <w:p w:rsidR="009B4FDF" w:rsidRDefault="009B4FDF" w:rsidP="009B4FDF">
      <w:pPr>
        <w:pStyle w:val="ListBullet2"/>
        <w:tabs>
          <w:tab w:val="clear" w:pos="720"/>
          <w:tab w:val="num" w:pos="1080"/>
        </w:tabs>
        <w:ind w:left="1080"/>
        <w:rPr>
          <w:rFonts w:ascii="Times New Roman" w:hAnsi="Times New Roman"/>
          <w:sz w:val="24"/>
          <w:szCs w:val="24"/>
        </w:rPr>
      </w:pPr>
      <w:r w:rsidRPr="004A4209">
        <w:rPr>
          <w:rFonts w:ascii="Times New Roman" w:hAnsi="Times New Roman"/>
          <w:sz w:val="24"/>
          <w:szCs w:val="24"/>
        </w:rPr>
        <w:t xml:space="preserve">Career Development Program training needs are identified in attachment 1.  </w:t>
      </w:r>
    </w:p>
    <w:p w:rsidR="009B4FDF" w:rsidRPr="004A4209" w:rsidRDefault="00FF1AF0" w:rsidP="009B4FDF">
      <w:pPr>
        <w:pStyle w:val="ListBullet2"/>
        <w:numPr>
          <w:ilvl w:val="0"/>
          <w:numId w:val="0"/>
        </w:numPr>
        <w:ind w:left="720"/>
        <w:rPr>
          <w:rFonts w:ascii="Times New Roman" w:hAnsi="Times New Roman"/>
          <w:sz w:val="24"/>
          <w:szCs w:val="24"/>
        </w:rPr>
      </w:pPr>
      <w:r w:rsidRPr="009B4FDF">
        <w:rPr>
          <w:rFonts w:ascii="Times New Roman" w:hAnsi="Times New Roman"/>
          <w:sz w:val="24"/>
          <w:szCs w:val="24"/>
          <w:highlight w:val="yellow"/>
        </w:rPr>
        <w:t>{Delete if not applicable to your organization}</w:t>
      </w:r>
    </w:p>
    <w:p w:rsidR="00D45F38" w:rsidRDefault="00D45F38" w:rsidP="004146E5">
      <w:pPr>
        <w:pStyle w:val="ListBullet2"/>
        <w:numPr>
          <w:ilvl w:val="0"/>
          <w:numId w:val="0"/>
        </w:numPr>
        <w:ind w:left="360"/>
        <w:rPr>
          <w:rFonts w:ascii="Times New Roman" w:hAnsi="Times New Roman"/>
          <w:sz w:val="24"/>
          <w:szCs w:val="24"/>
        </w:rPr>
      </w:pPr>
    </w:p>
    <w:p w:rsidR="00FF1AF0" w:rsidRDefault="0073539D" w:rsidP="009B4FDF">
      <w:pPr>
        <w:pStyle w:val="ListBullet2"/>
        <w:rPr>
          <w:rFonts w:ascii="Times New Roman" w:hAnsi="Times New Roman"/>
          <w:sz w:val="24"/>
          <w:szCs w:val="24"/>
        </w:rPr>
      </w:pPr>
      <w:r w:rsidRPr="00D45F38">
        <w:rPr>
          <w:rFonts w:ascii="Times New Roman" w:hAnsi="Times New Roman"/>
          <w:b/>
          <w:sz w:val="24"/>
          <w:szCs w:val="24"/>
        </w:rPr>
        <w:t>Financial Management Development Program (FMDP):</w:t>
      </w:r>
      <w:r w:rsidR="00313078" w:rsidRPr="00D45F38">
        <w:rPr>
          <w:rFonts w:ascii="Times New Roman" w:hAnsi="Times New Roman"/>
          <w:b/>
          <w:sz w:val="24"/>
          <w:szCs w:val="24"/>
        </w:rPr>
        <w:t xml:space="preserve"> </w:t>
      </w:r>
      <w:r w:rsidR="00313078">
        <w:rPr>
          <w:rFonts w:ascii="Times New Roman" w:hAnsi="Times New Roman"/>
          <w:sz w:val="24"/>
          <w:szCs w:val="24"/>
        </w:rPr>
        <w:t xml:space="preserve"> </w:t>
      </w:r>
      <w:r w:rsidR="00732EF8" w:rsidRPr="00E06689">
        <w:rPr>
          <w:rFonts w:ascii="Times New Roman" w:hAnsi="Times New Roman"/>
          <w:sz w:val="24"/>
          <w:szCs w:val="24"/>
        </w:rPr>
        <w:t xml:space="preserve">The Department of Energy's Financial Management Development Program was adopted in June 1992 for the purpose of assuring the Department has managers and staff who can successfully address the current and future challenges necessary for strong and effective financial management. </w:t>
      </w:r>
    </w:p>
    <w:p w:rsidR="009B4FDF" w:rsidRDefault="009B4FDF" w:rsidP="00A80A0E">
      <w:pPr>
        <w:pStyle w:val="ListBullet2"/>
        <w:numPr>
          <w:ilvl w:val="0"/>
          <w:numId w:val="0"/>
        </w:numPr>
        <w:ind w:left="360" w:firstLine="360"/>
        <w:rPr>
          <w:rFonts w:ascii="Times New Roman" w:hAnsi="Times New Roman"/>
          <w:sz w:val="24"/>
          <w:szCs w:val="24"/>
        </w:rPr>
      </w:pPr>
      <w:r w:rsidRPr="009B4FDF">
        <w:rPr>
          <w:rFonts w:ascii="Times New Roman" w:hAnsi="Times New Roman"/>
          <w:sz w:val="24"/>
          <w:szCs w:val="24"/>
          <w:highlight w:val="yellow"/>
        </w:rPr>
        <w:t>{Delete if not applicable to your organization}</w:t>
      </w:r>
    </w:p>
    <w:p w:rsidR="00D45F38" w:rsidRDefault="00D45F38" w:rsidP="004146E5">
      <w:pPr>
        <w:pStyle w:val="ListBullet2"/>
        <w:numPr>
          <w:ilvl w:val="0"/>
          <w:numId w:val="0"/>
        </w:numPr>
        <w:ind w:left="360"/>
        <w:rPr>
          <w:rFonts w:ascii="Times New Roman" w:hAnsi="Times New Roman"/>
          <w:sz w:val="24"/>
          <w:szCs w:val="24"/>
        </w:rPr>
      </w:pPr>
    </w:p>
    <w:p w:rsidR="00D14950" w:rsidRPr="008B4E7E" w:rsidRDefault="00B1648F" w:rsidP="00752CDB">
      <w:pPr>
        <w:pStyle w:val="Heading1"/>
        <w:tabs>
          <w:tab w:val="num" w:pos="360"/>
          <w:tab w:val="left" w:pos="504"/>
        </w:tabs>
        <w:spacing w:before="240" w:after="60"/>
        <w:jc w:val="left"/>
        <w:rPr>
          <w:sz w:val="32"/>
          <w:szCs w:val="32"/>
        </w:rPr>
      </w:pPr>
      <w:r w:rsidRPr="002C6989">
        <w:rPr>
          <w:sz w:val="32"/>
          <w:szCs w:val="32"/>
        </w:rPr>
        <w:t>VII.</w:t>
      </w:r>
      <w:r w:rsidR="00BC1A5B">
        <w:rPr>
          <w:sz w:val="32"/>
          <w:szCs w:val="32"/>
        </w:rPr>
        <w:t xml:space="preserve"> </w:t>
      </w:r>
      <w:r w:rsidR="00FF1AF0">
        <w:rPr>
          <w:sz w:val="32"/>
          <w:szCs w:val="32"/>
        </w:rPr>
        <w:t>A</w:t>
      </w:r>
      <w:r w:rsidR="00C21B1D">
        <w:rPr>
          <w:sz w:val="32"/>
          <w:szCs w:val="32"/>
        </w:rPr>
        <w:t>ttach</w:t>
      </w:r>
      <w:r w:rsidR="00FF1AF0">
        <w:rPr>
          <w:sz w:val="32"/>
          <w:szCs w:val="32"/>
        </w:rPr>
        <w:t>ment 1</w:t>
      </w:r>
      <w:r w:rsidR="00C21B1D">
        <w:rPr>
          <w:sz w:val="32"/>
          <w:szCs w:val="32"/>
        </w:rPr>
        <w:t xml:space="preserve"> Special Notes</w:t>
      </w:r>
    </w:p>
    <w:p w:rsidR="002C6989" w:rsidRDefault="002C6989" w:rsidP="007E12F2">
      <w:pPr>
        <w:pStyle w:val="ListBullet2"/>
        <w:numPr>
          <w:ilvl w:val="0"/>
          <w:numId w:val="0"/>
        </w:numPr>
        <w:rPr>
          <w:rFonts w:ascii="Times New Roman" w:hAnsi="Times New Roman"/>
          <w:sz w:val="24"/>
          <w:szCs w:val="24"/>
        </w:rPr>
      </w:pPr>
    </w:p>
    <w:p w:rsidR="0046259C" w:rsidRDefault="008B4E7E" w:rsidP="007E12F2">
      <w:pPr>
        <w:pStyle w:val="ListBullet2"/>
        <w:numPr>
          <w:ilvl w:val="0"/>
          <w:numId w:val="0"/>
        </w:numPr>
        <w:rPr>
          <w:rFonts w:ascii="Times New Roman" w:hAnsi="Times New Roman"/>
          <w:sz w:val="24"/>
          <w:szCs w:val="24"/>
        </w:rPr>
      </w:pPr>
      <w:r>
        <w:rPr>
          <w:rFonts w:ascii="Times New Roman" w:hAnsi="Times New Roman"/>
          <w:sz w:val="24"/>
          <w:szCs w:val="24"/>
        </w:rPr>
        <w:t xml:space="preserve">Attachment 1 is a </w:t>
      </w:r>
      <w:r w:rsidR="00CC0EFF">
        <w:rPr>
          <w:rFonts w:ascii="Times New Roman" w:hAnsi="Times New Roman"/>
          <w:sz w:val="24"/>
          <w:szCs w:val="24"/>
        </w:rPr>
        <w:t xml:space="preserve">prioritized Training Needs Assessment Summary, </w:t>
      </w:r>
      <w:r w:rsidR="0046259C">
        <w:rPr>
          <w:rFonts w:ascii="Times New Roman" w:hAnsi="Times New Roman"/>
          <w:sz w:val="24"/>
          <w:szCs w:val="24"/>
        </w:rPr>
        <w:t xml:space="preserve">which follows the construct </w:t>
      </w:r>
      <w:r w:rsidR="00F178B0">
        <w:rPr>
          <w:rFonts w:ascii="Times New Roman" w:hAnsi="Times New Roman"/>
          <w:sz w:val="24"/>
          <w:szCs w:val="24"/>
        </w:rPr>
        <w:t xml:space="preserve">of the TNA data collection tool. </w:t>
      </w:r>
      <w:r>
        <w:rPr>
          <w:rFonts w:ascii="Times New Roman" w:hAnsi="Times New Roman"/>
          <w:sz w:val="24"/>
          <w:szCs w:val="24"/>
        </w:rPr>
        <w:t xml:space="preserve"> </w:t>
      </w:r>
      <w:r w:rsidR="00F178B0">
        <w:rPr>
          <w:rFonts w:ascii="Times New Roman" w:hAnsi="Times New Roman"/>
          <w:sz w:val="24"/>
          <w:szCs w:val="24"/>
        </w:rPr>
        <w:t>It</w:t>
      </w:r>
      <w:r w:rsidR="0046259C">
        <w:rPr>
          <w:rFonts w:ascii="Times New Roman" w:hAnsi="Times New Roman"/>
          <w:sz w:val="24"/>
          <w:szCs w:val="24"/>
        </w:rPr>
        <w:t xml:space="preserve"> consists </w:t>
      </w:r>
      <w:r>
        <w:rPr>
          <w:rFonts w:ascii="Times New Roman" w:hAnsi="Times New Roman"/>
          <w:sz w:val="24"/>
          <w:szCs w:val="24"/>
        </w:rPr>
        <w:t xml:space="preserve">of </w:t>
      </w:r>
      <w:r w:rsidR="00C9329A">
        <w:rPr>
          <w:rFonts w:ascii="Times New Roman" w:hAnsi="Times New Roman"/>
          <w:sz w:val="24"/>
          <w:szCs w:val="24"/>
        </w:rPr>
        <w:t xml:space="preserve">3 </w:t>
      </w:r>
      <w:r w:rsidR="00FF1AF0">
        <w:rPr>
          <w:rFonts w:ascii="Times New Roman" w:hAnsi="Times New Roman"/>
          <w:sz w:val="24"/>
          <w:szCs w:val="24"/>
        </w:rPr>
        <w:t xml:space="preserve">needs areas, </w:t>
      </w:r>
      <w:r w:rsidR="0043366E">
        <w:rPr>
          <w:rFonts w:ascii="Times New Roman" w:hAnsi="Times New Roman"/>
          <w:sz w:val="24"/>
          <w:szCs w:val="24"/>
        </w:rPr>
        <w:t>M</w:t>
      </w:r>
      <w:r w:rsidR="0046259C">
        <w:rPr>
          <w:rFonts w:ascii="Times New Roman" w:hAnsi="Times New Roman"/>
          <w:sz w:val="24"/>
          <w:szCs w:val="24"/>
        </w:rPr>
        <w:t xml:space="preserve">ission </w:t>
      </w:r>
      <w:r w:rsidR="0043366E">
        <w:rPr>
          <w:rFonts w:ascii="Times New Roman" w:hAnsi="Times New Roman"/>
          <w:sz w:val="24"/>
          <w:szCs w:val="24"/>
        </w:rPr>
        <w:t>C</w:t>
      </w:r>
      <w:r>
        <w:rPr>
          <w:rFonts w:ascii="Times New Roman" w:hAnsi="Times New Roman"/>
          <w:sz w:val="24"/>
          <w:szCs w:val="24"/>
        </w:rPr>
        <w:t>ritical</w:t>
      </w:r>
      <w:r w:rsidR="0046259C">
        <w:rPr>
          <w:rFonts w:ascii="Times New Roman" w:hAnsi="Times New Roman"/>
          <w:sz w:val="24"/>
          <w:szCs w:val="24"/>
        </w:rPr>
        <w:t xml:space="preserve"> </w:t>
      </w:r>
      <w:r w:rsidR="00FF1AF0">
        <w:rPr>
          <w:rFonts w:ascii="Times New Roman" w:hAnsi="Times New Roman"/>
          <w:sz w:val="24"/>
          <w:szCs w:val="24"/>
        </w:rPr>
        <w:t>Needs</w:t>
      </w:r>
      <w:r>
        <w:rPr>
          <w:rFonts w:ascii="Times New Roman" w:hAnsi="Times New Roman"/>
          <w:sz w:val="24"/>
          <w:szCs w:val="24"/>
        </w:rPr>
        <w:t xml:space="preserve">, </w:t>
      </w:r>
      <w:r w:rsidR="00C9329A">
        <w:rPr>
          <w:rFonts w:ascii="Times New Roman" w:hAnsi="Times New Roman"/>
          <w:sz w:val="24"/>
          <w:szCs w:val="24"/>
        </w:rPr>
        <w:t xml:space="preserve">Developmental Programs, and </w:t>
      </w:r>
      <w:r w:rsidR="0046259C">
        <w:rPr>
          <w:rFonts w:ascii="Times New Roman" w:hAnsi="Times New Roman"/>
          <w:sz w:val="24"/>
          <w:szCs w:val="24"/>
        </w:rPr>
        <w:t>the U</w:t>
      </w:r>
      <w:r w:rsidR="00CC0EFF">
        <w:rPr>
          <w:rFonts w:ascii="Times New Roman" w:hAnsi="Times New Roman"/>
          <w:sz w:val="24"/>
          <w:szCs w:val="24"/>
        </w:rPr>
        <w:t xml:space="preserve">niversal, </w:t>
      </w:r>
      <w:r w:rsidR="0046259C">
        <w:rPr>
          <w:rFonts w:ascii="Times New Roman" w:hAnsi="Times New Roman"/>
          <w:sz w:val="24"/>
          <w:szCs w:val="24"/>
        </w:rPr>
        <w:t>M</w:t>
      </w:r>
      <w:r w:rsidR="00CC0EFF">
        <w:rPr>
          <w:rFonts w:ascii="Times New Roman" w:hAnsi="Times New Roman"/>
          <w:sz w:val="24"/>
          <w:szCs w:val="24"/>
        </w:rPr>
        <w:t xml:space="preserve">anagement, and </w:t>
      </w:r>
      <w:r w:rsidR="0046259C">
        <w:rPr>
          <w:rFonts w:ascii="Times New Roman" w:hAnsi="Times New Roman"/>
          <w:sz w:val="24"/>
          <w:szCs w:val="24"/>
        </w:rPr>
        <w:t>L</w:t>
      </w:r>
      <w:r w:rsidR="00CC0EFF">
        <w:rPr>
          <w:rFonts w:ascii="Times New Roman" w:hAnsi="Times New Roman"/>
          <w:sz w:val="24"/>
          <w:szCs w:val="24"/>
        </w:rPr>
        <w:t>eadership (UML)</w:t>
      </w:r>
      <w:r w:rsidR="0046259C">
        <w:rPr>
          <w:rFonts w:ascii="Times New Roman" w:hAnsi="Times New Roman"/>
          <w:sz w:val="24"/>
          <w:szCs w:val="24"/>
        </w:rPr>
        <w:t xml:space="preserve"> Competen</w:t>
      </w:r>
      <w:r w:rsidR="00FF1AF0">
        <w:rPr>
          <w:rFonts w:ascii="Times New Roman" w:hAnsi="Times New Roman"/>
          <w:sz w:val="24"/>
          <w:szCs w:val="24"/>
        </w:rPr>
        <w:t>cies</w:t>
      </w:r>
      <w:r w:rsidR="0046259C">
        <w:rPr>
          <w:rFonts w:ascii="Times New Roman" w:hAnsi="Times New Roman"/>
          <w:sz w:val="24"/>
          <w:szCs w:val="24"/>
        </w:rPr>
        <w:t xml:space="preserve">.  Each section of the attachment is broken out </w:t>
      </w:r>
      <w:r w:rsidR="00FF1AF0">
        <w:rPr>
          <w:rFonts w:ascii="Times New Roman" w:hAnsi="Times New Roman"/>
          <w:sz w:val="24"/>
          <w:szCs w:val="24"/>
        </w:rPr>
        <w:t xml:space="preserve">by </w:t>
      </w:r>
      <w:r w:rsidR="0046259C" w:rsidRPr="0046259C">
        <w:rPr>
          <w:rFonts w:ascii="Times New Roman" w:hAnsi="Times New Roman"/>
          <w:i/>
          <w:sz w:val="24"/>
          <w:szCs w:val="24"/>
        </w:rPr>
        <w:t>Need Area, Course Priority, Total Need,</w:t>
      </w:r>
      <w:r w:rsidR="0046259C">
        <w:rPr>
          <w:rFonts w:ascii="Times New Roman" w:hAnsi="Times New Roman"/>
          <w:sz w:val="24"/>
          <w:szCs w:val="24"/>
        </w:rPr>
        <w:t xml:space="preserve"> </w:t>
      </w:r>
      <w:r w:rsidR="00C9329A">
        <w:rPr>
          <w:rFonts w:ascii="Times New Roman" w:hAnsi="Times New Roman"/>
          <w:sz w:val="24"/>
          <w:szCs w:val="24"/>
        </w:rPr>
        <w:t xml:space="preserve">and </w:t>
      </w:r>
      <w:r w:rsidR="0046259C" w:rsidRPr="0046259C">
        <w:rPr>
          <w:rFonts w:ascii="Times New Roman" w:hAnsi="Times New Roman"/>
          <w:i/>
          <w:sz w:val="24"/>
          <w:szCs w:val="24"/>
        </w:rPr>
        <w:t xml:space="preserve">Total </w:t>
      </w:r>
      <w:r w:rsidR="00C9329A">
        <w:rPr>
          <w:rFonts w:ascii="Times New Roman" w:hAnsi="Times New Roman"/>
          <w:i/>
          <w:sz w:val="24"/>
          <w:szCs w:val="24"/>
        </w:rPr>
        <w:t xml:space="preserve">Estimated </w:t>
      </w:r>
      <w:r w:rsidR="0046259C" w:rsidRPr="0046259C">
        <w:rPr>
          <w:rFonts w:ascii="Times New Roman" w:hAnsi="Times New Roman"/>
          <w:i/>
          <w:sz w:val="24"/>
          <w:szCs w:val="24"/>
        </w:rPr>
        <w:t>Cos</w:t>
      </w:r>
      <w:r w:rsidR="00C9329A">
        <w:rPr>
          <w:rFonts w:ascii="Times New Roman" w:hAnsi="Times New Roman"/>
          <w:i/>
          <w:sz w:val="24"/>
          <w:szCs w:val="24"/>
        </w:rPr>
        <w:t>t</w:t>
      </w:r>
      <w:r w:rsidR="00FF1AF0">
        <w:rPr>
          <w:rFonts w:ascii="Times New Roman" w:hAnsi="Times New Roman"/>
          <w:i/>
          <w:sz w:val="24"/>
          <w:szCs w:val="24"/>
        </w:rPr>
        <w:t>s</w:t>
      </w:r>
      <w:r w:rsidR="0046259C">
        <w:rPr>
          <w:rFonts w:ascii="Times New Roman" w:hAnsi="Times New Roman"/>
          <w:i/>
          <w:sz w:val="24"/>
          <w:szCs w:val="24"/>
        </w:rPr>
        <w:t>.</w:t>
      </w:r>
    </w:p>
    <w:p w:rsidR="0046259C" w:rsidRDefault="0046259C" w:rsidP="007E12F2">
      <w:pPr>
        <w:pStyle w:val="ListBullet2"/>
        <w:numPr>
          <w:ilvl w:val="0"/>
          <w:numId w:val="0"/>
        </w:numPr>
        <w:rPr>
          <w:rFonts w:ascii="Times New Roman" w:hAnsi="Times New Roman"/>
          <w:sz w:val="24"/>
          <w:szCs w:val="24"/>
        </w:rPr>
      </w:pPr>
    </w:p>
    <w:p w:rsidR="008B4E7E" w:rsidRPr="00B209AB" w:rsidRDefault="0046259C" w:rsidP="0046259C">
      <w:pPr>
        <w:pStyle w:val="ListBullet2"/>
        <w:numPr>
          <w:ilvl w:val="0"/>
          <w:numId w:val="14"/>
        </w:numPr>
        <w:rPr>
          <w:rFonts w:ascii="Times New Roman" w:hAnsi="Times New Roman"/>
          <w:sz w:val="24"/>
          <w:szCs w:val="24"/>
        </w:rPr>
      </w:pPr>
      <w:r w:rsidRPr="00B209AB">
        <w:rPr>
          <w:rFonts w:ascii="Times New Roman" w:hAnsi="Times New Roman"/>
          <w:sz w:val="24"/>
          <w:szCs w:val="24"/>
        </w:rPr>
        <w:lastRenderedPageBreak/>
        <w:t xml:space="preserve">Need </w:t>
      </w:r>
      <w:r w:rsidR="00F178B0">
        <w:rPr>
          <w:rFonts w:ascii="Times New Roman" w:hAnsi="Times New Roman"/>
          <w:sz w:val="24"/>
          <w:szCs w:val="24"/>
        </w:rPr>
        <w:t>Ar</w:t>
      </w:r>
      <w:r w:rsidRPr="00B209AB">
        <w:rPr>
          <w:rFonts w:ascii="Times New Roman" w:hAnsi="Times New Roman"/>
          <w:sz w:val="24"/>
          <w:szCs w:val="24"/>
        </w:rPr>
        <w:t>ea</w:t>
      </w:r>
      <w:r w:rsidR="00FF1AF0">
        <w:rPr>
          <w:rFonts w:ascii="Times New Roman" w:hAnsi="Times New Roman"/>
          <w:sz w:val="24"/>
          <w:szCs w:val="24"/>
        </w:rPr>
        <w:t>:</w:t>
      </w:r>
      <w:r w:rsidRPr="00B209AB">
        <w:rPr>
          <w:rFonts w:ascii="Times New Roman" w:hAnsi="Times New Roman"/>
          <w:sz w:val="24"/>
          <w:szCs w:val="24"/>
        </w:rPr>
        <w:t xml:space="preserve"> </w:t>
      </w:r>
      <w:r w:rsidR="00C21B1D">
        <w:rPr>
          <w:rFonts w:ascii="Times New Roman" w:hAnsi="Times New Roman"/>
          <w:sz w:val="24"/>
          <w:szCs w:val="24"/>
        </w:rPr>
        <w:t xml:space="preserve"> </w:t>
      </w:r>
      <w:r w:rsidR="00F178B0" w:rsidRPr="00B209AB">
        <w:rPr>
          <w:rFonts w:ascii="Times New Roman" w:hAnsi="Times New Roman"/>
          <w:sz w:val="24"/>
          <w:szCs w:val="24"/>
        </w:rPr>
        <w:t>contain</w:t>
      </w:r>
      <w:r w:rsidR="00FF1AF0">
        <w:rPr>
          <w:rFonts w:ascii="Times New Roman" w:hAnsi="Times New Roman"/>
          <w:sz w:val="24"/>
          <w:szCs w:val="24"/>
        </w:rPr>
        <w:t>s</w:t>
      </w:r>
      <w:r w:rsidRPr="00B209AB">
        <w:rPr>
          <w:rFonts w:ascii="Times New Roman" w:hAnsi="Times New Roman"/>
          <w:sz w:val="24"/>
          <w:szCs w:val="24"/>
        </w:rPr>
        <w:t xml:space="preserve"> those cou</w:t>
      </w:r>
      <w:r w:rsidR="0043366E" w:rsidRPr="00B209AB">
        <w:rPr>
          <w:rFonts w:ascii="Times New Roman" w:hAnsi="Times New Roman"/>
          <w:sz w:val="24"/>
          <w:szCs w:val="24"/>
        </w:rPr>
        <w:t>rses or competencies identified</w:t>
      </w:r>
      <w:r w:rsidR="00B209AB">
        <w:rPr>
          <w:rFonts w:ascii="Times New Roman" w:hAnsi="Times New Roman"/>
          <w:sz w:val="24"/>
          <w:szCs w:val="24"/>
        </w:rPr>
        <w:t xml:space="preserve"> </w:t>
      </w:r>
      <w:r w:rsidR="00D76CB0">
        <w:rPr>
          <w:rFonts w:ascii="Times New Roman" w:hAnsi="Times New Roman"/>
          <w:sz w:val="24"/>
          <w:szCs w:val="24"/>
        </w:rPr>
        <w:t xml:space="preserve">and prioritized </w:t>
      </w:r>
      <w:r w:rsidR="00B209AB">
        <w:rPr>
          <w:rFonts w:ascii="Times New Roman" w:hAnsi="Times New Roman"/>
          <w:sz w:val="24"/>
          <w:szCs w:val="24"/>
        </w:rPr>
        <w:t>during TNA data collection</w:t>
      </w:r>
      <w:r w:rsidR="0043366E" w:rsidRPr="00B209AB">
        <w:rPr>
          <w:rFonts w:ascii="Times New Roman" w:hAnsi="Times New Roman"/>
          <w:sz w:val="24"/>
          <w:szCs w:val="24"/>
        </w:rPr>
        <w:t>.</w:t>
      </w:r>
    </w:p>
    <w:p w:rsidR="0046259C" w:rsidRDefault="0046259C" w:rsidP="0046259C">
      <w:pPr>
        <w:pStyle w:val="ListBullet2"/>
        <w:numPr>
          <w:ilvl w:val="0"/>
          <w:numId w:val="14"/>
        </w:numPr>
        <w:rPr>
          <w:rFonts w:ascii="Times New Roman" w:hAnsi="Times New Roman"/>
          <w:sz w:val="24"/>
          <w:szCs w:val="24"/>
        </w:rPr>
      </w:pPr>
      <w:r>
        <w:rPr>
          <w:rFonts w:ascii="Times New Roman" w:hAnsi="Times New Roman"/>
          <w:sz w:val="24"/>
          <w:szCs w:val="24"/>
        </w:rPr>
        <w:t>Course Priority</w:t>
      </w:r>
      <w:r w:rsidR="00FF1AF0">
        <w:rPr>
          <w:rFonts w:ascii="Times New Roman" w:hAnsi="Times New Roman"/>
          <w:sz w:val="24"/>
          <w:szCs w:val="24"/>
        </w:rPr>
        <w:t>:</w:t>
      </w:r>
      <w:r w:rsidR="00C21B1D">
        <w:rPr>
          <w:rFonts w:ascii="Times New Roman" w:hAnsi="Times New Roman"/>
          <w:sz w:val="24"/>
          <w:szCs w:val="24"/>
        </w:rPr>
        <w:t xml:space="preserve"> </w:t>
      </w:r>
      <w:r w:rsidR="00FF1AF0">
        <w:rPr>
          <w:rFonts w:ascii="Times New Roman" w:hAnsi="Times New Roman"/>
          <w:sz w:val="24"/>
          <w:szCs w:val="24"/>
        </w:rPr>
        <w:t xml:space="preserve"> </w:t>
      </w:r>
      <w:r>
        <w:rPr>
          <w:rFonts w:ascii="Times New Roman" w:hAnsi="Times New Roman"/>
          <w:sz w:val="24"/>
          <w:szCs w:val="24"/>
        </w:rPr>
        <w:t xml:space="preserve">the established priority for the training </w:t>
      </w:r>
      <w:r w:rsidR="0043366E">
        <w:rPr>
          <w:rFonts w:ascii="Times New Roman" w:hAnsi="Times New Roman"/>
          <w:sz w:val="24"/>
          <w:szCs w:val="24"/>
        </w:rPr>
        <w:t>identified by management.</w:t>
      </w:r>
    </w:p>
    <w:p w:rsidR="0046259C" w:rsidRDefault="0046259C" w:rsidP="0046259C">
      <w:pPr>
        <w:pStyle w:val="ListBullet2"/>
        <w:numPr>
          <w:ilvl w:val="0"/>
          <w:numId w:val="14"/>
        </w:numPr>
        <w:rPr>
          <w:rFonts w:ascii="Times New Roman" w:hAnsi="Times New Roman"/>
          <w:sz w:val="24"/>
          <w:szCs w:val="24"/>
        </w:rPr>
      </w:pPr>
      <w:r>
        <w:rPr>
          <w:rFonts w:ascii="Times New Roman" w:hAnsi="Times New Roman"/>
          <w:sz w:val="24"/>
          <w:szCs w:val="24"/>
        </w:rPr>
        <w:t>Total Need</w:t>
      </w:r>
      <w:r w:rsidR="00FF1AF0">
        <w:rPr>
          <w:rFonts w:ascii="Times New Roman" w:hAnsi="Times New Roman"/>
          <w:sz w:val="24"/>
          <w:szCs w:val="24"/>
        </w:rPr>
        <w:t>:</w:t>
      </w:r>
      <w:r>
        <w:rPr>
          <w:rFonts w:ascii="Times New Roman" w:hAnsi="Times New Roman"/>
          <w:sz w:val="24"/>
          <w:szCs w:val="24"/>
        </w:rPr>
        <w:t xml:space="preserve"> </w:t>
      </w:r>
      <w:r w:rsidR="00C21B1D">
        <w:rPr>
          <w:rFonts w:ascii="Times New Roman" w:hAnsi="Times New Roman"/>
          <w:sz w:val="24"/>
          <w:szCs w:val="24"/>
        </w:rPr>
        <w:t xml:space="preserve"> </w:t>
      </w:r>
      <w:r>
        <w:rPr>
          <w:rFonts w:ascii="Times New Roman" w:hAnsi="Times New Roman"/>
          <w:sz w:val="24"/>
          <w:szCs w:val="24"/>
        </w:rPr>
        <w:t>the number of employees that require the training</w:t>
      </w:r>
      <w:r w:rsidR="0043366E">
        <w:rPr>
          <w:rFonts w:ascii="Times New Roman" w:hAnsi="Times New Roman"/>
          <w:sz w:val="24"/>
          <w:szCs w:val="24"/>
        </w:rPr>
        <w:t xml:space="preserve"> during FY </w:t>
      </w:r>
      <w:r w:rsidR="009645CE">
        <w:rPr>
          <w:rFonts w:ascii="Times New Roman" w:hAnsi="Times New Roman"/>
          <w:sz w:val="24"/>
          <w:szCs w:val="24"/>
        </w:rPr>
        <w:t>2014</w:t>
      </w:r>
      <w:r w:rsidR="0043366E">
        <w:rPr>
          <w:rFonts w:ascii="Times New Roman" w:hAnsi="Times New Roman"/>
          <w:sz w:val="24"/>
          <w:szCs w:val="24"/>
        </w:rPr>
        <w:t>.</w:t>
      </w:r>
    </w:p>
    <w:p w:rsidR="0046259C" w:rsidRDefault="0046259C" w:rsidP="0046259C">
      <w:pPr>
        <w:pStyle w:val="ListBullet2"/>
        <w:numPr>
          <w:ilvl w:val="0"/>
          <w:numId w:val="14"/>
        </w:numPr>
        <w:rPr>
          <w:rFonts w:ascii="Times New Roman" w:hAnsi="Times New Roman"/>
          <w:sz w:val="24"/>
          <w:szCs w:val="24"/>
        </w:rPr>
      </w:pPr>
      <w:r>
        <w:rPr>
          <w:rFonts w:ascii="Times New Roman" w:hAnsi="Times New Roman"/>
          <w:sz w:val="24"/>
          <w:szCs w:val="24"/>
        </w:rPr>
        <w:t>Total Cost</w:t>
      </w:r>
      <w:r w:rsidR="00FF1AF0">
        <w:rPr>
          <w:rFonts w:ascii="Times New Roman" w:hAnsi="Times New Roman"/>
          <w:sz w:val="24"/>
          <w:szCs w:val="24"/>
        </w:rPr>
        <w:t xml:space="preserve">:  </w:t>
      </w:r>
      <w:r>
        <w:rPr>
          <w:rFonts w:ascii="Times New Roman" w:hAnsi="Times New Roman"/>
          <w:sz w:val="24"/>
          <w:szCs w:val="24"/>
        </w:rPr>
        <w:t>the estimated cost of the course</w:t>
      </w:r>
      <w:r w:rsidR="0043366E">
        <w:rPr>
          <w:rFonts w:ascii="Times New Roman" w:hAnsi="Times New Roman"/>
          <w:sz w:val="24"/>
          <w:szCs w:val="24"/>
        </w:rPr>
        <w:t>(s)</w:t>
      </w:r>
      <w:r>
        <w:rPr>
          <w:rFonts w:ascii="Times New Roman" w:hAnsi="Times New Roman"/>
          <w:sz w:val="24"/>
          <w:szCs w:val="24"/>
        </w:rPr>
        <w:t xml:space="preserve"> identified. This estimate is based on historical records of course</w:t>
      </w:r>
      <w:r w:rsidR="0043366E">
        <w:rPr>
          <w:rFonts w:ascii="Times New Roman" w:hAnsi="Times New Roman"/>
          <w:sz w:val="24"/>
          <w:szCs w:val="24"/>
        </w:rPr>
        <w:t>s</w:t>
      </w:r>
      <w:r>
        <w:rPr>
          <w:rFonts w:ascii="Times New Roman" w:hAnsi="Times New Roman"/>
          <w:sz w:val="24"/>
          <w:szCs w:val="24"/>
        </w:rPr>
        <w:t xml:space="preserve"> completed</w:t>
      </w:r>
      <w:r w:rsidR="0043366E">
        <w:rPr>
          <w:rFonts w:ascii="Times New Roman" w:hAnsi="Times New Roman"/>
          <w:sz w:val="24"/>
          <w:szCs w:val="24"/>
        </w:rPr>
        <w:t xml:space="preserve"> by DOE organizations. </w:t>
      </w:r>
    </w:p>
    <w:p w:rsidR="008B4E7E" w:rsidRDefault="008B4E7E" w:rsidP="007E12F2">
      <w:pPr>
        <w:pStyle w:val="ListBullet2"/>
        <w:numPr>
          <w:ilvl w:val="0"/>
          <w:numId w:val="0"/>
        </w:numPr>
        <w:rPr>
          <w:rFonts w:ascii="Times New Roman" w:hAnsi="Times New Roman"/>
          <w:sz w:val="24"/>
          <w:szCs w:val="24"/>
        </w:rPr>
      </w:pPr>
    </w:p>
    <w:p w:rsidR="00C9329A" w:rsidRDefault="00C9329A" w:rsidP="007E12F2">
      <w:pPr>
        <w:pStyle w:val="ListBullet2"/>
        <w:numPr>
          <w:ilvl w:val="0"/>
          <w:numId w:val="0"/>
        </w:numPr>
        <w:rPr>
          <w:rFonts w:ascii="Times New Roman" w:hAnsi="Times New Roman"/>
          <w:sz w:val="24"/>
          <w:szCs w:val="24"/>
        </w:rPr>
      </w:pPr>
      <w:r>
        <w:rPr>
          <w:rFonts w:ascii="Times New Roman" w:hAnsi="Times New Roman"/>
          <w:sz w:val="24"/>
          <w:szCs w:val="24"/>
        </w:rPr>
        <w:t>The following are the internet links for</w:t>
      </w:r>
      <w:r w:rsidR="0097125C">
        <w:rPr>
          <w:rFonts w:ascii="Times New Roman" w:hAnsi="Times New Roman"/>
          <w:sz w:val="24"/>
          <w:szCs w:val="24"/>
        </w:rPr>
        <w:t xml:space="preserve"> the Acquisition Career Management Program,</w:t>
      </w:r>
      <w:r>
        <w:rPr>
          <w:rFonts w:ascii="Times New Roman" w:hAnsi="Times New Roman"/>
          <w:sz w:val="24"/>
          <w:szCs w:val="24"/>
        </w:rPr>
        <w:t xml:space="preserve">  Project Management Career Development Program (PMCDP)</w:t>
      </w:r>
      <w:r w:rsidR="00145454">
        <w:rPr>
          <w:rFonts w:ascii="Times New Roman" w:hAnsi="Times New Roman"/>
          <w:sz w:val="24"/>
          <w:szCs w:val="24"/>
        </w:rPr>
        <w:t xml:space="preserve"> and the </w:t>
      </w:r>
      <w:r>
        <w:rPr>
          <w:rFonts w:ascii="Times New Roman" w:hAnsi="Times New Roman"/>
          <w:sz w:val="24"/>
          <w:szCs w:val="24"/>
        </w:rPr>
        <w:t xml:space="preserve">National Training Center </w:t>
      </w:r>
      <w:r w:rsidR="00D3068B">
        <w:rPr>
          <w:rFonts w:ascii="Times New Roman" w:hAnsi="Times New Roman"/>
          <w:sz w:val="24"/>
          <w:szCs w:val="24"/>
        </w:rPr>
        <w:t xml:space="preserve">(NTC) </w:t>
      </w:r>
      <w:r>
        <w:rPr>
          <w:rFonts w:ascii="Times New Roman" w:hAnsi="Times New Roman"/>
          <w:sz w:val="24"/>
          <w:szCs w:val="24"/>
        </w:rPr>
        <w:t>course schedules:</w:t>
      </w:r>
    </w:p>
    <w:p w:rsidR="0097125C" w:rsidRDefault="0097125C" w:rsidP="00C9329A">
      <w:pPr>
        <w:pStyle w:val="ListBullet2"/>
        <w:numPr>
          <w:ilvl w:val="0"/>
          <w:numId w:val="16"/>
        </w:numPr>
        <w:rPr>
          <w:rFonts w:ascii="Times New Roman" w:hAnsi="Times New Roman"/>
          <w:sz w:val="24"/>
          <w:szCs w:val="24"/>
        </w:rPr>
      </w:pPr>
      <w:r>
        <w:rPr>
          <w:rFonts w:ascii="Times New Roman" w:hAnsi="Times New Roman"/>
          <w:sz w:val="24"/>
          <w:szCs w:val="24"/>
        </w:rPr>
        <w:t xml:space="preserve">ACMP - </w:t>
      </w:r>
      <w:hyperlink r:id="rId10" w:history="1">
        <w:r w:rsidRPr="00597409">
          <w:rPr>
            <w:rStyle w:val="Hyperlink"/>
            <w:rFonts w:ascii="Times New Roman" w:hAnsi="Times New Roman"/>
            <w:color w:val="0000FF"/>
            <w:sz w:val="24"/>
            <w:szCs w:val="24"/>
          </w:rPr>
          <w:t>http://energy.gov/management/office-management/operational-management/procurement-and-acquisition/guidance-procureme-1</w:t>
        </w:r>
      </w:hyperlink>
    </w:p>
    <w:p w:rsidR="00145454" w:rsidRPr="00145454" w:rsidRDefault="00D3068B" w:rsidP="00C9329A">
      <w:pPr>
        <w:pStyle w:val="ListBullet2"/>
        <w:numPr>
          <w:ilvl w:val="0"/>
          <w:numId w:val="16"/>
        </w:numPr>
        <w:rPr>
          <w:rFonts w:ascii="Times New Roman" w:hAnsi="Times New Roman"/>
          <w:sz w:val="24"/>
          <w:szCs w:val="24"/>
        </w:rPr>
      </w:pPr>
      <w:r w:rsidRPr="00145454">
        <w:rPr>
          <w:rFonts w:ascii="Times New Roman" w:hAnsi="Times New Roman"/>
          <w:sz w:val="24"/>
          <w:szCs w:val="24"/>
        </w:rPr>
        <w:t>PMCDP</w:t>
      </w:r>
      <w:r w:rsidR="00145454" w:rsidRPr="00145454">
        <w:rPr>
          <w:rFonts w:ascii="Times New Roman" w:hAnsi="Times New Roman"/>
          <w:sz w:val="24"/>
          <w:szCs w:val="24"/>
        </w:rPr>
        <w:t xml:space="preserve"> - </w:t>
      </w:r>
      <w:r w:rsidRPr="00145454">
        <w:rPr>
          <w:rFonts w:ascii="Times New Roman" w:hAnsi="Times New Roman"/>
          <w:sz w:val="24"/>
          <w:szCs w:val="24"/>
        </w:rPr>
        <w:t xml:space="preserve"> </w:t>
      </w:r>
      <w:hyperlink r:id="rId11" w:history="1">
        <w:r w:rsidR="00145454" w:rsidRPr="00145454">
          <w:rPr>
            <w:rStyle w:val="Hyperlink"/>
            <w:rFonts w:ascii="Times New Roman" w:hAnsi="Times New Roman"/>
            <w:color w:val="0000FF"/>
            <w:sz w:val="24"/>
            <w:szCs w:val="24"/>
          </w:rPr>
          <w:t>http://energy.gov/management/downloads/pmcdp-course-schedule</w:t>
        </w:r>
      </w:hyperlink>
    </w:p>
    <w:p w:rsidR="00D3068B" w:rsidRPr="00145454" w:rsidRDefault="00D3068B" w:rsidP="00C9329A">
      <w:pPr>
        <w:pStyle w:val="ListBullet2"/>
        <w:numPr>
          <w:ilvl w:val="0"/>
          <w:numId w:val="16"/>
        </w:numPr>
        <w:rPr>
          <w:rFonts w:ascii="Times New Roman" w:hAnsi="Times New Roman"/>
          <w:sz w:val="24"/>
          <w:szCs w:val="24"/>
        </w:rPr>
      </w:pPr>
      <w:r w:rsidRPr="00145454">
        <w:rPr>
          <w:rFonts w:ascii="Times New Roman" w:hAnsi="Times New Roman"/>
          <w:sz w:val="24"/>
          <w:szCs w:val="24"/>
        </w:rPr>
        <w:t xml:space="preserve">NTC - </w:t>
      </w:r>
      <w:hyperlink r:id="rId12" w:history="1">
        <w:r w:rsidRPr="00145454">
          <w:rPr>
            <w:rStyle w:val="Hyperlink"/>
            <w:rFonts w:ascii="Times New Roman" w:hAnsi="Times New Roman"/>
            <w:color w:val="0000FF"/>
            <w:sz w:val="24"/>
            <w:szCs w:val="24"/>
          </w:rPr>
          <w:t>http://ntc.doe.gov/shared/schedule.aspx</w:t>
        </w:r>
      </w:hyperlink>
    </w:p>
    <w:p w:rsidR="00145454" w:rsidRPr="00145454" w:rsidRDefault="00145454" w:rsidP="00145454">
      <w:pPr>
        <w:pStyle w:val="ListBullet2"/>
        <w:numPr>
          <w:ilvl w:val="0"/>
          <w:numId w:val="0"/>
        </w:numPr>
        <w:ind w:left="720" w:hanging="360"/>
        <w:rPr>
          <w:rFonts w:ascii="Times New Roman" w:hAnsi="Times New Roman"/>
          <w:sz w:val="24"/>
          <w:szCs w:val="24"/>
        </w:rPr>
      </w:pPr>
    </w:p>
    <w:p w:rsidR="00D3068B" w:rsidRPr="008B4E7E" w:rsidRDefault="00D3068B" w:rsidP="007E12F2">
      <w:pPr>
        <w:pStyle w:val="ListBullet2"/>
        <w:numPr>
          <w:ilvl w:val="0"/>
          <w:numId w:val="0"/>
        </w:numPr>
        <w:rPr>
          <w:rFonts w:ascii="Times New Roman" w:hAnsi="Times New Roman"/>
          <w:sz w:val="24"/>
          <w:szCs w:val="24"/>
        </w:rPr>
      </w:pPr>
    </w:p>
    <w:p w:rsidR="002C6989" w:rsidRPr="00B209AB" w:rsidRDefault="002C6989" w:rsidP="007E12F2">
      <w:pPr>
        <w:pStyle w:val="ListBullet2"/>
        <w:numPr>
          <w:ilvl w:val="0"/>
          <w:numId w:val="0"/>
        </w:numPr>
        <w:rPr>
          <w:rFonts w:ascii="Times New Roman" w:hAnsi="Times New Roman"/>
          <w:sz w:val="24"/>
          <w:szCs w:val="24"/>
        </w:rPr>
      </w:pPr>
      <w:r w:rsidRPr="00B209AB">
        <w:rPr>
          <w:rFonts w:ascii="Times New Roman" w:hAnsi="Times New Roman"/>
          <w:sz w:val="24"/>
          <w:szCs w:val="24"/>
        </w:rPr>
        <w:t>A</w:t>
      </w:r>
      <w:r w:rsidR="00D14950" w:rsidRPr="00B209AB">
        <w:rPr>
          <w:rFonts w:ascii="Times New Roman" w:hAnsi="Times New Roman"/>
          <w:sz w:val="24"/>
          <w:szCs w:val="24"/>
        </w:rPr>
        <w:t>ttachment</w:t>
      </w:r>
      <w:r w:rsidRPr="00B209AB">
        <w:rPr>
          <w:rFonts w:ascii="Times New Roman" w:hAnsi="Times New Roman"/>
          <w:sz w:val="24"/>
          <w:szCs w:val="24"/>
        </w:rPr>
        <w:t>s</w:t>
      </w:r>
      <w:r w:rsidR="00B209AB">
        <w:rPr>
          <w:rFonts w:ascii="Times New Roman" w:hAnsi="Times New Roman"/>
          <w:sz w:val="24"/>
          <w:szCs w:val="24"/>
        </w:rPr>
        <w:t>:</w:t>
      </w:r>
      <w:r w:rsidR="00D14950" w:rsidRPr="00B209AB">
        <w:rPr>
          <w:rFonts w:ascii="Times New Roman" w:hAnsi="Times New Roman"/>
          <w:sz w:val="24"/>
          <w:szCs w:val="24"/>
        </w:rPr>
        <w:t xml:space="preserve"> </w:t>
      </w:r>
    </w:p>
    <w:p w:rsidR="00D14950" w:rsidRPr="00F178B0" w:rsidRDefault="002C6989" w:rsidP="002C6989">
      <w:pPr>
        <w:pStyle w:val="ListBullet2"/>
        <w:numPr>
          <w:ilvl w:val="0"/>
          <w:numId w:val="9"/>
        </w:numPr>
        <w:rPr>
          <w:rFonts w:ascii="Times New Roman" w:hAnsi="Times New Roman"/>
          <w:sz w:val="20"/>
        </w:rPr>
      </w:pPr>
      <w:r w:rsidRPr="00F178B0">
        <w:rPr>
          <w:rFonts w:ascii="Times New Roman" w:hAnsi="Times New Roman"/>
          <w:sz w:val="20"/>
        </w:rPr>
        <w:t>Training Needs Assessment Summary</w:t>
      </w:r>
    </w:p>
    <w:sectPr w:rsidR="00D14950" w:rsidRPr="00F178B0" w:rsidSect="00E06096">
      <w:headerReference w:type="default" r:id="rId13"/>
      <w:footerReference w:type="default" r:id="rId14"/>
      <w:pgSz w:w="12240" w:h="15840" w:code="1"/>
      <w:pgMar w:top="1440" w:right="180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D3" w:rsidRDefault="000B57D3">
      <w:r>
        <w:separator/>
      </w:r>
    </w:p>
  </w:endnote>
  <w:endnote w:type="continuationSeparator" w:id="0">
    <w:p w:rsidR="000B57D3" w:rsidRDefault="000B5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69" w:rsidRPr="00E06096" w:rsidRDefault="00E85269">
    <w:pPr>
      <w:pStyle w:val="Footer"/>
      <w:rPr>
        <w:b/>
      </w:rPr>
    </w:pPr>
    <w:r w:rsidRPr="00E06096">
      <w:rPr>
        <w:b/>
      </w:rPr>
      <w:t xml:space="preserve">                                                            </w:t>
    </w:r>
    <w:r w:rsidRPr="00E06096">
      <w:rPr>
        <w:b/>
      </w:rPr>
      <w:tab/>
    </w:r>
    <w:r w:rsidRPr="00E06096">
      <w:rPr>
        <w:b/>
      </w:rPr>
      <w:tab/>
      <w:t xml:space="preserve">   </w:t>
    </w:r>
    <w:r w:rsidRPr="00E06096">
      <w:t xml:space="preserve">          Page </w:t>
    </w:r>
    <w:r w:rsidR="005D0C31" w:rsidRPr="00E06096">
      <w:rPr>
        <w:rStyle w:val="PageNumber"/>
      </w:rPr>
      <w:fldChar w:fldCharType="begin"/>
    </w:r>
    <w:r w:rsidRPr="00E06096">
      <w:rPr>
        <w:rStyle w:val="PageNumber"/>
      </w:rPr>
      <w:instrText xml:space="preserve"> PAGE </w:instrText>
    </w:r>
    <w:r w:rsidR="005D0C31" w:rsidRPr="00E06096">
      <w:rPr>
        <w:rStyle w:val="PageNumber"/>
      </w:rPr>
      <w:fldChar w:fldCharType="separate"/>
    </w:r>
    <w:r w:rsidR="009A4B02">
      <w:rPr>
        <w:rStyle w:val="PageNumber"/>
        <w:noProof/>
      </w:rPr>
      <w:t>6</w:t>
    </w:r>
    <w:r w:rsidR="005D0C31" w:rsidRPr="00E0609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D3" w:rsidRDefault="000B57D3">
      <w:r>
        <w:separator/>
      </w:r>
    </w:p>
  </w:footnote>
  <w:footnote w:type="continuationSeparator" w:id="0">
    <w:p w:rsidR="000B57D3" w:rsidRDefault="000B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69" w:rsidRPr="003B4D42" w:rsidRDefault="00E85269" w:rsidP="009A6B09">
    <w:pPr>
      <w:pStyle w:val="Header"/>
      <w:rPr>
        <w:sz w:val="24"/>
        <w:szCs w:val="24"/>
      </w:rPr>
    </w:pPr>
    <w:r>
      <w:rPr>
        <w:sz w:val="24"/>
        <w:szCs w:val="24"/>
      </w:rPr>
      <w:t xml:space="preserve">FY </w:t>
    </w:r>
    <w:r w:rsidR="009645CE">
      <w:rPr>
        <w:sz w:val="24"/>
        <w:szCs w:val="24"/>
      </w:rPr>
      <w:t>2014</w:t>
    </w:r>
    <w:r>
      <w:rPr>
        <w:sz w:val="24"/>
        <w:szCs w:val="24"/>
      </w:rPr>
      <w:t xml:space="preserve"> </w:t>
    </w:r>
    <w:r w:rsidRPr="003B4D42">
      <w:rPr>
        <w:sz w:val="24"/>
        <w:szCs w:val="24"/>
      </w:rPr>
      <w:t>Annual Training Plan</w:t>
    </w:r>
    <w:r>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2404AB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2B0973"/>
    <w:multiLevelType w:val="hybridMultilevel"/>
    <w:tmpl w:val="6EB81AF2"/>
    <w:lvl w:ilvl="0" w:tplc="04090001">
      <w:start w:val="1"/>
      <w:numFmt w:val="bullet"/>
      <w:lvlText w:val=""/>
      <w:lvlJc w:val="left"/>
      <w:pPr>
        <w:tabs>
          <w:tab w:val="num" w:pos="720"/>
        </w:tabs>
        <w:ind w:left="720" w:hanging="360"/>
      </w:pPr>
      <w:rPr>
        <w:rFonts w:ascii="Symbol" w:hAnsi="Symbol" w:hint="default"/>
      </w:rPr>
    </w:lvl>
    <w:lvl w:ilvl="1" w:tplc="D2E64F3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C2C3A"/>
    <w:multiLevelType w:val="hybridMultilevel"/>
    <w:tmpl w:val="3184E5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34B9D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877CF2"/>
    <w:multiLevelType w:val="hybridMultilevel"/>
    <w:tmpl w:val="283608C2"/>
    <w:lvl w:ilvl="0" w:tplc="C5BE998C">
      <w:start w:val="1"/>
      <w:numFmt w:val="decimal"/>
      <w:pStyle w:val="221Outcomes"/>
      <w:lvlText w:val="2.2.%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F611C4"/>
    <w:multiLevelType w:val="hybridMultilevel"/>
    <w:tmpl w:val="74CE6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2B58AC"/>
    <w:multiLevelType w:val="hybridMultilevel"/>
    <w:tmpl w:val="20BE94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76084A"/>
    <w:multiLevelType w:val="hybridMultilevel"/>
    <w:tmpl w:val="02AE1036"/>
    <w:lvl w:ilvl="0" w:tplc="B1547586">
      <w:start w:val="1"/>
      <w:numFmt w:val="decimal"/>
      <w:pStyle w:val="131Outcome"/>
      <w:lvlText w:val="1.2.%1"/>
      <w:lvlJc w:val="left"/>
      <w:pPr>
        <w:tabs>
          <w:tab w:val="num" w:pos="1890"/>
        </w:tabs>
        <w:ind w:left="1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2C45E6"/>
    <w:multiLevelType w:val="hybridMultilevel"/>
    <w:tmpl w:val="8E3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426AB"/>
    <w:multiLevelType w:val="hybridMultilevel"/>
    <w:tmpl w:val="D91471EA"/>
    <w:lvl w:ilvl="0" w:tplc="1E305F92">
      <w:start w:val="1"/>
      <w:numFmt w:val="decimal"/>
      <w:pStyle w:val="Outcome"/>
      <w:lvlText w:val="1.1.%1"/>
      <w:lvlJc w:val="left"/>
      <w:pPr>
        <w:tabs>
          <w:tab w:val="num" w:pos="1800"/>
        </w:tabs>
        <w:ind w:left="1800" w:hanging="360"/>
      </w:pPr>
      <w:rPr>
        <w:rFonts w:hint="default"/>
      </w:rPr>
    </w:lvl>
    <w:lvl w:ilvl="1" w:tplc="04090001">
      <w:start w:val="1"/>
      <w:numFmt w:val="bullet"/>
      <w:lvlText w:val=""/>
      <w:lvlJc w:val="left"/>
      <w:pPr>
        <w:tabs>
          <w:tab w:val="num" w:pos="1350"/>
        </w:tabs>
        <w:ind w:left="1350" w:hanging="360"/>
      </w:pPr>
      <w:rPr>
        <w:rFonts w:ascii="Times New Roman" w:hAnsi="Times New Roman" w:hint="default"/>
        <w:bCs w:val="0"/>
        <w:iCs w:val="0"/>
        <w:dstrike w:val="0"/>
        <w:emboss w:val="0"/>
        <w:imprint w:val="0"/>
        <w:color w:val="auto"/>
        <w:w w:val="100"/>
        <w:kern w:val="0"/>
        <w:position w:val="0"/>
        <w:sz w:val="24"/>
        <w:effect w:val="none"/>
        <w:bdr w:val="none" w:sz="0" w:space="0" w:color="auto"/>
        <w:shd w:val="clear" w:color="auto" w:fil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4E444302"/>
    <w:multiLevelType w:val="hybridMultilevel"/>
    <w:tmpl w:val="D898EF92"/>
    <w:lvl w:ilvl="0" w:tplc="147E9B06">
      <w:start w:val="1"/>
      <w:numFmt w:val="bullet"/>
      <w:lvlText w:val=""/>
      <w:lvlJc w:val="left"/>
      <w:pPr>
        <w:tabs>
          <w:tab w:val="num" w:pos="1080"/>
        </w:tabs>
        <w:ind w:left="1080" w:hanging="360"/>
      </w:pPr>
      <w:rPr>
        <w:rFonts w:ascii="Symbol" w:hAnsi="Symbol" w:hint="default"/>
      </w:rPr>
    </w:lvl>
    <w:lvl w:ilvl="1" w:tplc="6234B9D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284241"/>
    <w:multiLevelType w:val="hybridMultilevel"/>
    <w:tmpl w:val="EDF6BEFE"/>
    <w:lvl w:ilvl="0" w:tplc="147E9B0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34B9D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452C64"/>
    <w:multiLevelType w:val="hybridMultilevel"/>
    <w:tmpl w:val="653ADBCA"/>
    <w:lvl w:ilvl="0" w:tplc="D2E64F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4553C43"/>
    <w:multiLevelType w:val="multilevel"/>
    <w:tmpl w:val="EDF6BEF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4CA3C1A"/>
    <w:multiLevelType w:val="hybridMultilevel"/>
    <w:tmpl w:val="E29E8766"/>
    <w:lvl w:ilvl="0" w:tplc="D2E64F3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34B9D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EE7A52"/>
    <w:multiLevelType w:val="hybridMultilevel"/>
    <w:tmpl w:val="9604A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3A2BBA"/>
    <w:multiLevelType w:val="hybridMultilevel"/>
    <w:tmpl w:val="6B6A3144"/>
    <w:lvl w:ilvl="0" w:tplc="13FE6B68">
      <w:start w:val="1"/>
      <w:numFmt w:val="decimal"/>
      <w:pStyle w:val="211Outcomes"/>
      <w:lvlText w:val="2.1.%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5"/>
  </w:num>
  <w:num w:numId="4">
    <w:abstractNumId w:val="3"/>
  </w:num>
  <w:num w:numId="5">
    <w:abstractNumId w:val="0"/>
  </w:num>
  <w:num w:numId="6">
    <w:abstractNumId w:val="9"/>
  </w:num>
  <w:num w:numId="7">
    <w:abstractNumId w:val="10"/>
  </w:num>
  <w:num w:numId="8">
    <w:abstractNumId w:val="5"/>
  </w:num>
  <w:num w:numId="9">
    <w:abstractNumId w:val="4"/>
  </w:num>
  <w:num w:numId="10">
    <w:abstractNumId w:val="13"/>
  </w:num>
  <w:num w:numId="11">
    <w:abstractNumId w:val="14"/>
  </w:num>
  <w:num w:numId="12">
    <w:abstractNumId w:val="12"/>
  </w:num>
  <w:num w:numId="13">
    <w:abstractNumId w:val="2"/>
  </w:num>
  <w:num w:numId="14">
    <w:abstractNumId w:val="1"/>
  </w:num>
  <w:num w:numId="15">
    <w:abstractNumId w:val="11"/>
  </w:num>
  <w:num w:numId="16">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040399"/>
    <w:rsid w:val="0000027E"/>
    <w:rsid w:val="00000B88"/>
    <w:rsid w:val="00003472"/>
    <w:rsid w:val="00003512"/>
    <w:rsid w:val="00007BF2"/>
    <w:rsid w:val="00007DCF"/>
    <w:rsid w:val="000100B3"/>
    <w:rsid w:val="000112B0"/>
    <w:rsid w:val="0001337E"/>
    <w:rsid w:val="00013E37"/>
    <w:rsid w:val="00020398"/>
    <w:rsid w:val="00021557"/>
    <w:rsid w:val="00026DD4"/>
    <w:rsid w:val="0003444D"/>
    <w:rsid w:val="00035BFA"/>
    <w:rsid w:val="00037BC0"/>
    <w:rsid w:val="00040399"/>
    <w:rsid w:val="0004149D"/>
    <w:rsid w:val="00044705"/>
    <w:rsid w:val="00047F53"/>
    <w:rsid w:val="00050633"/>
    <w:rsid w:val="0005108A"/>
    <w:rsid w:val="000527EF"/>
    <w:rsid w:val="00061F29"/>
    <w:rsid w:val="00063BC1"/>
    <w:rsid w:val="00067EE3"/>
    <w:rsid w:val="00071ABE"/>
    <w:rsid w:val="000734D7"/>
    <w:rsid w:val="00080C08"/>
    <w:rsid w:val="000822F5"/>
    <w:rsid w:val="0008385D"/>
    <w:rsid w:val="000930BB"/>
    <w:rsid w:val="000963CD"/>
    <w:rsid w:val="0009713E"/>
    <w:rsid w:val="000A01CC"/>
    <w:rsid w:val="000A5AC9"/>
    <w:rsid w:val="000A7181"/>
    <w:rsid w:val="000B14D3"/>
    <w:rsid w:val="000B1723"/>
    <w:rsid w:val="000B4A3E"/>
    <w:rsid w:val="000B57D3"/>
    <w:rsid w:val="000B5B8D"/>
    <w:rsid w:val="000B631A"/>
    <w:rsid w:val="000B7E9D"/>
    <w:rsid w:val="000C6635"/>
    <w:rsid w:val="000D534F"/>
    <w:rsid w:val="000D683E"/>
    <w:rsid w:val="000E0B6C"/>
    <w:rsid w:val="000E27B9"/>
    <w:rsid w:val="000F569B"/>
    <w:rsid w:val="00105F25"/>
    <w:rsid w:val="00113AE8"/>
    <w:rsid w:val="00114C9E"/>
    <w:rsid w:val="001230D3"/>
    <w:rsid w:val="001261CC"/>
    <w:rsid w:val="00132AC7"/>
    <w:rsid w:val="00134528"/>
    <w:rsid w:val="00145454"/>
    <w:rsid w:val="00145C80"/>
    <w:rsid w:val="001475CC"/>
    <w:rsid w:val="00152142"/>
    <w:rsid w:val="00152904"/>
    <w:rsid w:val="0015553E"/>
    <w:rsid w:val="001607C8"/>
    <w:rsid w:val="00160BD4"/>
    <w:rsid w:val="00162832"/>
    <w:rsid w:val="001661BE"/>
    <w:rsid w:val="001736A7"/>
    <w:rsid w:val="001755FC"/>
    <w:rsid w:val="00175C62"/>
    <w:rsid w:val="00191F70"/>
    <w:rsid w:val="001A2D3B"/>
    <w:rsid w:val="001A403B"/>
    <w:rsid w:val="001B7FE5"/>
    <w:rsid w:val="001C0C7D"/>
    <w:rsid w:val="001C2FC4"/>
    <w:rsid w:val="001D0851"/>
    <w:rsid w:val="001D217D"/>
    <w:rsid w:val="001D4135"/>
    <w:rsid w:val="001D5368"/>
    <w:rsid w:val="001E3355"/>
    <w:rsid w:val="001E39B8"/>
    <w:rsid w:val="001E6570"/>
    <w:rsid w:val="001E70F2"/>
    <w:rsid w:val="001F1A47"/>
    <w:rsid w:val="001F7997"/>
    <w:rsid w:val="00202F0B"/>
    <w:rsid w:val="00211C77"/>
    <w:rsid w:val="00212315"/>
    <w:rsid w:val="00212788"/>
    <w:rsid w:val="002478F6"/>
    <w:rsid w:val="00252A3D"/>
    <w:rsid w:val="00256BB9"/>
    <w:rsid w:val="00263521"/>
    <w:rsid w:val="002738FD"/>
    <w:rsid w:val="002745C9"/>
    <w:rsid w:val="002807F9"/>
    <w:rsid w:val="00280CAD"/>
    <w:rsid w:val="00293B21"/>
    <w:rsid w:val="002A362B"/>
    <w:rsid w:val="002A3DAA"/>
    <w:rsid w:val="002B3358"/>
    <w:rsid w:val="002B4FEE"/>
    <w:rsid w:val="002B51E8"/>
    <w:rsid w:val="002B5F12"/>
    <w:rsid w:val="002B5FB8"/>
    <w:rsid w:val="002C044C"/>
    <w:rsid w:val="002C27B4"/>
    <w:rsid w:val="002C6989"/>
    <w:rsid w:val="002D1CE5"/>
    <w:rsid w:val="002E2C43"/>
    <w:rsid w:val="002E33CE"/>
    <w:rsid w:val="002E34C7"/>
    <w:rsid w:val="002E5F60"/>
    <w:rsid w:val="002E7A84"/>
    <w:rsid w:val="002F000E"/>
    <w:rsid w:val="002F26ED"/>
    <w:rsid w:val="002F273D"/>
    <w:rsid w:val="00303E1C"/>
    <w:rsid w:val="00305836"/>
    <w:rsid w:val="00305C2A"/>
    <w:rsid w:val="00306562"/>
    <w:rsid w:val="003118C9"/>
    <w:rsid w:val="00313078"/>
    <w:rsid w:val="00316614"/>
    <w:rsid w:val="00317244"/>
    <w:rsid w:val="00332774"/>
    <w:rsid w:val="00333062"/>
    <w:rsid w:val="00336096"/>
    <w:rsid w:val="0033723F"/>
    <w:rsid w:val="00343FF1"/>
    <w:rsid w:val="0035074D"/>
    <w:rsid w:val="00352FF0"/>
    <w:rsid w:val="003538E0"/>
    <w:rsid w:val="00354722"/>
    <w:rsid w:val="003548B7"/>
    <w:rsid w:val="00355582"/>
    <w:rsid w:val="00366816"/>
    <w:rsid w:val="00372890"/>
    <w:rsid w:val="003842DE"/>
    <w:rsid w:val="00391563"/>
    <w:rsid w:val="003A0E7B"/>
    <w:rsid w:val="003B110E"/>
    <w:rsid w:val="003B2A57"/>
    <w:rsid w:val="003B3F87"/>
    <w:rsid w:val="003B4D42"/>
    <w:rsid w:val="003C1B63"/>
    <w:rsid w:val="003F4CBC"/>
    <w:rsid w:val="003F5923"/>
    <w:rsid w:val="00406EEE"/>
    <w:rsid w:val="004106D8"/>
    <w:rsid w:val="00410D63"/>
    <w:rsid w:val="004146E5"/>
    <w:rsid w:val="00425DA8"/>
    <w:rsid w:val="0042631C"/>
    <w:rsid w:val="0043366E"/>
    <w:rsid w:val="00435537"/>
    <w:rsid w:val="004518A4"/>
    <w:rsid w:val="0045764A"/>
    <w:rsid w:val="004608F2"/>
    <w:rsid w:val="0046259C"/>
    <w:rsid w:val="00462672"/>
    <w:rsid w:val="00466A04"/>
    <w:rsid w:val="004723C8"/>
    <w:rsid w:val="00473850"/>
    <w:rsid w:val="004756F0"/>
    <w:rsid w:val="00477856"/>
    <w:rsid w:val="00480BC2"/>
    <w:rsid w:val="004838DA"/>
    <w:rsid w:val="0048657E"/>
    <w:rsid w:val="00496182"/>
    <w:rsid w:val="004A3CD9"/>
    <w:rsid w:val="004A4209"/>
    <w:rsid w:val="004A7F03"/>
    <w:rsid w:val="004B2B44"/>
    <w:rsid w:val="004B471E"/>
    <w:rsid w:val="004B4D2C"/>
    <w:rsid w:val="004C05B3"/>
    <w:rsid w:val="004C20AF"/>
    <w:rsid w:val="004C4337"/>
    <w:rsid w:val="004C7B39"/>
    <w:rsid w:val="004D02DD"/>
    <w:rsid w:val="004E0B81"/>
    <w:rsid w:val="004E0E17"/>
    <w:rsid w:val="004E4756"/>
    <w:rsid w:val="004F2BE0"/>
    <w:rsid w:val="004F3511"/>
    <w:rsid w:val="00500C5B"/>
    <w:rsid w:val="0050313A"/>
    <w:rsid w:val="00507E6F"/>
    <w:rsid w:val="00510CB3"/>
    <w:rsid w:val="00512525"/>
    <w:rsid w:val="00516E0A"/>
    <w:rsid w:val="00517661"/>
    <w:rsid w:val="0052406D"/>
    <w:rsid w:val="00533DD7"/>
    <w:rsid w:val="00540E40"/>
    <w:rsid w:val="00543D20"/>
    <w:rsid w:val="005443EC"/>
    <w:rsid w:val="0054562D"/>
    <w:rsid w:val="00546104"/>
    <w:rsid w:val="0055347F"/>
    <w:rsid w:val="005551EA"/>
    <w:rsid w:val="005558DA"/>
    <w:rsid w:val="00556DFB"/>
    <w:rsid w:val="005619A4"/>
    <w:rsid w:val="00566739"/>
    <w:rsid w:val="00575164"/>
    <w:rsid w:val="005840C1"/>
    <w:rsid w:val="00585F02"/>
    <w:rsid w:val="005863AD"/>
    <w:rsid w:val="005907DC"/>
    <w:rsid w:val="00591FBC"/>
    <w:rsid w:val="00592ECC"/>
    <w:rsid w:val="00594DB3"/>
    <w:rsid w:val="00597409"/>
    <w:rsid w:val="005A1526"/>
    <w:rsid w:val="005A7695"/>
    <w:rsid w:val="005B1AD5"/>
    <w:rsid w:val="005B491A"/>
    <w:rsid w:val="005B5639"/>
    <w:rsid w:val="005D0C31"/>
    <w:rsid w:val="005D730D"/>
    <w:rsid w:val="005E2404"/>
    <w:rsid w:val="005E29D5"/>
    <w:rsid w:val="005E4463"/>
    <w:rsid w:val="005F0525"/>
    <w:rsid w:val="0060136E"/>
    <w:rsid w:val="0061500B"/>
    <w:rsid w:val="0061615C"/>
    <w:rsid w:val="006171C9"/>
    <w:rsid w:val="0061793D"/>
    <w:rsid w:val="0062061A"/>
    <w:rsid w:val="00621AC2"/>
    <w:rsid w:val="00630655"/>
    <w:rsid w:val="0063559E"/>
    <w:rsid w:val="00636940"/>
    <w:rsid w:val="00637DF0"/>
    <w:rsid w:val="00641816"/>
    <w:rsid w:val="00641C40"/>
    <w:rsid w:val="0064400F"/>
    <w:rsid w:val="006457C6"/>
    <w:rsid w:val="00645851"/>
    <w:rsid w:val="00645A2F"/>
    <w:rsid w:val="006534A4"/>
    <w:rsid w:val="0065476B"/>
    <w:rsid w:val="0065671A"/>
    <w:rsid w:val="00666636"/>
    <w:rsid w:val="00667F7F"/>
    <w:rsid w:val="006718E8"/>
    <w:rsid w:val="00682BED"/>
    <w:rsid w:val="00685529"/>
    <w:rsid w:val="006A2A86"/>
    <w:rsid w:val="006A4164"/>
    <w:rsid w:val="006A534F"/>
    <w:rsid w:val="006A59F5"/>
    <w:rsid w:val="006B255C"/>
    <w:rsid w:val="006B3DDC"/>
    <w:rsid w:val="006B5733"/>
    <w:rsid w:val="006C0175"/>
    <w:rsid w:val="006C55BB"/>
    <w:rsid w:val="006C627F"/>
    <w:rsid w:val="006C771A"/>
    <w:rsid w:val="006E403B"/>
    <w:rsid w:val="006F0CF7"/>
    <w:rsid w:val="006F394B"/>
    <w:rsid w:val="00700BD8"/>
    <w:rsid w:val="00702530"/>
    <w:rsid w:val="007049BA"/>
    <w:rsid w:val="007168C8"/>
    <w:rsid w:val="007173DE"/>
    <w:rsid w:val="0071775E"/>
    <w:rsid w:val="00720B79"/>
    <w:rsid w:val="00723B4A"/>
    <w:rsid w:val="00725291"/>
    <w:rsid w:val="0073114A"/>
    <w:rsid w:val="00732709"/>
    <w:rsid w:val="00732EF8"/>
    <w:rsid w:val="0073317B"/>
    <w:rsid w:val="0073539D"/>
    <w:rsid w:val="0073757A"/>
    <w:rsid w:val="00752CDB"/>
    <w:rsid w:val="00754A66"/>
    <w:rsid w:val="007558D9"/>
    <w:rsid w:val="00787486"/>
    <w:rsid w:val="00791784"/>
    <w:rsid w:val="00794183"/>
    <w:rsid w:val="007972A6"/>
    <w:rsid w:val="007A1B48"/>
    <w:rsid w:val="007A7727"/>
    <w:rsid w:val="007B1EA6"/>
    <w:rsid w:val="007C2680"/>
    <w:rsid w:val="007C33DB"/>
    <w:rsid w:val="007C4698"/>
    <w:rsid w:val="007C5601"/>
    <w:rsid w:val="007C6471"/>
    <w:rsid w:val="007D2F76"/>
    <w:rsid w:val="007D50BD"/>
    <w:rsid w:val="007D6462"/>
    <w:rsid w:val="007E12F2"/>
    <w:rsid w:val="007E69E5"/>
    <w:rsid w:val="007F6E93"/>
    <w:rsid w:val="00812362"/>
    <w:rsid w:val="00816FD6"/>
    <w:rsid w:val="00821165"/>
    <w:rsid w:val="008238AC"/>
    <w:rsid w:val="00827894"/>
    <w:rsid w:val="00835686"/>
    <w:rsid w:val="0083702E"/>
    <w:rsid w:val="00840161"/>
    <w:rsid w:val="00840C08"/>
    <w:rsid w:val="00841FF8"/>
    <w:rsid w:val="008461FC"/>
    <w:rsid w:val="008625AA"/>
    <w:rsid w:val="00862F21"/>
    <w:rsid w:val="00863B87"/>
    <w:rsid w:val="00865D4B"/>
    <w:rsid w:val="00871C0F"/>
    <w:rsid w:val="0087359A"/>
    <w:rsid w:val="00873B8E"/>
    <w:rsid w:val="00877071"/>
    <w:rsid w:val="0088014F"/>
    <w:rsid w:val="00881F46"/>
    <w:rsid w:val="0089239F"/>
    <w:rsid w:val="00893776"/>
    <w:rsid w:val="00894F10"/>
    <w:rsid w:val="00895AB4"/>
    <w:rsid w:val="00897125"/>
    <w:rsid w:val="008B04A6"/>
    <w:rsid w:val="008B1584"/>
    <w:rsid w:val="008B3A68"/>
    <w:rsid w:val="008B4E7E"/>
    <w:rsid w:val="008B57C9"/>
    <w:rsid w:val="008B7313"/>
    <w:rsid w:val="008C0A33"/>
    <w:rsid w:val="008C4352"/>
    <w:rsid w:val="008D29CD"/>
    <w:rsid w:val="008D33CE"/>
    <w:rsid w:val="008D453F"/>
    <w:rsid w:val="008D4815"/>
    <w:rsid w:val="008E63D5"/>
    <w:rsid w:val="008F3A56"/>
    <w:rsid w:val="008F4A9B"/>
    <w:rsid w:val="008F520D"/>
    <w:rsid w:val="0090638E"/>
    <w:rsid w:val="00906C34"/>
    <w:rsid w:val="00911E07"/>
    <w:rsid w:val="00925171"/>
    <w:rsid w:val="00925B2D"/>
    <w:rsid w:val="00931CF6"/>
    <w:rsid w:val="00933F02"/>
    <w:rsid w:val="0094099F"/>
    <w:rsid w:val="0094297F"/>
    <w:rsid w:val="00944C72"/>
    <w:rsid w:val="009479E2"/>
    <w:rsid w:val="009613DD"/>
    <w:rsid w:val="009645CE"/>
    <w:rsid w:val="009659C6"/>
    <w:rsid w:val="00966337"/>
    <w:rsid w:val="0096767D"/>
    <w:rsid w:val="0097125C"/>
    <w:rsid w:val="00974B99"/>
    <w:rsid w:val="00974DC5"/>
    <w:rsid w:val="00980035"/>
    <w:rsid w:val="00981D4C"/>
    <w:rsid w:val="00985C28"/>
    <w:rsid w:val="00987631"/>
    <w:rsid w:val="00994E55"/>
    <w:rsid w:val="009A4B02"/>
    <w:rsid w:val="009A6B09"/>
    <w:rsid w:val="009B327C"/>
    <w:rsid w:val="009B3AEE"/>
    <w:rsid w:val="009B4068"/>
    <w:rsid w:val="009B4FDF"/>
    <w:rsid w:val="009C28FF"/>
    <w:rsid w:val="009C4CD6"/>
    <w:rsid w:val="009C590B"/>
    <w:rsid w:val="009D0E31"/>
    <w:rsid w:val="009D4124"/>
    <w:rsid w:val="009D4163"/>
    <w:rsid w:val="009D6388"/>
    <w:rsid w:val="009D65B7"/>
    <w:rsid w:val="009E1F10"/>
    <w:rsid w:val="009E3C65"/>
    <w:rsid w:val="009E4045"/>
    <w:rsid w:val="009F23A1"/>
    <w:rsid w:val="009F4B40"/>
    <w:rsid w:val="009F6C5E"/>
    <w:rsid w:val="00A13F07"/>
    <w:rsid w:val="00A16CF5"/>
    <w:rsid w:val="00A21A6B"/>
    <w:rsid w:val="00A508B9"/>
    <w:rsid w:val="00A57281"/>
    <w:rsid w:val="00A60E3A"/>
    <w:rsid w:val="00A61574"/>
    <w:rsid w:val="00A717DE"/>
    <w:rsid w:val="00A769B9"/>
    <w:rsid w:val="00A80A0E"/>
    <w:rsid w:val="00A86782"/>
    <w:rsid w:val="00A953BE"/>
    <w:rsid w:val="00A9633B"/>
    <w:rsid w:val="00AA2AEE"/>
    <w:rsid w:val="00AA4210"/>
    <w:rsid w:val="00AB0252"/>
    <w:rsid w:val="00AB5F25"/>
    <w:rsid w:val="00AC06C6"/>
    <w:rsid w:val="00AC2956"/>
    <w:rsid w:val="00AC2DFB"/>
    <w:rsid w:val="00AC6D1A"/>
    <w:rsid w:val="00AD2ED5"/>
    <w:rsid w:val="00AE0C1C"/>
    <w:rsid w:val="00AE2C4F"/>
    <w:rsid w:val="00AE3D2C"/>
    <w:rsid w:val="00AE7264"/>
    <w:rsid w:val="00B03DF2"/>
    <w:rsid w:val="00B1175A"/>
    <w:rsid w:val="00B1648F"/>
    <w:rsid w:val="00B1668F"/>
    <w:rsid w:val="00B17CF4"/>
    <w:rsid w:val="00B209AB"/>
    <w:rsid w:val="00B20FE7"/>
    <w:rsid w:val="00B2590D"/>
    <w:rsid w:val="00B261D4"/>
    <w:rsid w:val="00B26C9C"/>
    <w:rsid w:val="00B3223B"/>
    <w:rsid w:val="00B33B5F"/>
    <w:rsid w:val="00B401CA"/>
    <w:rsid w:val="00B40E78"/>
    <w:rsid w:val="00B42407"/>
    <w:rsid w:val="00B461CB"/>
    <w:rsid w:val="00B47553"/>
    <w:rsid w:val="00B50E47"/>
    <w:rsid w:val="00B532FE"/>
    <w:rsid w:val="00B53A64"/>
    <w:rsid w:val="00B56CA8"/>
    <w:rsid w:val="00B63B5F"/>
    <w:rsid w:val="00B63EB3"/>
    <w:rsid w:val="00B71205"/>
    <w:rsid w:val="00B77053"/>
    <w:rsid w:val="00B835DC"/>
    <w:rsid w:val="00B86ADF"/>
    <w:rsid w:val="00B95BB9"/>
    <w:rsid w:val="00B97992"/>
    <w:rsid w:val="00BA05C5"/>
    <w:rsid w:val="00BA4162"/>
    <w:rsid w:val="00BB413F"/>
    <w:rsid w:val="00BB4C20"/>
    <w:rsid w:val="00BB6F5E"/>
    <w:rsid w:val="00BB7829"/>
    <w:rsid w:val="00BC1A5B"/>
    <w:rsid w:val="00BD021A"/>
    <w:rsid w:val="00BD1FD5"/>
    <w:rsid w:val="00BD7047"/>
    <w:rsid w:val="00BE3E8B"/>
    <w:rsid w:val="00BE49F9"/>
    <w:rsid w:val="00BE534E"/>
    <w:rsid w:val="00BE54DE"/>
    <w:rsid w:val="00BE70F5"/>
    <w:rsid w:val="00BF1BF7"/>
    <w:rsid w:val="00C03C05"/>
    <w:rsid w:val="00C05941"/>
    <w:rsid w:val="00C140C1"/>
    <w:rsid w:val="00C14AD4"/>
    <w:rsid w:val="00C14BD4"/>
    <w:rsid w:val="00C2104D"/>
    <w:rsid w:val="00C21B1D"/>
    <w:rsid w:val="00C23364"/>
    <w:rsid w:val="00C30B94"/>
    <w:rsid w:val="00C31968"/>
    <w:rsid w:val="00C3293E"/>
    <w:rsid w:val="00C3546C"/>
    <w:rsid w:val="00C37B86"/>
    <w:rsid w:val="00C41233"/>
    <w:rsid w:val="00C5090A"/>
    <w:rsid w:val="00C51CDE"/>
    <w:rsid w:val="00C5495B"/>
    <w:rsid w:val="00C56C2D"/>
    <w:rsid w:val="00C633F1"/>
    <w:rsid w:val="00C6538E"/>
    <w:rsid w:val="00C6698B"/>
    <w:rsid w:val="00C67304"/>
    <w:rsid w:val="00C71EA3"/>
    <w:rsid w:val="00C728DB"/>
    <w:rsid w:val="00C808CF"/>
    <w:rsid w:val="00C81C39"/>
    <w:rsid w:val="00C86569"/>
    <w:rsid w:val="00C9329A"/>
    <w:rsid w:val="00CA1204"/>
    <w:rsid w:val="00CA36F1"/>
    <w:rsid w:val="00CB2B63"/>
    <w:rsid w:val="00CB6EFA"/>
    <w:rsid w:val="00CC0A0C"/>
    <w:rsid w:val="00CC0EFF"/>
    <w:rsid w:val="00CC3C9B"/>
    <w:rsid w:val="00CC7DAD"/>
    <w:rsid w:val="00CD6238"/>
    <w:rsid w:val="00CE10AB"/>
    <w:rsid w:val="00CE3E38"/>
    <w:rsid w:val="00CF14A2"/>
    <w:rsid w:val="00CF2DB9"/>
    <w:rsid w:val="00CF37FA"/>
    <w:rsid w:val="00CF5C11"/>
    <w:rsid w:val="00CF798E"/>
    <w:rsid w:val="00D0341C"/>
    <w:rsid w:val="00D054F0"/>
    <w:rsid w:val="00D06249"/>
    <w:rsid w:val="00D063DD"/>
    <w:rsid w:val="00D14950"/>
    <w:rsid w:val="00D271B6"/>
    <w:rsid w:val="00D3068B"/>
    <w:rsid w:val="00D306BC"/>
    <w:rsid w:val="00D33A06"/>
    <w:rsid w:val="00D34DD1"/>
    <w:rsid w:val="00D35E24"/>
    <w:rsid w:val="00D45F38"/>
    <w:rsid w:val="00D52E26"/>
    <w:rsid w:val="00D53BF9"/>
    <w:rsid w:val="00D547FE"/>
    <w:rsid w:val="00D5556D"/>
    <w:rsid w:val="00D7067B"/>
    <w:rsid w:val="00D76CB0"/>
    <w:rsid w:val="00D80F20"/>
    <w:rsid w:val="00D810FA"/>
    <w:rsid w:val="00D86C74"/>
    <w:rsid w:val="00D91C25"/>
    <w:rsid w:val="00D96EE4"/>
    <w:rsid w:val="00DA2417"/>
    <w:rsid w:val="00DA4F00"/>
    <w:rsid w:val="00DA5E61"/>
    <w:rsid w:val="00DC5CD2"/>
    <w:rsid w:val="00DD0B4C"/>
    <w:rsid w:val="00DD4EEE"/>
    <w:rsid w:val="00DD7CC2"/>
    <w:rsid w:val="00DE1CC1"/>
    <w:rsid w:val="00DE5AA5"/>
    <w:rsid w:val="00E011C0"/>
    <w:rsid w:val="00E06096"/>
    <w:rsid w:val="00E06689"/>
    <w:rsid w:val="00E13ACD"/>
    <w:rsid w:val="00E14A34"/>
    <w:rsid w:val="00E16BD1"/>
    <w:rsid w:val="00E16C6D"/>
    <w:rsid w:val="00E3677A"/>
    <w:rsid w:val="00E51029"/>
    <w:rsid w:val="00E53672"/>
    <w:rsid w:val="00E5631D"/>
    <w:rsid w:val="00E56ECE"/>
    <w:rsid w:val="00E63BC7"/>
    <w:rsid w:val="00E74D91"/>
    <w:rsid w:val="00E77132"/>
    <w:rsid w:val="00E84A63"/>
    <w:rsid w:val="00E85269"/>
    <w:rsid w:val="00E95560"/>
    <w:rsid w:val="00EA3A5E"/>
    <w:rsid w:val="00EB14EE"/>
    <w:rsid w:val="00EB2EFE"/>
    <w:rsid w:val="00EB46FC"/>
    <w:rsid w:val="00EB7406"/>
    <w:rsid w:val="00EC2EFC"/>
    <w:rsid w:val="00ED3152"/>
    <w:rsid w:val="00ED7DCF"/>
    <w:rsid w:val="00EF4A52"/>
    <w:rsid w:val="00F06B96"/>
    <w:rsid w:val="00F075D5"/>
    <w:rsid w:val="00F12B99"/>
    <w:rsid w:val="00F15207"/>
    <w:rsid w:val="00F178B0"/>
    <w:rsid w:val="00F2014F"/>
    <w:rsid w:val="00F327C0"/>
    <w:rsid w:val="00F33057"/>
    <w:rsid w:val="00F35233"/>
    <w:rsid w:val="00F372C0"/>
    <w:rsid w:val="00F37CC0"/>
    <w:rsid w:val="00F37F06"/>
    <w:rsid w:val="00F44EA1"/>
    <w:rsid w:val="00F60C13"/>
    <w:rsid w:val="00F65137"/>
    <w:rsid w:val="00F664EE"/>
    <w:rsid w:val="00F72143"/>
    <w:rsid w:val="00F733C3"/>
    <w:rsid w:val="00F81F16"/>
    <w:rsid w:val="00F838D8"/>
    <w:rsid w:val="00F92290"/>
    <w:rsid w:val="00FA0134"/>
    <w:rsid w:val="00FA082B"/>
    <w:rsid w:val="00FA0D1E"/>
    <w:rsid w:val="00FA1868"/>
    <w:rsid w:val="00FA3156"/>
    <w:rsid w:val="00FA79A5"/>
    <w:rsid w:val="00FB2F05"/>
    <w:rsid w:val="00FB5817"/>
    <w:rsid w:val="00FC0D31"/>
    <w:rsid w:val="00FC101D"/>
    <w:rsid w:val="00FC4C8A"/>
    <w:rsid w:val="00FC687C"/>
    <w:rsid w:val="00FD2706"/>
    <w:rsid w:val="00FE4950"/>
    <w:rsid w:val="00FE7544"/>
    <w:rsid w:val="00FF1AF0"/>
    <w:rsid w:val="00FF3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8D8"/>
  </w:style>
  <w:style w:type="paragraph" w:styleId="Heading1">
    <w:name w:val="heading 1"/>
    <w:basedOn w:val="Normal"/>
    <w:next w:val="Normal"/>
    <w:qFormat/>
    <w:rsid w:val="00F838D8"/>
    <w:pPr>
      <w:keepNext/>
      <w:jc w:val="center"/>
      <w:outlineLvl w:val="0"/>
    </w:pPr>
    <w:rPr>
      <w:sz w:val="48"/>
    </w:rPr>
  </w:style>
  <w:style w:type="paragraph" w:styleId="Heading2">
    <w:name w:val="heading 2"/>
    <w:basedOn w:val="Normal"/>
    <w:next w:val="Normal"/>
    <w:qFormat/>
    <w:rsid w:val="00F838D8"/>
    <w:pPr>
      <w:keepNext/>
      <w:jc w:val="center"/>
      <w:outlineLvl w:val="1"/>
    </w:pPr>
    <w:rPr>
      <w:b/>
      <w:sz w:val="48"/>
    </w:rPr>
  </w:style>
  <w:style w:type="paragraph" w:styleId="Heading3">
    <w:name w:val="heading 3"/>
    <w:basedOn w:val="Normal"/>
    <w:next w:val="Normal"/>
    <w:qFormat/>
    <w:rsid w:val="00F838D8"/>
    <w:pPr>
      <w:keepNext/>
      <w:jc w:val="center"/>
      <w:outlineLvl w:val="2"/>
    </w:pPr>
    <w:rPr>
      <w:b/>
      <w:sz w:val="28"/>
    </w:rPr>
  </w:style>
  <w:style w:type="paragraph" w:styleId="Heading4">
    <w:name w:val="heading 4"/>
    <w:basedOn w:val="Normal"/>
    <w:next w:val="Normal"/>
    <w:qFormat/>
    <w:rsid w:val="00F838D8"/>
    <w:pPr>
      <w:keepNext/>
      <w:outlineLvl w:val="3"/>
    </w:pPr>
    <w:rPr>
      <w:sz w:val="24"/>
    </w:rPr>
  </w:style>
  <w:style w:type="paragraph" w:styleId="Heading5">
    <w:name w:val="heading 5"/>
    <w:basedOn w:val="Normal"/>
    <w:next w:val="Normal"/>
    <w:qFormat/>
    <w:rsid w:val="00F838D8"/>
    <w:pPr>
      <w:keepNext/>
      <w:jc w:val="center"/>
      <w:outlineLvl w:val="4"/>
    </w:pPr>
    <w:rPr>
      <w:b/>
      <w:sz w:val="32"/>
    </w:rPr>
  </w:style>
  <w:style w:type="paragraph" w:styleId="Heading6">
    <w:name w:val="heading 6"/>
    <w:basedOn w:val="Normal"/>
    <w:next w:val="Normal"/>
    <w:qFormat/>
    <w:rsid w:val="0004149D"/>
    <w:pPr>
      <w:keepNext/>
      <w:outlineLvl w:val="5"/>
    </w:pPr>
    <w:rPr>
      <w:b/>
      <w:sz w:val="32"/>
    </w:rPr>
  </w:style>
  <w:style w:type="paragraph" w:styleId="Heading7">
    <w:name w:val="heading 7"/>
    <w:basedOn w:val="Normal"/>
    <w:next w:val="Normal"/>
    <w:qFormat/>
    <w:rsid w:val="00FA3156"/>
    <w:pPr>
      <w:keepNext/>
      <w:outlineLvl w:val="6"/>
    </w:pPr>
    <w:rPr>
      <w:rFonts w:ascii="Arial" w:hAnsi="Arial" w:cs="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38D8"/>
    <w:pPr>
      <w:tabs>
        <w:tab w:val="center" w:pos="4320"/>
        <w:tab w:val="right" w:pos="8640"/>
      </w:tabs>
    </w:pPr>
  </w:style>
  <w:style w:type="paragraph" w:styleId="Footer">
    <w:name w:val="footer"/>
    <w:basedOn w:val="Normal"/>
    <w:rsid w:val="00F838D8"/>
    <w:pPr>
      <w:tabs>
        <w:tab w:val="center" w:pos="4320"/>
        <w:tab w:val="right" w:pos="8640"/>
      </w:tabs>
    </w:pPr>
  </w:style>
  <w:style w:type="paragraph" w:styleId="BodyText">
    <w:name w:val="Body Text"/>
    <w:basedOn w:val="Normal"/>
    <w:rsid w:val="00F838D8"/>
    <w:rPr>
      <w:sz w:val="24"/>
      <w:u w:val="single"/>
    </w:rPr>
  </w:style>
  <w:style w:type="paragraph" w:styleId="BodyText2">
    <w:name w:val="Body Text 2"/>
    <w:basedOn w:val="Normal"/>
    <w:rsid w:val="00BB7829"/>
    <w:rPr>
      <w:sz w:val="24"/>
      <w:szCs w:val="24"/>
    </w:rPr>
  </w:style>
  <w:style w:type="table" w:styleId="TableGrid">
    <w:name w:val="Table Grid"/>
    <w:basedOn w:val="TableNormal"/>
    <w:rsid w:val="00C54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53BF9"/>
  </w:style>
  <w:style w:type="paragraph" w:styleId="BalloonText">
    <w:name w:val="Balloon Text"/>
    <w:basedOn w:val="Normal"/>
    <w:semiHidden/>
    <w:rsid w:val="0060136E"/>
    <w:rPr>
      <w:rFonts w:ascii="Tahoma" w:hAnsi="Tahoma" w:cs="Tahoma"/>
      <w:sz w:val="16"/>
      <w:szCs w:val="16"/>
    </w:rPr>
  </w:style>
  <w:style w:type="character" w:styleId="CommentReference">
    <w:name w:val="annotation reference"/>
    <w:basedOn w:val="DefaultParagraphFont"/>
    <w:semiHidden/>
    <w:rsid w:val="0060136E"/>
    <w:rPr>
      <w:sz w:val="16"/>
      <w:szCs w:val="16"/>
    </w:rPr>
  </w:style>
  <w:style w:type="paragraph" w:styleId="CommentText">
    <w:name w:val="annotation text"/>
    <w:basedOn w:val="Normal"/>
    <w:semiHidden/>
    <w:rsid w:val="0060136E"/>
  </w:style>
  <w:style w:type="paragraph" w:styleId="CommentSubject">
    <w:name w:val="annotation subject"/>
    <w:basedOn w:val="CommentText"/>
    <w:next w:val="CommentText"/>
    <w:semiHidden/>
    <w:rsid w:val="0060136E"/>
    <w:rPr>
      <w:b/>
      <w:bCs/>
    </w:rPr>
  </w:style>
  <w:style w:type="paragraph" w:styleId="BodyText3">
    <w:name w:val="Body Text 3"/>
    <w:basedOn w:val="Normal"/>
    <w:rsid w:val="00FA3156"/>
    <w:rPr>
      <w:rFonts w:ascii="Arial" w:hAnsi="Arial" w:cs="Arial"/>
      <w:color w:val="FF0000"/>
      <w:sz w:val="24"/>
    </w:rPr>
  </w:style>
  <w:style w:type="paragraph" w:customStyle="1" w:styleId="Style14ptBoldJustified">
    <w:name w:val="Style 14 pt Bold Justified"/>
    <w:basedOn w:val="Normal"/>
    <w:rsid w:val="00C71EA3"/>
    <w:pPr>
      <w:jc w:val="center"/>
    </w:pPr>
    <w:rPr>
      <w:rFonts w:ascii="Arial" w:hAnsi="Arial"/>
      <w:b/>
      <w:bCs/>
      <w:sz w:val="28"/>
    </w:rPr>
  </w:style>
  <w:style w:type="paragraph" w:customStyle="1" w:styleId="PerformanceOutcom">
    <w:name w:val="Performance/Outcom"/>
    <w:basedOn w:val="BodyTextIndent"/>
    <w:rsid w:val="00C71EA3"/>
    <w:pPr>
      <w:spacing w:before="60" w:after="60"/>
      <w:ind w:left="1080"/>
    </w:pPr>
    <w:rPr>
      <w:rFonts w:ascii="Arial" w:hAnsi="Arial" w:cs="Arial"/>
      <w:sz w:val="22"/>
    </w:rPr>
  </w:style>
  <w:style w:type="paragraph" w:customStyle="1" w:styleId="Outcome">
    <w:name w:val="Outcome"/>
    <w:basedOn w:val="Normal"/>
    <w:rsid w:val="00C71EA3"/>
    <w:pPr>
      <w:numPr>
        <w:numId w:val="1"/>
      </w:numPr>
      <w:spacing w:before="60" w:after="60"/>
    </w:pPr>
    <w:rPr>
      <w:rFonts w:ascii="Arial" w:hAnsi="Arial"/>
      <w:sz w:val="22"/>
    </w:rPr>
  </w:style>
  <w:style w:type="paragraph" w:customStyle="1" w:styleId="131Outcome">
    <w:name w:val="1.3.1 Outcome"/>
    <w:basedOn w:val="Normal"/>
    <w:rsid w:val="00C71EA3"/>
    <w:pPr>
      <w:numPr>
        <w:numId w:val="2"/>
      </w:numPr>
      <w:tabs>
        <w:tab w:val="clear" w:pos="1890"/>
        <w:tab w:val="left" w:pos="2160"/>
      </w:tabs>
      <w:spacing w:before="60" w:after="60"/>
      <w:ind w:left="1800"/>
    </w:pPr>
    <w:rPr>
      <w:rFonts w:ascii="Arial" w:hAnsi="Arial"/>
      <w:sz w:val="22"/>
    </w:rPr>
  </w:style>
  <w:style w:type="paragraph" w:customStyle="1" w:styleId="211Outcomes">
    <w:name w:val="2.1.1 Outcomes"/>
    <w:basedOn w:val="Normal"/>
    <w:rsid w:val="00C71EA3"/>
    <w:pPr>
      <w:numPr>
        <w:numId w:val="3"/>
      </w:numPr>
      <w:tabs>
        <w:tab w:val="left" w:pos="2160"/>
      </w:tabs>
      <w:spacing w:before="60" w:after="60"/>
    </w:pPr>
    <w:rPr>
      <w:rFonts w:ascii="Arial" w:hAnsi="Arial"/>
      <w:sz w:val="22"/>
    </w:rPr>
  </w:style>
  <w:style w:type="paragraph" w:customStyle="1" w:styleId="221Outcomes">
    <w:name w:val="2.2.1 Outcomes"/>
    <w:basedOn w:val="Normal"/>
    <w:rsid w:val="00C71EA3"/>
    <w:pPr>
      <w:numPr>
        <w:numId w:val="4"/>
      </w:numPr>
      <w:tabs>
        <w:tab w:val="clear" w:pos="3240"/>
        <w:tab w:val="left" w:pos="1800"/>
      </w:tabs>
      <w:spacing w:before="60" w:after="60"/>
      <w:ind w:left="1800"/>
    </w:pPr>
    <w:rPr>
      <w:rFonts w:ascii="Arial" w:hAnsi="Arial"/>
      <w:sz w:val="22"/>
    </w:rPr>
  </w:style>
  <w:style w:type="paragraph" w:customStyle="1" w:styleId="Style221OutcomesRed">
    <w:name w:val="Style 2.2.1 Outcomes + Red"/>
    <w:basedOn w:val="221Outcomes"/>
    <w:rsid w:val="00C71EA3"/>
  </w:style>
  <w:style w:type="paragraph" w:styleId="BodyTextIndent">
    <w:name w:val="Body Text Indent"/>
    <w:basedOn w:val="Normal"/>
    <w:rsid w:val="00C71EA3"/>
    <w:pPr>
      <w:spacing w:after="120"/>
      <w:ind w:left="360"/>
    </w:pPr>
  </w:style>
  <w:style w:type="paragraph" w:styleId="ListBullet2">
    <w:name w:val="List Bullet 2"/>
    <w:basedOn w:val="Normal"/>
    <w:rsid w:val="00FA1868"/>
    <w:pPr>
      <w:numPr>
        <w:numId w:val="5"/>
      </w:numPr>
    </w:pPr>
    <w:rPr>
      <w:rFonts w:ascii="Arial" w:hAnsi="Arial"/>
      <w:sz w:val="22"/>
    </w:rPr>
  </w:style>
  <w:style w:type="character" w:styleId="Hyperlink">
    <w:name w:val="Hyperlink"/>
    <w:basedOn w:val="DefaultParagraphFont"/>
    <w:rsid w:val="00732EF8"/>
    <w:rPr>
      <w:color w:val="FF0000"/>
      <w:u w:val="single"/>
    </w:rPr>
  </w:style>
  <w:style w:type="paragraph" w:styleId="NormalWeb">
    <w:name w:val="Normal (Web)"/>
    <w:basedOn w:val="Normal"/>
    <w:uiPriority w:val="99"/>
    <w:rsid w:val="00732EF8"/>
    <w:pPr>
      <w:spacing w:before="100" w:beforeAutospacing="1" w:after="100" w:afterAutospacing="1"/>
    </w:pPr>
    <w:rPr>
      <w:color w:val="000000"/>
      <w:sz w:val="24"/>
      <w:szCs w:val="24"/>
    </w:rPr>
  </w:style>
  <w:style w:type="paragraph" w:styleId="Revision">
    <w:name w:val="Revision"/>
    <w:hidden/>
    <w:uiPriority w:val="99"/>
    <w:semiHidden/>
    <w:rsid w:val="00752CDB"/>
  </w:style>
  <w:style w:type="character" w:styleId="FollowedHyperlink">
    <w:name w:val="FollowedHyperlink"/>
    <w:basedOn w:val="DefaultParagraphFont"/>
    <w:rsid w:val="009712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5244181">
      <w:bodyDiv w:val="1"/>
      <w:marLeft w:val="0"/>
      <w:marRight w:val="0"/>
      <w:marTop w:val="0"/>
      <w:marBottom w:val="0"/>
      <w:divBdr>
        <w:top w:val="none" w:sz="0" w:space="0" w:color="auto"/>
        <w:left w:val="none" w:sz="0" w:space="0" w:color="auto"/>
        <w:bottom w:val="none" w:sz="0" w:space="0" w:color="auto"/>
        <w:right w:val="none" w:sz="0" w:space="0" w:color="auto"/>
      </w:divBdr>
    </w:div>
    <w:div w:id="561674748">
      <w:bodyDiv w:val="1"/>
      <w:marLeft w:val="0"/>
      <w:marRight w:val="0"/>
      <w:marTop w:val="0"/>
      <w:marBottom w:val="0"/>
      <w:divBdr>
        <w:top w:val="none" w:sz="0" w:space="0" w:color="auto"/>
        <w:left w:val="none" w:sz="0" w:space="0" w:color="auto"/>
        <w:bottom w:val="none" w:sz="0" w:space="0" w:color="auto"/>
        <w:right w:val="none" w:sz="0" w:space="0" w:color="auto"/>
      </w:divBdr>
    </w:div>
    <w:div w:id="627124187">
      <w:bodyDiv w:val="1"/>
      <w:marLeft w:val="0"/>
      <w:marRight w:val="0"/>
      <w:marTop w:val="0"/>
      <w:marBottom w:val="0"/>
      <w:divBdr>
        <w:top w:val="none" w:sz="0" w:space="0" w:color="auto"/>
        <w:left w:val="none" w:sz="0" w:space="0" w:color="auto"/>
        <w:bottom w:val="none" w:sz="0" w:space="0" w:color="auto"/>
        <w:right w:val="none" w:sz="0" w:space="0" w:color="auto"/>
      </w:divBdr>
    </w:div>
    <w:div w:id="1106584267">
      <w:bodyDiv w:val="1"/>
      <w:marLeft w:val="0"/>
      <w:marRight w:val="0"/>
      <w:marTop w:val="0"/>
      <w:marBottom w:val="0"/>
      <w:divBdr>
        <w:top w:val="none" w:sz="0" w:space="0" w:color="auto"/>
        <w:left w:val="none" w:sz="0" w:space="0" w:color="auto"/>
        <w:bottom w:val="none" w:sz="0" w:space="0" w:color="auto"/>
        <w:right w:val="none" w:sz="0" w:space="0" w:color="auto"/>
      </w:divBdr>
    </w:div>
    <w:div w:id="1305087047">
      <w:bodyDiv w:val="1"/>
      <w:marLeft w:val="0"/>
      <w:marRight w:val="0"/>
      <w:marTop w:val="0"/>
      <w:marBottom w:val="0"/>
      <w:divBdr>
        <w:top w:val="none" w:sz="0" w:space="0" w:color="auto"/>
        <w:left w:val="none" w:sz="0" w:space="0" w:color="auto"/>
        <w:bottom w:val="none" w:sz="0" w:space="0" w:color="auto"/>
        <w:right w:val="none" w:sz="0" w:space="0" w:color="auto"/>
      </w:divBdr>
    </w:div>
    <w:div w:id="20660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tc.doe.gov/shared/schedul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y.gov/management/downloads/pmcdp-course-schedu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ergy.gov/management/office-management/operational-management/procurement-and-acquisition/guidance-procureme-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3602-D597-4773-B92E-FFA04CA4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1604</Words>
  <Characters>10429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Department of Energy</vt:lpstr>
    </vt:vector>
  </TitlesOfParts>
  <Company>Hanford</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dc:title>
  <dc:subject/>
  <dc:creator>Barry Weaver</dc:creator>
  <cp:keywords/>
  <dc:description/>
  <cp:lastModifiedBy>roghoes</cp:lastModifiedBy>
  <cp:revision>2</cp:revision>
  <cp:lastPrinted>2009-07-07T15:30:00Z</cp:lastPrinted>
  <dcterms:created xsi:type="dcterms:W3CDTF">2013-05-22T21:03:00Z</dcterms:created>
  <dcterms:modified xsi:type="dcterms:W3CDTF">2013-05-22T21:03:00Z</dcterms:modified>
</cp:coreProperties>
</file>