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E52D" w14:textId="2690AB30" w:rsidR="00B872FD" w:rsidRDefault="00D14358" w:rsidP="00D14358">
      <w:pPr>
        <w:pStyle w:val="Heading1"/>
        <w:jc w:val="center"/>
      </w:pPr>
      <w:bookmarkStart w:id="0" w:name="_Toc123213379"/>
      <w:r>
        <w:t>Battery Energy Storage System Procurement Checklist</w:t>
      </w:r>
      <w:bookmarkEnd w:id="0"/>
    </w:p>
    <w:p w14:paraId="711048D2" w14:textId="3E035B4D" w:rsidR="00D14358" w:rsidRDefault="00D14358" w:rsidP="00D14358">
      <w:r>
        <w:t xml:space="preserve">This checklist provides </w:t>
      </w:r>
      <w:r w:rsidR="00DE1782">
        <w:t xml:space="preserve">federal </w:t>
      </w:r>
      <w:r>
        <w:t>agencies with a standard set of tasks, questions, and reference points to assist in the</w:t>
      </w:r>
      <w:r w:rsidR="001A2ADD">
        <w:t xml:space="preserve"> early stages of</w:t>
      </w:r>
      <w:r>
        <w:t xml:space="preserve"> battery energy storage systems (BESS)</w:t>
      </w:r>
      <w:r w:rsidR="006808C5">
        <w:t xml:space="preserve"> project development</w:t>
      </w:r>
      <w:r>
        <w:t xml:space="preserve">. </w:t>
      </w:r>
      <w:r w:rsidR="005B6470">
        <w:t xml:space="preserve">The </w:t>
      </w:r>
      <w:r w:rsidR="0024025E">
        <w:t>checklist items contained within are intended for use in procurement of commercial scale lithium-ion BESS, although they may be used more generally for other BESS technologies.</w:t>
      </w:r>
      <w:r w:rsidR="009E721F">
        <w:t xml:space="preserve"> </w:t>
      </w:r>
      <w:r w:rsidR="008C16D5">
        <w:t>During the</w:t>
      </w:r>
      <w:r w:rsidR="009E721F">
        <w:t xml:space="preserve"> more technical portions of </w:t>
      </w:r>
      <w:r w:rsidR="004C6153">
        <w:t xml:space="preserve">BESS </w:t>
      </w:r>
      <w:r w:rsidR="009E721F">
        <w:t>project devel</w:t>
      </w:r>
      <w:r w:rsidR="004C6153">
        <w:t>opment</w:t>
      </w:r>
      <w:r w:rsidR="00E15FD3">
        <w:t>, a</w:t>
      </w:r>
      <w:r w:rsidR="008135C9">
        <w:t>gencies are encouraged to u</w:t>
      </w:r>
      <w:r w:rsidR="00E15FD3">
        <w:t>tilize</w:t>
      </w:r>
      <w:r w:rsidR="008135C9">
        <w:t xml:space="preserve"> FEMP’s </w:t>
      </w:r>
      <w:hyperlink r:id="rId11" w:history="1">
        <w:r w:rsidR="00002C77" w:rsidRPr="00522ABC">
          <w:rPr>
            <w:rStyle w:val="Hyperlink"/>
          </w:rPr>
          <w:t>BESS Technical Specifications</w:t>
        </w:r>
      </w:hyperlink>
      <w:r w:rsidR="00002C77">
        <w:t xml:space="preserve"> and </w:t>
      </w:r>
      <w:hyperlink r:id="rId12" w:history="1">
        <w:r w:rsidR="00002C77" w:rsidRPr="00002C77">
          <w:rPr>
            <w:rStyle w:val="Hyperlink"/>
          </w:rPr>
          <w:t>Distributed Energy Interconnection Checklist</w:t>
        </w:r>
      </w:hyperlink>
      <w:r w:rsidR="00002C77">
        <w:t>.</w:t>
      </w:r>
    </w:p>
    <w:p w14:paraId="5623BF34" w14:textId="35549EAD" w:rsidR="00D14358" w:rsidRDefault="00D14358" w:rsidP="00D14358"/>
    <w:p w14:paraId="7B665314" w14:textId="619B6AA1" w:rsidR="00AE5532" w:rsidRPr="005F4218" w:rsidRDefault="00695140" w:rsidP="005F4218">
      <w:pPr>
        <w:pStyle w:val="Heading2"/>
      </w:pPr>
      <w:bookmarkStart w:id="1" w:name="_Toc123213380"/>
      <w:r>
        <w:t>Abbreviations and Acronyms</w:t>
      </w:r>
    </w:p>
    <w:p w14:paraId="1F8E2F3D" w14:textId="77777777" w:rsidR="00AE5532" w:rsidRPr="00C34E4D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AC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alternating current</w:t>
      </w:r>
    </w:p>
    <w:p w14:paraId="2CB6EC23" w14:textId="77777777" w:rsidR="00AE5532" w:rsidRDefault="00AE5532" w:rsidP="005F4218">
      <w:pPr>
        <w:spacing w:before="120" w:after="0" w:line="240" w:lineRule="auto"/>
        <w:rPr>
          <w:rFonts w:cstheme="majorHAnsi"/>
        </w:rPr>
      </w:pPr>
      <w:r>
        <w:rPr>
          <w:rFonts w:cstheme="majorHAnsi"/>
        </w:rPr>
        <w:t>AHJ</w:t>
      </w:r>
      <w:r>
        <w:rPr>
          <w:rFonts w:cstheme="majorHAnsi"/>
        </w:rPr>
        <w:tab/>
      </w:r>
      <w:r>
        <w:rPr>
          <w:rFonts w:cstheme="majorHAnsi"/>
        </w:rPr>
        <w:tab/>
        <w:t>Authority Having Jurisdiction</w:t>
      </w:r>
    </w:p>
    <w:p w14:paraId="008DBE4E" w14:textId="77777777" w:rsidR="00AE5532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ANSI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American National Standards Institute</w:t>
      </w:r>
    </w:p>
    <w:p w14:paraId="675E6CD7" w14:textId="77777777" w:rsidR="00AE5532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BESS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battery energy storage system</w:t>
      </w:r>
    </w:p>
    <w:p w14:paraId="2C82519E" w14:textId="77777777" w:rsidR="00AE5532" w:rsidRDefault="00AE5532" w:rsidP="005F4218">
      <w:pPr>
        <w:spacing w:before="120" w:after="0" w:line="240" w:lineRule="auto"/>
        <w:rPr>
          <w:rFonts w:cstheme="majorHAnsi"/>
        </w:rPr>
      </w:pPr>
      <w:r w:rsidRPr="00C23438">
        <w:rPr>
          <w:rFonts w:cstheme="majorHAnsi"/>
        </w:rPr>
        <w:t>BMS</w:t>
      </w:r>
      <w:r w:rsidRPr="00C23438">
        <w:rPr>
          <w:rFonts w:cstheme="majorHAnsi"/>
        </w:rPr>
        <w:tab/>
      </w:r>
      <w:r w:rsidRPr="00C23438">
        <w:rPr>
          <w:rFonts w:cstheme="majorHAnsi"/>
        </w:rPr>
        <w:tab/>
      </w:r>
      <w:r>
        <w:rPr>
          <w:rFonts w:cstheme="majorHAnsi"/>
        </w:rPr>
        <w:t>b</w:t>
      </w:r>
      <w:r w:rsidRPr="00C23438">
        <w:rPr>
          <w:rFonts w:cstheme="majorHAnsi"/>
        </w:rPr>
        <w:t>attery management system</w:t>
      </w:r>
      <w:r>
        <w:rPr>
          <w:rFonts w:cstheme="majorHAnsi"/>
        </w:rPr>
        <w:t xml:space="preserve"> </w:t>
      </w:r>
    </w:p>
    <w:p w14:paraId="23B21004" w14:textId="5130B953" w:rsidR="00435C01" w:rsidRDefault="00435C01" w:rsidP="005F4218">
      <w:pPr>
        <w:spacing w:before="120" w:after="0" w:line="240" w:lineRule="auto"/>
        <w:rPr>
          <w:rFonts w:cstheme="majorHAnsi"/>
        </w:rPr>
      </w:pPr>
      <w:r>
        <w:rPr>
          <w:rFonts w:cstheme="majorHAnsi"/>
        </w:rPr>
        <w:t xml:space="preserve">FEMP                   Federal Energy Management Program </w:t>
      </w:r>
    </w:p>
    <w:p w14:paraId="78B7AE85" w14:textId="77777777" w:rsidR="00AE5532" w:rsidRPr="00C34E4D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IEEE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Institute of Electrical and Electronics Engineers</w:t>
      </w:r>
    </w:p>
    <w:p w14:paraId="39AF2B43" w14:textId="77777777" w:rsidR="00AE5532" w:rsidRPr="00C34E4D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kW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kilowatt</w:t>
      </w:r>
    </w:p>
    <w:p w14:paraId="101B886D" w14:textId="77777777" w:rsidR="00AE5532" w:rsidRPr="00C34E4D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kWh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kilowatt-hour</w:t>
      </w:r>
    </w:p>
    <w:p w14:paraId="0B4D8455" w14:textId="0E039545" w:rsidR="00AE5532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NEC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National Electrical Code</w:t>
      </w:r>
    </w:p>
    <w:p w14:paraId="3A822613" w14:textId="788E46B5" w:rsidR="00BE2B83" w:rsidRPr="00C34E4D" w:rsidRDefault="00BE2B83" w:rsidP="005F4218">
      <w:pPr>
        <w:spacing w:before="120" w:after="0" w:line="240" w:lineRule="auto"/>
        <w:rPr>
          <w:rFonts w:cstheme="majorHAnsi"/>
        </w:rPr>
      </w:pPr>
      <w:r>
        <w:rPr>
          <w:rFonts w:cstheme="majorHAnsi"/>
        </w:rPr>
        <w:t>NEPA</w:t>
      </w:r>
      <w:r>
        <w:rPr>
          <w:rFonts w:cstheme="majorHAnsi"/>
        </w:rPr>
        <w:tab/>
      </w:r>
      <w:r>
        <w:rPr>
          <w:rFonts w:cstheme="majorHAnsi"/>
        </w:rPr>
        <w:tab/>
        <w:t>National Environmental Policy Act</w:t>
      </w:r>
    </w:p>
    <w:p w14:paraId="201F8980" w14:textId="61409708" w:rsidR="00A77668" w:rsidRDefault="00AE5532" w:rsidP="005F4218">
      <w:pPr>
        <w:spacing w:before="120" w:after="0" w:line="240" w:lineRule="auto"/>
        <w:rPr>
          <w:rFonts w:cstheme="majorHAnsi"/>
        </w:rPr>
      </w:pPr>
      <w:r w:rsidRPr="00C34E4D">
        <w:rPr>
          <w:rFonts w:cstheme="majorHAnsi"/>
        </w:rPr>
        <w:t>UL</w:t>
      </w:r>
      <w:r w:rsidRPr="00C34E4D">
        <w:rPr>
          <w:rFonts w:cstheme="majorHAnsi"/>
        </w:rPr>
        <w:tab/>
      </w:r>
      <w:r w:rsidRPr="00C34E4D">
        <w:rPr>
          <w:rFonts w:cstheme="majorHAnsi"/>
        </w:rPr>
        <w:tab/>
        <w:t>Underwriters Laboratories</w:t>
      </w:r>
    </w:p>
    <w:p w14:paraId="6C4E2391" w14:textId="77777777" w:rsidR="005F4218" w:rsidRPr="00A77668" w:rsidRDefault="005F4218" w:rsidP="005F4218">
      <w:pPr>
        <w:spacing w:before="120" w:after="0" w:line="240" w:lineRule="auto"/>
        <w:rPr>
          <w:rFonts w:cstheme="majorHAnsi"/>
        </w:rPr>
      </w:pPr>
    </w:p>
    <w:p w14:paraId="32E60666" w14:textId="01E4CE84" w:rsidR="00D14358" w:rsidRDefault="00287241" w:rsidP="008135C9">
      <w:pPr>
        <w:pStyle w:val="Heading2"/>
      </w:pPr>
      <w:r w:rsidRPr="004363C3">
        <w:t>G</w:t>
      </w:r>
      <w:r w:rsidR="009673DD" w:rsidRPr="004363C3">
        <w:t>en</w:t>
      </w:r>
      <w:r w:rsidR="009673DD" w:rsidRPr="004D635E">
        <w:t>eral</w:t>
      </w:r>
      <w:r w:rsidR="009673DD" w:rsidRPr="004363C3">
        <w:t xml:space="preserve"> </w:t>
      </w:r>
      <w:r w:rsidR="00A040EC" w:rsidRPr="004363C3">
        <w:t xml:space="preserve">BESS </w:t>
      </w:r>
      <w:r w:rsidR="00573B5C">
        <w:t>R</w:t>
      </w:r>
      <w:r w:rsidR="00A040EC" w:rsidRPr="004363C3">
        <w:t>equ</w:t>
      </w:r>
      <w:r w:rsidR="009673DD" w:rsidRPr="004363C3">
        <w:t>irements</w:t>
      </w:r>
      <w:bookmarkEnd w:id="1"/>
      <w:r w:rsidR="00740F1B" w:rsidRPr="004363C3">
        <w:t xml:space="preserve"> </w:t>
      </w:r>
    </w:p>
    <w:bookmarkStart w:id="2" w:name="_Toc123213381"/>
    <w:p w14:paraId="7876D397" w14:textId="3E39A72C" w:rsidR="00AB4169" w:rsidRDefault="003529B7" w:rsidP="006139CA">
      <w:pPr>
        <w:pStyle w:val="Heading3"/>
      </w:pPr>
      <w:sdt>
        <w:sdtPr>
          <w:id w:val="3560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FF5">
            <w:rPr>
              <w:rFonts w:ascii="MS Gothic" w:eastAsia="MS Gothic" w:hAnsi="MS Gothic" w:hint="eastAsia"/>
            </w:rPr>
            <w:t>☐</w:t>
          </w:r>
        </w:sdtContent>
      </w:sdt>
      <w:r w:rsidR="006F1FF5">
        <w:t xml:space="preserve"> </w:t>
      </w:r>
      <w:r w:rsidR="00AB4169">
        <w:t xml:space="preserve">Ensure </w:t>
      </w:r>
      <w:r w:rsidR="000B28D9">
        <w:t xml:space="preserve">site staff </w:t>
      </w:r>
      <w:r w:rsidR="00573B5C">
        <w:t xml:space="preserve">and </w:t>
      </w:r>
      <w:r w:rsidR="00AB4169">
        <w:t xml:space="preserve">agency leadership </w:t>
      </w:r>
      <w:r w:rsidR="00DE1DDD">
        <w:t>buy-in</w:t>
      </w:r>
      <w:bookmarkEnd w:id="2"/>
      <w:r w:rsidR="00AB4169">
        <w:t xml:space="preserve"> </w:t>
      </w:r>
    </w:p>
    <w:p w14:paraId="1E275686" w14:textId="0A42395A" w:rsidR="00480495" w:rsidRPr="00480495" w:rsidRDefault="00480495" w:rsidP="00480495">
      <w:r>
        <w:t>Early</w:t>
      </w:r>
      <w:r w:rsidR="00573B5C">
        <w:t>-</w:t>
      </w:r>
      <w:r>
        <w:t>and</w:t>
      </w:r>
      <w:r w:rsidR="00573B5C">
        <w:t>-</w:t>
      </w:r>
      <w:r>
        <w:t>often coordination with</w:t>
      </w:r>
      <w:r w:rsidR="000B28D9">
        <w:t xml:space="preserve"> </w:t>
      </w:r>
      <w:r w:rsidR="00F643F9">
        <w:t xml:space="preserve">the </w:t>
      </w:r>
      <w:r w:rsidR="000B28D9">
        <w:t xml:space="preserve">site </w:t>
      </w:r>
      <w:r w:rsidR="00F643F9">
        <w:t xml:space="preserve">energy </w:t>
      </w:r>
      <w:r w:rsidR="000B28D9">
        <w:t>manager</w:t>
      </w:r>
      <w:r>
        <w:t xml:space="preserve">, agency leadership, </w:t>
      </w:r>
      <w:r w:rsidR="00065B17">
        <w:t xml:space="preserve">all relevant </w:t>
      </w:r>
      <w:r w:rsidR="0066343E">
        <w:t>stakeholders,</w:t>
      </w:r>
      <w:r w:rsidR="00275CE8">
        <w:t xml:space="preserve"> and </w:t>
      </w:r>
      <w:r w:rsidR="00065B17">
        <w:t xml:space="preserve">decision-makers, </w:t>
      </w:r>
      <w:r>
        <w:t xml:space="preserve">and </w:t>
      </w:r>
      <w:r w:rsidR="001851C0">
        <w:t>any</w:t>
      </w:r>
      <w:r>
        <w:t xml:space="preserve"> authorities having jurisdiction</w:t>
      </w:r>
      <w:r w:rsidR="00A9243A">
        <w:t xml:space="preserve"> (AHJs)</w:t>
      </w:r>
      <w:r>
        <w:t xml:space="preserve"> </w:t>
      </w:r>
      <w:r w:rsidR="001851C0">
        <w:t xml:space="preserve">is necessary to ensure there are no unknown barriers that </w:t>
      </w:r>
      <w:r w:rsidR="00CE3111">
        <w:t xml:space="preserve">may prevent the project from being successful. </w:t>
      </w:r>
      <w:r w:rsidR="009F75F2">
        <w:t xml:space="preserve">All parties should be made aware of the project, the proposed financing method(s), and any impacts </w:t>
      </w:r>
      <w:r w:rsidR="00786AB9">
        <w:t>the project may</w:t>
      </w:r>
      <w:r w:rsidR="009F75F2">
        <w:t xml:space="preserve"> have on the site</w:t>
      </w:r>
      <w:r w:rsidR="00786AB9">
        <w:t xml:space="preserve"> </w:t>
      </w:r>
      <w:r w:rsidR="00573B5C">
        <w:t>(</w:t>
      </w:r>
      <w:r w:rsidR="00786AB9">
        <w:t>i.e., reduced utility costs, added site resilience,</w:t>
      </w:r>
      <w:r w:rsidR="0011733A">
        <w:t xml:space="preserve"> required land use commitments, </w:t>
      </w:r>
      <w:r w:rsidR="0062421D">
        <w:t>etc.</w:t>
      </w:r>
      <w:r w:rsidR="00573B5C">
        <w:t>).</w:t>
      </w:r>
      <w:r w:rsidR="009F75F2">
        <w:t xml:space="preserve"> </w:t>
      </w:r>
    </w:p>
    <w:bookmarkStart w:id="3" w:name="_Toc123213382"/>
    <w:p w14:paraId="78E89601" w14:textId="41E8FD1C" w:rsidR="00A040EC" w:rsidRDefault="003529B7" w:rsidP="006139CA">
      <w:pPr>
        <w:pStyle w:val="Heading3"/>
      </w:pPr>
      <w:sdt>
        <w:sdtPr>
          <w:id w:val="-15633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5A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6139CA">
        <w:t>Confirm i</w:t>
      </w:r>
      <w:r w:rsidR="00F228E7">
        <w:t xml:space="preserve">ntended </w:t>
      </w:r>
      <w:r w:rsidR="00A040EC">
        <w:t>BESS us</w:t>
      </w:r>
      <w:r w:rsidR="006139CA">
        <w:t>e case</w:t>
      </w:r>
      <w:r w:rsidR="00436A5A">
        <w:t>s</w:t>
      </w:r>
      <w:r w:rsidR="006139CA">
        <w:t xml:space="preserve"> and site electricity requirements</w:t>
      </w:r>
      <w:bookmarkEnd w:id="3"/>
      <w:r w:rsidR="006139CA">
        <w:t xml:space="preserve"> </w:t>
      </w:r>
    </w:p>
    <w:p w14:paraId="068035AF" w14:textId="424D96F5" w:rsidR="00FA155B" w:rsidRDefault="00152541" w:rsidP="006139CA">
      <w:r>
        <w:t>B</w:t>
      </w:r>
      <w:r w:rsidR="00573B5C">
        <w:t>ESS</w:t>
      </w:r>
      <w:r>
        <w:t xml:space="preserve"> can be used </w:t>
      </w:r>
      <w:r w:rsidR="00F121B6">
        <w:t>in a variety of ways. Most commonly</w:t>
      </w:r>
      <w:r w:rsidR="00573B5C">
        <w:t>,</w:t>
      </w:r>
      <w:r w:rsidR="00F121B6">
        <w:t xml:space="preserve"> BESS are used in </w:t>
      </w:r>
      <w:r w:rsidR="003D623A">
        <w:t>grid</w:t>
      </w:r>
      <w:r w:rsidR="00D91929">
        <w:t xml:space="preserve"> electricity use time shifting</w:t>
      </w:r>
      <w:r w:rsidR="003D623A">
        <w:t>, peak electric</w:t>
      </w:r>
      <w:r w:rsidR="00FD1F26">
        <w:t>al</w:t>
      </w:r>
      <w:r w:rsidR="003D623A">
        <w:t xml:space="preserve"> </w:t>
      </w:r>
      <w:r w:rsidR="008514C4">
        <w:t>load</w:t>
      </w:r>
      <w:r w:rsidR="003D623A">
        <w:t xml:space="preserve"> shaving, </w:t>
      </w:r>
      <w:r w:rsidR="0099437B">
        <w:t>emergency backup power,</w:t>
      </w:r>
      <w:r w:rsidR="005B5823">
        <w:t xml:space="preserve"> power quality improvements</w:t>
      </w:r>
      <w:r w:rsidR="00867619">
        <w:t>,</w:t>
      </w:r>
      <w:r w:rsidR="0037002A" w:rsidRPr="0037002A">
        <w:t xml:space="preserve"> </w:t>
      </w:r>
      <w:r w:rsidR="00395A9B">
        <w:t>and</w:t>
      </w:r>
      <w:r w:rsidR="005B5823">
        <w:t xml:space="preserve"> </w:t>
      </w:r>
      <w:r w:rsidR="00395A9B" w:rsidRPr="00867619">
        <w:t>frequency or voltage regulation (sometimes in conjunction with wind or solar photovoltaic generation).</w:t>
      </w:r>
      <w:r w:rsidR="00395A9B">
        <w:t xml:space="preserve"> </w:t>
      </w:r>
      <w:r w:rsidR="005B5823">
        <w:t xml:space="preserve">BESS can be designed </w:t>
      </w:r>
      <w:r w:rsidR="007F656B">
        <w:t xml:space="preserve">for operation in two modes: </w:t>
      </w:r>
      <w:r w:rsidR="00176EAB">
        <w:t xml:space="preserve">(1) </w:t>
      </w:r>
      <w:r w:rsidR="005B5823">
        <w:t>grid</w:t>
      </w:r>
      <w:r w:rsidR="007F656B">
        <w:t xml:space="preserve"> tied</w:t>
      </w:r>
      <w:r w:rsidR="00573B5C">
        <w:t>,</w:t>
      </w:r>
      <w:r w:rsidR="005B5823">
        <w:t xml:space="preserve"> and </w:t>
      </w:r>
      <w:r w:rsidR="00176EAB">
        <w:t xml:space="preserve">(2) </w:t>
      </w:r>
      <w:r w:rsidR="002D1972">
        <w:t xml:space="preserve">islanded mode </w:t>
      </w:r>
      <w:r w:rsidR="00176EAB">
        <w:t>during</w:t>
      </w:r>
      <w:r w:rsidR="002C0193">
        <w:t xml:space="preserve"> grid power outages. When planning BESS use cases and </w:t>
      </w:r>
      <w:r w:rsidR="00A6513A">
        <w:t>operational modes, staff should understand the site’s</w:t>
      </w:r>
      <w:r w:rsidR="00FA155B">
        <w:t xml:space="preserve"> electricity</w:t>
      </w:r>
      <w:r w:rsidR="00A6513A">
        <w:t xml:space="preserve"> requirements</w:t>
      </w:r>
      <w:r w:rsidR="00FA155B">
        <w:t xml:space="preserve"> such as: </w:t>
      </w:r>
    </w:p>
    <w:p w14:paraId="38490D2C" w14:textId="5E34BC15" w:rsidR="00B16F48" w:rsidRDefault="00296369" w:rsidP="000B1203">
      <w:pPr>
        <w:pStyle w:val="ListParagraph"/>
        <w:numPr>
          <w:ilvl w:val="0"/>
          <w:numId w:val="14"/>
        </w:numPr>
      </w:pPr>
      <w:r>
        <w:t xml:space="preserve">Typical load profile including peak and average demand </w:t>
      </w:r>
    </w:p>
    <w:p w14:paraId="6A8A6BC8" w14:textId="067F80D7" w:rsidR="00296369" w:rsidRDefault="002819C8" w:rsidP="000B1203">
      <w:pPr>
        <w:pStyle w:val="ListParagraph"/>
        <w:numPr>
          <w:ilvl w:val="0"/>
          <w:numId w:val="14"/>
        </w:numPr>
      </w:pPr>
      <w:r>
        <w:t>Expected load for BESS to carry</w:t>
      </w:r>
    </w:p>
    <w:p w14:paraId="3334CF24" w14:textId="77777777" w:rsidR="00867619" w:rsidRDefault="00867619" w:rsidP="00867619">
      <w:pPr>
        <w:pStyle w:val="ListParagraph"/>
        <w:numPr>
          <w:ilvl w:val="0"/>
          <w:numId w:val="14"/>
        </w:numPr>
      </w:pPr>
      <w:r>
        <w:t xml:space="preserve">Minimum timeframe BESS must carry load </w:t>
      </w:r>
    </w:p>
    <w:p w14:paraId="68128373" w14:textId="77777777" w:rsidR="00D135D2" w:rsidRDefault="00D135D2" w:rsidP="00D135D2">
      <w:pPr>
        <w:pStyle w:val="ListParagraph"/>
        <w:numPr>
          <w:ilvl w:val="0"/>
          <w:numId w:val="14"/>
        </w:numPr>
      </w:pPr>
      <w:r>
        <w:t xml:space="preserve">Voltage and frequency of electricity supplied by BESS </w:t>
      </w:r>
    </w:p>
    <w:p w14:paraId="43779242" w14:textId="7A5C4D9D" w:rsidR="007E0C22" w:rsidRDefault="004A2B07" w:rsidP="000F109F">
      <w:r>
        <w:t>Th</w:t>
      </w:r>
      <w:r w:rsidR="00B30DA2">
        <w:t>is</w:t>
      </w:r>
      <w:r>
        <w:t xml:space="preserve"> information will assist the project development team in designing </w:t>
      </w:r>
      <w:r w:rsidR="00755BB9">
        <w:t xml:space="preserve">the system and determining the appropriate battery power, energy capacity, and storage duration. </w:t>
      </w:r>
    </w:p>
    <w:bookmarkStart w:id="4" w:name="_Toc123213383"/>
    <w:p w14:paraId="387C97B4" w14:textId="71E7A8E3" w:rsidR="00C45907" w:rsidRDefault="003529B7" w:rsidP="00C45907">
      <w:pPr>
        <w:pStyle w:val="Heading3"/>
      </w:pPr>
      <w:sdt>
        <w:sdtPr>
          <w:id w:val="201187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907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7B7A2D">
        <w:t>C</w:t>
      </w:r>
      <w:r w:rsidR="00C45907">
        <w:t>ompile a</w:t>
      </w:r>
      <w:r w:rsidR="007B7A2D">
        <w:t>ll</w:t>
      </w:r>
      <w:r w:rsidR="00C45907">
        <w:t xml:space="preserve"> existing feasibility studies, engineering studies, and facility condition reports</w:t>
      </w:r>
      <w:bookmarkEnd w:id="4"/>
      <w:r w:rsidR="00640B72">
        <w:t xml:space="preserve"> and prepare them for contractor use </w:t>
      </w:r>
    </w:p>
    <w:p w14:paraId="5CCEE155" w14:textId="37232728" w:rsidR="007D300E" w:rsidRDefault="000033C9" w:rsidP="00EB3E37">
      <w:r>
        <w:t>If available,</w:t>
      </w:r>
      <w:r w:rsidR="00AE7FF9">
        <w:t xml:space="preserve"> </w:t>
      </w:r>
      <w:r>
        <w:t>existing site utility</w:t>
      </w:r>
      <w:r w:rsidR="00AE7FF9">
        <w:t xml:space="preserve"> and facility information</w:t>
      </w:r>
      <w:r w:rsidR="00330084">
        <w:t xml:space="preserve"> can help expedite the project development phase. </w:t>
      </w:r>
      <w:r w:rsidR="00B353E6">
        <w:t xml:space="preserve">The </w:t>
      </w:r>
      <w:r w:rsidR="00DF2964">
        <w:t xml:space="preserve">contractor’s project development and design team will likely request </w:t>
      </w:r>
      <w:r w:rsidR="00D63235">
        <w:t xml:space="preserve">documents such as </w:t>
      </w:r>
      <w:r w:rsidR="004472BA">
        <w:t xml:space="preserve">as-built drawings, site </w:t>
      </w:r>
      <w:r w:rsidR="00EB33BF">
        <w:t>one-line</w:t>
      </w:r>
      <w:r w:rsidR="004472BA">
        <w:t xml:space="preserve"> diagrams, utility maps, </w:t>
      </w:r>
      <w:r w:rsidR="00C624FE">
        <w:t xml:space="preserve">and </w:t>
      </w:r>
      <w:r w:rsidR="00EB33BF">
        <w:t>previous</w:t>
      </w:r>
      <w:r w:rsidR="000D0B31">
        <w:t xml:space="preserve"> </w:t>
      </w:r>
      <w:r w:rsidR="00EB33BF">
        <w:t>energy audits</w:t>
      </w:r>
      <w:r w:rsidR="00AE7FF9">
        <w:t>.</w:t>
      </w:r>
      <w:r w:rsidR="00614A34">
        <w:t xml:space="preserve"> </w:t>
      </w:r>
      <w:r w:rsidR="00355447">
        <w:t xml:space="preserve">Ensure all documents provided to contractors are free of classified </w:t>
      </w:r>
      <w:r w:rsidR="00045B4E">
        <w:t xml:space="preserve">information. </w:t>
      </w:r>
      <w:r w:rsidR="00C45907">
        <w:t xml:space="preserve">All information provided within these reports </w:t>
      </w:r>
      <w:r w:rsidR="005B5D1E">
        <w:t>should</w:t>
      </w:r>
      <w:r w:rsidR="00C45907">
        <w:t xml:space="preserve"> be independently verified by the installing contractor. </w:t>
      </w:r>
    </w:p>
    <w:p w14:paraId="14A2346A" w14:textId="77777777" w:rsidR="003D5C9A" w:rsidRDefault="003529B7" w:rsidP="003D5C9A">
      <w:pPr>
        <w:pStyle w:val="Heading3"/>
      </w:pPr>
      <w:sdt>
        <w:sdtPr>
          <w:id w:val="211216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9A">
            <w:rPr>
              <w:rFonts w:ascii="MS Gothic" w:eastAsia="MS Gothic" w:hAnsi="MS Gothic" w:hint="eastAsia"/>
            </w:rPr>
            <w:t>☐</w:t>
          </w:r>
        </w:sdtContent>
      </w:sdt>
      <w:r w:rsidR="003D5C9A">
        <w:t xml:space="preserve"> Confirm BESS physical location and interconnection point</w:t>
      </w:r>
    </w:p>
    <w:p w14:paraId="2DC186B9" w14:textId="3316916C" w:rsidR="003D5C9A" w:rsidRDefault="003D5C9A" w:rsidP="003D5C9A">
      <w:r>
        <w:t xml:space="preserve">When locating a BESS, consider the utility interconnection point, site ownership, land availability and expected future uses (any site requirements for the space), site access requirements, and </w:t>
      </w:r>
      <w:r w:rsidR="00BE2B83">
        <w:t>National Environmental Policy Act (</w:t>
      </w:r>
      <w:r>
        <w:t>NEPA</w:t>
      </w:r>
      <w:r w:rsidR="00BE2B83">
        <w:t>)</w:t>
      </w:r>
      <w:r>
        <w:t xml:space="preserve"> evaluations. </w:t>
      </w:r>
    </w:p>
    <w:p w14:paraId="745A343B" w14:textId="77777777" w:rsidR="003D5C9A" w:rsidRDefault="003D5C9A" w:rsidP="003D5C9A">
      <w:pPr>
        <w:pStyle w:val="ListParagraph"/>
        <w:numPr>
          <w:ilvl w:val="0"/>
          <w:numId w:val="4"/>
        </w:numPr>
      </w:pPr>
      <w:r>
        <w:t xml:space="preserve">Coordinate with the local fire marshal for other fire safety considerations </w:t>
      </w:r>
    </w:p>
    <w:p w14:paraId="4392B125" w14:textId="0AC4E207" w:rsidR="003D5C9A" w:rsidRDefault="003D5C9A" w:rsidP="003D5C9A">
      <w:pPr>
        <w:pStyle w:val="ListParagraph"/>
        <w:numPr>
          <w:ilvl w:val="0"/>
          <w:numId w:val="4"/>
        </w:numPr>
      </w:pPr>
      <w:r>
        <w:t xml:space="preserve">It is typically not feasible to place lithium-ion BESS on roofs or in buildings </w:t>
      </w:r>
    </w:p>
    <w:p w14:paraId="641AFE59" w14:textId="5986D1F6" w:rsidR="003D5C9A" w:rsidRDefault="003D5C9A" w:rsidP="00392C7A">
      <w:pPr>
        <w:pStyle w:val="ListParagraph"/>
        <w:numPr>
          <w:ilvl w:val="0"/>
          <w:numId w:val="4"/>
        </w:numPr>
      </w:pPr>
      <w:r>
        <w:t xml:space="preserve">Consider the site’s 100-year flood plain and surge levels. </w:t>
      </w:r>
    </w:p>
    <w:bookmarkStart w:id="5" w:name="_Toc123213384"/>
    <w:p w14:paraId="3E1BDF7A" w14:textId="1307A802" w:rsidR="00CA3027" w:rsidRDefault="003529B7" w:rsidP="007D300E">
      <w:pPr>
        <w:pStyle w:val="Heading3"/>
      </w:pPr>
      <w:sdt>
        <w:sdtPr>
          <w:id w:val="-47491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00E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7D300E">
        <w:t xml:space="preserve">Identify all codes, standards, and regulations </w:t>
      </w:r>
      <w:r w:rsidR="006B721A">
        <w:t>required by the agency</w:t>
      </w:r>
      <w:r w:rsidR="00C624FE">
        <w:t xml:space="preserve">, </w:t>
      </w:r>
      <w:r w:rsidR="00CA5901">
        <w:t>site</w:t>
      </w:r>
      <w:r w:rsidR="00C624FE">
        <w:t>,</w:t>
      </w:r>
      <w:r w:rsidR="006B721A">
        <w:t xml:space="preserve"> and local </w:t>
      </w:r>
      <w:r w:rsidR="00CE4307">
        <w:t>authority having jurisdiction</w:t>
      </w:r>
      <w:bookmarkEnd w:id="5"/>
    </w:p>
    <w:p w14:paraId="71333D84" w14:textId="4E17D61A" w:rsidR="002F0BA3" w:rsidRDefault="002A594F" w:rsidP="002F0BA3">
      <w:r>
        <w:t>BESS components must comply with all codes and standards relevant to the installation and operation of energy storage equipment. All installed equipment must b</w:t>
      </w:r>
      <w:r w:rsidR="00C624FE">
        <w:t>e</w:t>
      </w:r>
      <w:r>
        <w:t xml:space="preserve"> tested and approved by the U</w:t>
      </w:r>
      <w:r w:rsidR="0053380E">
        <w:t xml:space="preserve">L or other nationally recognized testing facility. Batteries, enclosures, inverters, and balance of system components must be certified to comply with the latest version of the following: </w:t>
      </w:r>
      <w:r w:rsidR="002C04A6">
        <w:t xml:space="preserve"> </w:t>
      </w:r>
    </w:p>
    <w:p w14:paraId="4637CA32" w14:textId="7ECECF66" w:rsidR="0053380E" w:rsidRDefault="0053380E" w:rsidP="00522ABC">
      <w:pPr>
        <w:pStyle w:val="ListParagraph"/>
        <w:numPr>
          <w:ilvl w:val="0"/>
          <w:numId w:val="10"/>
        </w:numPr>
      </w:pPr>
      <w:r>
        <w:t>National Electric Code</w:t>
      </w:r>
      <w:r w:rsidR="00AA11BF">
        <w:t xml:space="preserve"> (NEC)</w:t>
      </w:r>
      <w:r w:rsidR="0029211D">
        <w:t>, including, but not limited to</w:t>
      </w:r>
      <w:r w:rsidR="0072156D">
        <w:t xml:space="preserve"> </w:t>
      </w:r>
      <w:r>
        <w:t>NFPA 855</w:t>
      </w:r>
      <w:r w:rsidR="00900494">
        <w:t>, “Standard for the Installation of Stationary Energy Storage Systems</w:t>
      </w:r>
      <w:r w:rsidR="00CE4307">
        <w:t>.</w:t>
      </w:r>
      <w:r w:rsidR="00900494">
        <w:t>”</w:t>
      </w:r>
    </w:p>
    <w:p w14:paraId="7CBEFEDF" w14:textId="77777777" w:rsidR="00FA704D" w:rsidRPr="00C34E4D" w:rsidRDefault="00FA704D" w:rsidP="00FA704D">
      <w:pPr>
        <w:pStyle w:val="ListParagraph"/>
        <w:numPr>
          <w:ilvl w:val="0"/>
          <w:numId w:val="10"/>
        </w:numPr>
        <w:spacing w:before="80" w:after="0" w:line="240" w:lineRule="auto"/>
        <w:contextualSpacing w:val="0"/>
        <w:rPr>
          <w:rFonts w:cstheme="majorHAnsi"/>
        </w:rPr>
      </w:pPr>
      <w:r w:rsidRPr="00C34E4D">
        <w:rPr>
          <w:rFonts w:cstheme="majorHAnsi"/>
        </w:rPr>
        <w:t>Battery Cell:</w:t>
      </w:r>
    </w:p>
    <w:p w14:paraId="4644A9A5" w14:textId="30F8D6A8" w:rsidR="00FA704D" w:rsidRPr="00992C2A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rPr>
          <w:rFonts w:asciiTheme="majorHAnsi" w:eastAsiaTheme="majorEastAsia" w:hAnsiTheme="majorHAnsi" w:cstheme="majorBidi"/>
        </w:rPr>
      </w:pPr>
      <w:r w:rsidRPr="43705EF6">
        <w:rPr>
          <w:rFonts w:cstheme="majorBidi"/>
        </w:rPr>
        <w:t>UL 1642 “Standard for Lithium Batteries</w:t>
      </w:r>
      <w:r w:rsidR="00CE4307">
        <w:rPr>
          <w:rFonts w:cstheme="majorBidi"/>
        </w:rPr>
        <w:t>.</w:t>
      </w:r>
      <w:r w:rsidRPr="00350502">
        <w:rPr>
          <w:rFonts w:eastAsiaTheme="minorEastAsia" w:cstheme="majorBidi"/>
        </w:rPr>
        <w:t xml:space="preserve">” </w:t>
      </w:r>
    </w:p>
    <w:p w14:paraId="532D09DD" w14:textId="77777777" w:rsidR="00FA704D" w:rsidRPr="00C34E4D" w:rsidRDefault="00FA704D" w:rsidP="00FA704D">
      <w:pPr>
        <w:pStyle w:val="ListParagraph"/>
        <w:numPr>
          <w:ilvl w:val="0"/>
          <w:numId w:val="10"/>
        </w:numPr>
        <w:spacing w:before="80" w:after="0" w:line="240" w:lineRule="auto"/>
        <w:contextualSpacing w:val="0"/>
        <w:rPr>
          <w:rFonts w:cstheme="majorHAnsi"/>
        </w:rPr>
      </w:pPr>
      <w:r w:rsidRPr="00C34E4D">
        <w:rPr>
          <w:rFonts w:cstheme="majorHAnsi"/>
        </w:rPr>
        <w:t>Battery Module:</w:t>
      </w:r>
    </w:p>
    <w:p w14:paraId="01E044D9" w14:textId="7506C15B" w:rsidR="00FA704D" w:rsidRPr="00EC3463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>UL 1973 “Batteries for Use in Light Electric Rail Applications and Stationary Applications</w:t>
      </w:r>
      <w:r w:rsidR="00CE4307">
        <w:rPr>
          <w:rFonts w:cstheme="majorBidi"/>
        </w:rPr>
        <w:t>.</w:t>
      </w:r>
      <w:r w:rsidRPr="43705EF6">
        <w:rPr>
          <w:rFonts w:cstheme="majorBidi"/>
        </w:rPr>
        <w:t xml:space="preserve">” </w:t>
      </w:r>
    </w:p>
    <w:p w14:paraId="13BDD8FB" w14:textId="77777777" w:rsidR="00FA704D" w:rsidRPr="00C34E4D" w:rsidRDefault="00FA704D" w:rsidP="00FA704D">
      <w:pPr>
        <w:pStyle w:val="ListParagraph"/>
        <w:numPr>
          <w:ilvl w:val="0"/>
          <w:numId w:val="10"/>
        </w:numPr>
        <w:spacing w:before="80" w:after="0" w:line="240" w:lineRule="auto"/>
        <w:contextualSpacing w:val="0"/>
        <w:rPr>
          <w:rFonts w:cstheme="majorHAnsi"/>
        </w:rPr>
      </w:pPr>
      <w:r>
        <w:rPr>
          <w:rFonts w:cstheme="majorHAnsi"/>
        </w:rPr>
        <w:t xml:space="preserve">Battery </w:t>
      </w:r>
      <w:r w:rsidRPr="00C34E4D">
        <w:rPr>
          <w:rFonts w:cstheme="majorHAnsi"/>
        </w:rPr>
        <w:t>System:</w:t>
      </w:r>
    </w:p>
    <w:p w14:paraId="7539C5BD" w14:textId="77777777" w:rsidR="00FA704D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 xml:space="preserve">UL 9540 “Energy Storage Systems and Equipment” </w:t>
      </w:r>
    </w:p>
    <w:p w14:paraId="4463C91D" w14:textId="41F8EF7F" w:rsidR="00FA704D" w:rsidRPr="00C34E4D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>UL 9540A “Test Method for Evaluating Thermal Runaway Fire Propagation in Battery Energy Storage Systems</w:t>
      </w:r>
      <w:r w:rsidR="00CE4307">
        <w:rPr>
          <w:rFonts w:cstheme="majorBidi"/>
        </w:rPr>
        <w:t>.</w:t>
      </w:r>
      <w:r w:rsidRPr="43705EF6">
        <w:rPr>
          <w:rFonts w:cstheme="majorBidi"/>
        </w:rPr>
        <w:t>”</w:t>
      </w:r>
    </w:p>
    <w:p w14:paraId="43273547" w14:textId="1E156C73" w:rsidR="00FA704D" w:rsidRPr="00C34E4D" w:rsidRDefault="00FA704D" w:rsidP="00FA704D">
      <w:pPr>
        <w:pStyle w:val="ListParagraph"/>
        <w:numPr>
          <w:ilvl w:val="0"/>
          <w:numId w:val="10"/>
        </w:numPr>
        <w:spacing w:before="80" w:after="0" w:line="240" w:lineRule="auto"/>
        <w:contextualSpacing w:val="0"/>
        <w:rPr>
          <w:rFonts w:cstheme="majorHAnsi"/>
        </w:rPr>
      </w:pPr>
      <w:r w:rsidRPr="00C34E4D">
        <w:rPr>
          <w:rFonts w:cstheme="majorHAnsi"/>
        </w:rPr>
        <w:t>Grid Interconnection</w:t>
      </w:r>
      <w:r>
        <w:rPr>
          <w:rFonts w:cstheme="majorHAnsi"/>
        </w:rPr>
        <w:t xml:space="preserve"> standards, as applicable to the project as a whole</w:t>
      </w:r>
      <w:r w:rsidR="00CE4307">
        <w:rPr>
          <w:rFonts w:cstheme="majorHAnsi"/>
        </w:rPr>
        <w:t>:</w:t>
      </w:r>
    </w:p>
    <w:p w14:paraId="5233B32B" w14:textId="208339B9" w:rsidR="00FA704D" w:rsidRPr="00C34E4D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>IEEE 1547</w:t>
      </w:r>
      <w:r w:rsidR="0090372A">
        <w:rPr>
          <w:rFonts w:cstheme="majorBidi"/>
        </w:rPr>
        <w:t>-2018</w:t>
      </w:r>
      <w:r w:rsidR="007078DE">
        <w:rPr>
          <w:rFonts w:cstheme="majorBidi"/>
        </w:rPr>
        <w:t xml:space="preserve"> “Standard for Interconnection and Interoperability of Distributed Energy Resources with Associated Electric Power Systems Interfaces</w:t>
      </w:r>
      <w:r w:rsidR="00BE2B83">
        <w:rPr>
          <w:rFonts w:cstheme="majorBidi"/>
        </w:rPr>
        <w:t>”</w:t>
      </w:r>
      <w:r w:rsidR="007078DE">
        <w:rPr>
          <w:rFonts w:cstheme="majorBidi"/>
        </w:rPr>
        <w:t xml:space="preserve"> </w:t>
      </w:r>
    </w:p>
    <w:p w14:paraId="246D5250" w14:textId="77777777" w:rsidR="00FA704D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 xml:space="preserve">UL 1741, “Standard for Static Inverters and Charge, Converters, Controllers and Interconnection System Equipment for </w:t>
      </w:r>
      <w:r>
        <w:rPr>
          <w:rFonts w:cstheme="majorBidi"/>
        </w:rPr>
        <w:t>U</w:t>
      </w:r>
      <w:r w:rsidRPr="43705EF6">
        <w:rPr>
          <w:rFonts w:cstheme="majorBidi"/>
        </w:rPr>
        <w:t>se with Distributed Energy Resources”</w:t>
      </w:r>
    </w:p>
    <w:p w14:paraId="10FB8ACD" w14:textId="115F5FA7" w:rsidR="00FA704D" w:rsidRPr="00C34E4D" w:rsidRDefault="00FA704D" w:rsidP="00FA704D">
      <w:pPr>
        <w:pStyle w:val="ListParagraph"/>
        <w:numPr>
          <w:ilvl w:val="1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>UL 62109-1 “Safety of power converters for use in photovoltaic power systems – Part 1: General requirements</w:t>
      </w:r>
      <w:r w:rsidR="00CE4307">
        <w:rPr>
          <w:rFonts w:cstheme="majorBidi"/>
        </w:rPr>
        <w:t>.</w:t>
      </w:r>
      <w:r w:rsidRPr="43705EF6">
        <w:rPr>
          <w:rFonts w:cstheme="majorBidi"/>
        </w:rPr>
        <w:t>”</w:t>
      </w:r>
    </w:p>
    <w:p w14:paraId="1D0895BE" w14:textId="3A062F40" w:rsidR="00FA704D" w:rsidRPr="00C34E4D" w:rsidRDefault="00FA704D" w:rsidP="001E4210">
      <w:pPr>
        <w:spacing w:before="80" w:after="0" w:line="240" w:lineRule="auto"/>
        <w:rPr>
          <w:rFonts w:cstheme="majorHAnsi"/>
        </w:rPr>
      </w:pPr>
      <w:r w:rsidRPr="00C34E4D">
        <w:rPr>
          <w:rFonts w:cstheme="majorHAnsi"/>
        </w:rPr>
        <w:t xml:space="preserve">Other codes and standards that </w:t>
      </w:r>
      <w:r w:rsidR="0072156D">
        <w:rPr>
          <w:rFonts w:cstheme="majorHAnsi"/>
        </w:rPr>
        <w:t>may</w:t>
      </w:r>
      <w:r w:rsidR="0072156D" w:rsidRPr="00C34E4D">
        <w:rPr>
          <w:rFonts w:cstheme="majorHAnsi"/>
        </w:rPr>
        <w:t xml:space="preserve"> </w:t>
      </w:r>
      <w:r w:rsidRPr="00C34E4D">
        <w:rPr>
          <w:rFonts w:cstheme="majorHAnsi"/>
        </w:rPr>
        <w:t xml:space="preserve">apply include: </w:t>
      </w:r>
    </w:p>
    <w:p w14:paraId="6D65677F" w14:textId="2DE60076" w:rsidR="00FA704D" w:rsidRPr="00EC3463" w:rsidRDefault="00FA704D" w:rsidP="001E4210">
      <w:pPr>
        <w:pStyle w:val="ListParagraph"/>
        <w:numPr>
          <w:ilvl w:val="0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>UN 38.3 “Certification for Lithium Batteries” (</w:t>
      </w:r>
      <w:r w:rsidR="00CE4307">
        <w:rPr>
          <w:rFonts w:cstheme="majorBidi"/>
        </w:rPr>
        <w:t>t</w:t>
      </w:r>
      <w:r w:rsidRPr="43705EF6">
        <w:rPr>
          <w:rFonts w:cstheme="majorBidi"/>
        </w:rPr>
        <w:t>ransportation)</w:t>
      </w:r>
    </w:p>
    <w:p w14:paraId="66406C4B" w14:textId="77777777" w:rsidR="00FA704D" w:rsidRPr="00C34E4D" w:rsidRDefault="00FA704D" w:rsidP="001E4210">
      <w:pPr>
        <w:pStyle w:val="ListParagraph"/>
        <w:numPr>
          <w:ilvl w:val="0"/>
          <w:numId w:val="10"/>
        </w:numPr>
        <w:spacing w:before="80" w:after="0" w:line="240" w:lineRule="auto"/>
        <w:contextualSpacing w:val="0"/>
        <w:rPr>
          <w:rFonts w:cstheme="majorBidi"/>
        </w:rPr>
      </w:pPr>
      <w:r w:rsidRPr="43705EF6">
        <w:rPr>
          <w:rFonts w:cstheme="majorBidi"/>
        </w:rPr>
        <w:t>ANSI C12.1 (electricity metering)</w:t>
      </w:r>
    </w:p>
    <w:p w14:paraId="78C660F7" w14:textId="751BF6E8" w:rsidR="00900494" w:rsidRDefault="00FA704D" w:rsidP="001E4210">
      <w:pPr>
        <w:pStyle w:val="ListParagraph"/>
        <w:numPr>
          <w:ilvl w:val="0"/>
          <w:numId w:val="10"/>
        </w:numPr>
        <w:spacing w:after="0" w:line="240" w:lineRule="auto"/>
        <w:rPr>
          <w:rFonts w:cstheme="majorBidi"/>
        </w:rPr>
      </w:pPr>
      <w:r w:rsidRPr="43705EF6">
        <w:rPr>
          <w:rFonts w:cstheme="majorBidi"/>
        </w:rPr>
        <w:t>IEEE 2030.2, Guide for the Interoperability of Energy Storage Systems Integrated with the Electric Power Infrastructure</w:t>
      </w:r>
      <w:r w:rsidR="00CE4307">
        <w:rPr>
          <w:rFonts w:cstheme="majorBidi"/>
        </w:rPr>
        <w:t>.</w:t>
      </w:r>
    </w:p>
    <w:p w14:paraId="4B22A8B1" w14:textId="77777777" w:rsidR="00FA704D" w:rsidRPr="00FA704D" w:rsidRDefault="00FA704D" w:rsidP="00FA704D">
      <w:pPr>
        <w:spacing w:after="0" w:line="240" w:lineRule="auto"/>
        <w:rPr>
          <w:rFonts w:cstheme="majorBidi"/>
        </w:rPr>
      </w:pPr>
    </w:p>
    <w:bookmarkStart w:id="6" w:name="_Toc123213385"/>
    <w:p w14:paraId="080038FD" w14:textId="7A892964" w:rsidR="00037724" w:rsidRPr="00BB5B30" w:rsidRDefault="003529B7" w:rsidP="00037724">
      <w:pPr>
        <w:pStyle w:val="Heading3"/>
      </w:pPr>
      <w:sdt>
        <w:sdtPr>
          <w:id w:val="3358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724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037724">
        <w:t xml:space="preserve">Define permitting </w:t>
      </w:r>
      <w:r w:rsidR="00CE4307">
        <w:t>and</w:t>
      </w:r>
      <w:r w:rsidR="00037724">
        <w:t xml:space="preserve"> licensing requirements </w:t>
      </w:r>
      <w:r w:rsidR="00CE4307">
        <w:t xml:space="preserve">for which </w:t>
      </w:r>
      <w:r w:rsidR="00037724">
        <w:t>the contractor will be responsible</w:t>
      </w:r>
      <w:bookmarkEnd w:id="6"/>
    </w:p>
    <w:p w14:paraId="7D19A81B" w14:textId="043B0DDA" w:rsidR="00037724" w:rsidRPr="00037724" w:rsidRDefault="000B7CCD" w:rsidP="00037724">
      <w:r>
        <w:t xml:space="preserve">The installing contractor </w:t>
      </w:r>
      <w:r w:rsidR="005C1041">
        <w:t>is</w:t>
      </w:r>
      <w:r>
        <w:t xml:space="preserve"> respo</w:t>
      </w:r>
      <w:r w:rsidR="00196E3F">
        <w:t xml:space="preserve">nsible for preparing all permits and licenses for the project, paying all fees associated with those permits and licenses, providing any supporting documentation needed </w:t>
      </w:r>
      <w:r w:rsidR="00773B31">
        <w:t xml:space="preserve">to obtain those permits and licenses, and acting as the primary liaison with local permitting and licensing agencies. </w:t>
      </w:r>
      <w:r w:rsidR="00E06625">
        <w:t xml:space="preserve">Site personnel are responsible for communicating to the </w:t>
      </w:r>
      <w:r w:rsidR="00A37D57">
        <w:t>contractor which permits and licenses are required to do the required work on</w:t>
      </w:r>
      <w:r w:rsidR="00CE4307">
        <w:t>-</w:t>
      </w:r>
      <w:r w:rsidR="00A37D57">
        <w:t>site</w:t>
      </w:r>
      <w:r w:rsidR="00CE4307">
        <w:t>,</w:t>
      </w:r>
      <w:r w:rsidR="00A37D57">
        <w:t xml:space="preserve"> such as l</w:t>
      </w:r>
      <w:r w:rsidR="00BD330F">
        <w:t xml:space="preserve">ocal electrical permits, building permits, trade licenses, etc. </w:t>
      </w:r>
    </w:p>
    <w:bookmarkStart w:id="7" w:name="_Toc123213388"/>
    <w:p w14:paraId="309D3DBA" w14:textId="1EB970FF" w:rsidR="009D6833" w:rsidRDefault="003529B7" w:rsidP="006139CA">
      <w:pPr>
        <w:pStyle w:val="Heading3"/>
      </w:pPr>
      <w:sdt>
        <w:sdtPr>
          <w:id w:val="135013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CA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DE32EB">
        <w:t>Confirm agency/site equipment w</w:t>
      </w:r>
      <w:r w:rsidR="009D6833">
        <w:t>arranty requirements</w:t>
      </w:r>
      <w:bookmarkEnd w:id="7"/>
      <w:r w:rsidR="009D6833">
        <w:t xml:space="preserve"> </w:t>
      </w:r>
    </w:p>
    <w:p w14:paraId="161BF4D7" w14:textId="1F441D08" w:rsidR="00BB5B30" w:rsidRDefault="00790071" w:rsidP="00BB5B30">
      <w:r>
        <w:t xml:space="preserve">Expected service life of BESS and associated equipment is 10 years. </w:t>
      </w:r>
      <w:r w:rsidR="00DE32EB">
        <w:t xml:space="preserve">FEMP recommends requiring </w:t>
      </w:r>
      <w:r w:rsidR="00CA3027">
        <w:t xml:space="preserve">a battery pack performance warranty of at least 10 years after commissioning, where the battery must retain at least 70% of its nominal energy capacity. FEMP also recommends requiring a full turnkey system warranty of at least </w:t>
      </w:r>
      <w:r w:rsidR="00D20973">
        <w:t>1</w:t>
      </w:r>
      <w:r w:rsidR="00CA3027">
        <w:t xml:space="preserve"> year, including a contractor maximum warranty claim response time of </w:t>
      </w:r>
      <w:r w:rsidR="00D20973">
        <w:t>3</w:t>
      </w:r>
      <w:r w:rsidR="00CA3027">
        <w:t xml:space="preserve"> days. </w:t>
      </w:r>
    </w:p>
    <w:bookmarkStart w:id="8" w:name="_Toc123213389"/>
    <w:p w14:paraId="20992C89" w14:textId="59D9FF99" w:rsidR="00436A5A" w:rsidRPr="00436A5A" w:rsidRDefault="003529B7" w:rsidP="00436A5A">
      <w:pPr>
        <w:pStyle w:val="Heading3"/>
      </w:pPr>
      <w:sdt>
        <w:sdtPr>
          <w:id w:val="-140999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B12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Investigate federal and local rebate </w:t>
      </w:r>
      <w:r w:rsidR="00D20973">
        <w:t>and</w:t>
      </w:r>
      <w:r w:rsidR="003D5B12">
        <w:t xml:space="preserve"> incentive programs</w:t>
      </w:r>
      <w:bookmarkEnd w:id="8"/>
      <w:r w:rsidR="00B704DB">
        <w:t xml:space="preserve">, and third-party owned tax incentives </w:t>
      </w:r>
      <w:r w:rsidR="003D5B12">
        <w:t xml:space="preserve"> </w:t>
      </w:r>
    </w:p>
    <w:p w14:paraId="0E03261F" w14:textId="6AA2D1BB" w:rsidR="00DA1003" w:rsidRDefault="009C3F1E" w:rsidP="00DA1003">
      <w:r>
        <w:t xml:space="preserve">Local and federal </w:t>
      </w:r>
      <w:r w:rsidR="007C038C">
        <w:t xml:space="preserve">rebates </w:t>
      </w:r>
      <w:r w:rsidR="00D20973">
        <w:t>and</w:t>
      </w:r>
      <w:r w:rsidR="007C038C">
        <w:t xml:space="preserve"> incentives </w:t>
      </w:r>
      <w:r w:rsidR="009505AD">
        <w:t>m</w:t>
      </w:r>
      <w:r w:rsidR="007C038C">
        <w:t>ay be available for a BESS project. Consult with your local utility,</w:t>
      </w:r>
      <w:r w:rsidR="008D764C">
        <w:t xml:space="preserve"> potential installing contractors and the</w:t>
      </w:r>
      <w:r w:rsidR="005D0DEB">
        <w:t xml:space="preserve"> </w:t>
      </w:r>
      <w:hyperlink r:id="rId13" w:history="1">
        <w:r w:rsidR="005D0DEB" w:rsidRPr="005D0DEB">
          <w:rPr>
            <w:rStyle w:val="Hyperlink"/>
          </w:rPr>
          <w:t>Database of State Incentives for Renewables &amp; Efficiency (DSIRE)</w:t>
        </w:r>
      </w:hyperlink>
      <w:r w:rsidR="00C5665C">
        <w:t>.</w:t>
      </w:r>
      <w:r w:rsidR="008D764C">
        <w:t xml:space="preserve"> </w:t>
      </w:r>
      <w:r w:rsidR="00550663">
        <w:t xml:space="preserve">The contractor </w:t>
      </w:r>
      <w:r w:rsidR="00BC6DB5">
        <w:t>is</w:t>
      </w:r>
      <w:r w:rsidR="00550663">
        <w:t xml:space="preserve"> responsible for completing and submitting all documentation required to qualify for any available rebate or incentive program. </w:t>
      </w:r>
    </w:p>
    <w:p w14:paraId="22C4F810" w14:textId="4CBEE582" w:rsidR="00175C36" w:rsidRDefault="00B704DB" w:rsidP="00175C36">
      <w:r>
        <w:t xml:space="preserve">Depending on procurement method, if the equipment is owned by the installing contractor, there may </w:t>
      </w:r>
      <w:hyperlink r:id="rId14" w:history="1">
        <w:r w:rsidRPr="00407B55">
          <w:rPr>
            <w:rStyle w:val="Hyperlink"/>
          </w:rPr>
          <w:t>tax incentives</w:t>
        </w:r>
      </w:hyperlink>
      <w:r>
        <w:t xml:space="preserve"> available. The cost savings generated by these tax incentives are often passed on to the customer, making the project more economically attractive. </w:t>
      </w:r>
      <w:bookmarkStart w:id="9" w:name="_Toc123213390"/>
    </w:p>
    <w:p w14:paraId="4F677FF3" w14:textId="77777777" w:rsidR="00175C36" w:rsidRDefault="00175C36" w:rsidP="00175C36"/>
    <w:p w14:paraId="45C1BDFC" w14:textId="4A290581" w:rsidR="009673DD" w:rsidRDefault="009673DD" w:rsidP="008135C9">
      <w:pPr>
        <w:pStyle w:val="Heading2"/>
      </w:pPr>
      <w:r>
        <w:t xml:space="preserve">Engineering </w:t>
      </w:r>
      <w:r w:rsidR="00D20973">
        <w:t>and</w:t>
      </w:r>
      <w:r>
        <w:t xml:space="preserve"> </w:t>
      </w:r>
      <w:r w:rsidR="00D20973">
        <w:t>C</w:t>
      </w:r>
      <w:r>
        <w:t>ons</w:t>
      </w:r>
      <w:r w:rsidRPr="006D32A6">
        <w:t>truction</w:t>
      </w:r>
      <w:r w:rsidR="00485AF9">
        <w:t xml:space="preserve"> </w:t>
      </w:r>
      <w:r w:rsidR="00D20973">
        <w:t>C</w:t>
      </w:r>
      <w:r w:rsidR="006B721A">
        <w:t>onsiderations</w:t>
      </w:r>
      <w:bookmarkEnd w:id="9"/>
    </w:p>
    <w:bookmarkStart w:id="10" w:name="_Toc123213391"/>
    <w:p w14:paraId="5F9D6F2C" w14:textId="1C9365ED" w:rsidR="002A7EF5" w:rsidRDefault="003529B7" w:rsidP="00287241">
      <w:pPr>
        <w:pStyle w:val="Heading3"/>
      </w:pPr>
      <w:sdt>
        <w:sdtPr>
          <w:id w:val="139669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241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762B1D">
        <w:t xml:space="preserve">Ensure that </w:t>
      </w:r>
      <w:r w:rsidR="00D20973">
        <w:t>the request for proposals</w:t>
      </w:r>
      <w:r w:rsidR="00762B1D">
        <w:t xml:space="preserve"> </w:t>
      </w:r>
      <w:r w:rsidR="00F70AF5">
        <w:t>include</w:t>
      </w:r>
      <w:r w:rsidR="00762B1D">
        <w:t>s</w:t>
      </w:r>
      <w:r w:rsidR="00F70AF5">
        <w:t xml:space="preserve"> thermal management systems for the enclosure housing the BESS as well the battery </w:t>
      </w:r>
      <w:r w:rsidR="00436343">
        <w:t>modules</w:t>
      </w:r>
      <w:r w:rsidR="00F70AF5">
        <w:t xml:space="preserve"> and rack</w:t>
      </w:r>
      <w:bookmarkEnd w:id="10"/>
      <w:r w:rsidR="00F70AF5">
        <w:t xml:space="preserve"> </w:t>
      </w:r>
    </w:p>
    <w:p w14:paraId="61E14347" w14:textId="0530FB1C" w:rsidR="00BD330F" w:rsidRPr="00BD330F" w:rsidRDefault="00E634D9" w:rsidP="00BD330F">
      <w:r>
        <w:t xml:space="preserve">Consider the </w:t>
      </w:r>
      <w:r w:rsidR="00395FC5">
        <w:t>the</w:t>
      </w:r>
      <w:r w:rsidR="008915C8">
        <w:t>rmal management systems and operational strategies required to</w:t>
      </w:r>
      <w:r w:rsidR="008F6922">
        <w:t xml:space="preserve"> ensure</w:t>
      </w:r>
      <w:r w:rsidR="008915C8">
        <w:t xml:space="preserve"> </w:t>
      </w:r>
      <w:r w:rsidR="00BC6DB5">
        <w:t xml:space="preserve">that </w:t>
      </w:r>
      <w:r w:rsidR="008915C8">
        <w:t>BESS and inverter temperatures</w:t>
      </w:r>
      <w:r w:rsidR="008F6922">
        <w:t xml:space="preserve"> stay within the manufacturer’s</w:t>
      </w:r>
      <w:r w:rsidR="005945CC">
        <w:t xml:space="preserve"> specified limits</w:t>
      </w:r>
      <w:r w:rsidR="008915C8">
        <w:t xml:space="preserve">. </w:t>
      </w:r>
    </w:p>
    <w:bookmarkStart w:id="11" w:name="_Toc123213392"/>
    <w:p w14:paraId="24CB8978" w14:textId="0D8913B7" w:rsidR="003C67BB" w:rsidRDefault="003529B7" w:rsidP="00762B1D">
      <w:pPr>
        <w:pStyle w:val="Heading3"/>
      </w:pPr>
      <w:sdt>
        <w:sdtPr>
          <w:id w:val="28346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084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542EFD">
        <w:t>Specify g</w:t>
      </w:r>
      <w:r w:rsidR="00C12B2A">
        <w:t xml:space="preserve">rounding, </w:t>
      </w:r>
      <w:r w:rsidR="00631268">
        <w:t>structural</w:t>
      </w:r>
      <w:r w:rsidR="00C12B2A">
        <w:t>,</w:t>
      </w:r>
      <w:r w:rsidR="00631268">
        <w:t xml:space="preserve"> and water intrusion</w:t>
      </w:r>
      <w:r w:rsidR="00542EFD">
        <w:t xml:space="preserve"> requirements</w:t>
      </w:r>
      <w:bookmarkEnd w:id="11"/>
      <w:r w:rsidR="00542EFD">
        <w:t xml:space="preserve"> </w:t>
      </w:r>
    </w:p>
    <w:p w14:paraId="159748D3" w14:textId="30CA4A76" w:rsidR="00EB5FB7" w:rsidRDefault="00BC6DB5" w:rsidP="003C67BB">
      <w:r>
        <w:t>The s</w:t>
      </w:r>
      <w:r w:rsidR="003360C1">
        <w:t xml:space="preserve">ystem </w:t>
      </w:r>
      <w:r>
        <w:t xml:space="preserve">must </w:t>
      </w:r>
      <w:r w:rsidR="003360C1">
        <w:t>be adequate for g</w:t>
      </w:r>
      <w:r w:rsidR="003C67BB">
        <w:t xml:space="preserve">round fault detection </w:t>
      </w:r>
      <w:r w:rsidR="00D20973">
        <w:t>and</w:t>
      </w:r>
      <w:r w:rsidR="003C67BB">
        <w:t xml:space="preserve"> clearing.</w:t>
      </w:r>
      <w:r>
        <w:t xml:space="preserve"> </w:t>
      </w:r>
      <w:r w:rsidR="005C1041">
        <w:t xml:space="preserve">Mount </w:t>
      </w:r>
      <w:r w:rsidR="003C67BB">
        <w:t>BESS</w:t>
      </w:r>
      <w:r w:rsidR="000A34D4">
        <w:t xml:space="preserve"> and equipment</w:t>
      </w:r>
      <w:r w:rsidR="003C67BB">
        <w:t xml:space="preserve"> on appropriate concrete pad</w:t>
      </w:r>
      <w:r w:rsidR="000A34D4">
        <w:t>s</w:t>
      </w:r>
      <w:r w:rsidR="003C67BB">
        <w:t>/foundation</w:t>
      </w:r>
      <w:r w:rsidR="000A34D4">
        <w:t>s</w:t>
      </w:r>
      <w:r w:rsidR="003C67BB">
        <w:t>.</w:t>
      </w:r>
      <w:r w:rsidR="00C675AB">
        <w:t xml:space="preserve"> Other considerations include </w:t>
      </w:r>
      <w:r w:rsidR="003C67BB">
        <w:t>geotechnical</w:t>
      </w:r>
      <w:r w:rsidR="00C675AB">
        <w:t xml:space="preserve"> requirements</w:t>
      </w:r>
      <w:r w:rsidR="0095692D">
        <w:t>, c</w:t>
      </w:r>
      <w:r w:rsidR="003C67BB">
        <w:t xml:space="preserve">onduit </w:t>
      </w:r>
      <w:r w:rsidR="00190AB6">
        <w:t>specifications</w:t>
      </w:r>
      <w:r w:rsidR="00D047CA">
        <w:t>,</w:t>
      </w:r>
      <w:r w:rsidR="00190AB6">
        <w:t xml:space="preserve"> </w:t>
      </w:r>
      <w:r w:rsidR="0095692D">
        <w:t xml:space="preserve">and </w:t>
      </w:r>
      <w:r w:rsidR="000A192C">
        <w:t xml:space="preserve">prevention of </w:t>
      </w:r>
      <w:r w:rsidR="0095692D">
        <w:t xml:space="preserve">water </w:t>
      </w:r>
      <w:r w:rsidR="0066246B">
        <w:t>intrusion</w:t>
      </w:r>
      <w:r w:rsidR="003C67BB">
        <w:t xml:space="preserve">. </w:t>
      </w:r>
    </w:p>
    <w:bookmarkStart w:id="12" w:name="_Toc123213393"/>
    <w:p w14:paraId="5DCBD064" w14:textId="3F609884" w:rsidR="00790071" w:rsidRDefault="003529B7" w:rsidP="00790071">
      <w:pPr>
        <w:pStyle w:val="Heading3"/>
      </w:pPr>
      <w:sdt>
        <w:sdtPr>
          <w:id w:val="190849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B12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BC6DB5">
        <w:t xml:space="preserve">Ensure that </w:t>
      </w:r>
      <w:r w:rsidR="00AE1ADA">
        <w:t>BESS</w:t>
      </w:r>
      <w:r w:rsidR="0042221A">
        <w:t xml:space="preserve"> include</w:t>
      </w:r>
      <w:r w:rsidR="00BC6DB5">
        <w:t>s</w:t>
      </w:r>
      <w:r w:rsidR="0042221A">
        <w:t xml:space="preserve"> data acquisition and monitoring capabilities</w:t>
      </w:r>
      <w:bookmarkEnd w:id="12"/>
      <w:r w:rsidR="0042221A">
        <w:t xml:space="preserve"> </w:t>
      </w:r>
    </w:p>
    <w:p w14:paraId="6EDCA163" w14:textId="25A92335" w:rsidR="00D611B1" w:rsidRDefault="007D4C36" w:rsidP="00D611B1">
      <w:r>
        <w:t xml:space="preserve">Ensure that the BESS has a </w:t>
      </w:r>
      <w:r w:rsidR="00D611B1">
        <w:t xml:space="preserve">web-based monitoring system </w:t>
      </w:r>
      <w:r>
        <w:t xml:space="preserve">that </w:t>
      </w:r>
      <w:r w:rsidR="00D611B1">
        <w:t>report</w:t>
      </w:r>
      <w:r>
        <w:t>s</w:t>
      </w:r>
      <w:r w:rsidR="00D611B1">
        <w:t xml:space="preserve"> on actual system performance and estimated future performance. </w:t>
      </w:r>
      <w:r w:rsidR="00DA3CE4">
        <w:t>Key metrics</w:t>
      </w:r>
      <w:r>
        <w:t xml:space="preserve"> include apparent power (kVA) per phase, real power (kW), and voltage per phase, BESS state of charge, and ambient temperature. The system should include </w:t>
      </w:r>
      <w:r w:rsidR="00F1556F">
        <w:t>a Human-Machine Interface</w:t>
      </w:r>
      <w:r w:rsidR="008115FA">
        <w:t xml:space="preserve"> to allow </w:t>
      </w:r>
      <w:r w:rsidR="00C32B34">
        <w:t xml:space="preserve">users to interact </w:t>
      </w:r>
      <w:r w:rsidR="00D611B1">
        <w:t xml:space="preserve">with the </w:t>
      </w:r>
      <w:r w:rsidR="003C2B72">
        <w:t>B</w:t>
      </w:r>
      <w:r w:rsidR="0045773B">
        <w:t>MS</w:t>
      </w:r>
      <w:r w:rsidR="00C32B34">
        <w:t>.</w:t>
      </w:r>
    </w:p>
    <w:bookmarkStart w:id="13" w:name="_Toc123213394"/>
    <w:p w14:paraId="51DBF6D8" w14:textId="40C290B4" w:rsidR="00AE1ADA" w:rsidRDefault="003529B7" w:rsidP="00AE1ADA">
      <w:pPr>
        <w:pStyle w:val="Heading3"/>
      </w:pPr>
      <w:sdt>
        <w:sdtPr>
          <w:id w:val="2732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1A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AE1ADA">
        <w:t>Review and understand BESS safety concerns and risk mitigation methods</w:t>
      </w:r>
      <w:bookmarkEnd w:id="13"/>
      <w:r w:rsidR="00AE1ADA">
        <w:t xml:space="preserve"> </w:t>
      </w:r>
    </w:p>
    <w:p w14:paraId="733ED9B4" w14:textId="0B8C8F55" w:rsidR="00AE1ADA" w:rsidRDefault="007D7207" w:rsidP="00F4446A">
      <w:r>
        <w:t>Data acquisition</w:t>
      </w:r>
      <w:r w:rsidR="00F4446A">
        <w:t xml:space="preserve"> system</w:t>
      </w:r>
      <w:r>
        <w:t xml:space="preserve"> alarms </w:t>
      </w:r>
      <w:r w:rsidR="00C32B34">
        <w:t xml:space="preserve">should </w:t>
      </w:r>
      <w:r>
        <w:t>include vis</w:t>
      </w:r>
      <w:r w:rsidR="00D35BCF">
        <w:t>ible</w:t>
      </w:r>
      <w:r>
        <w:t xml:space="preserve"> and audible</w:t>
      </w:r>
      <w:r w:rsidR="00D35BCF">
        <w:t xml:space="preserve"> </w:t>
      </w:r>
      <w:r w:rsidR="00176334">
        <w:t>on-site</w:t>
      </w:r>
      <w:r>
        <w:t xml:space="preserve"> alarms </w:t>
      </w:r>
      <w:r w:rsidR="00E70E1A">
        <w:t>when</w:t>
      </w:r>
      <w:r>
        <w:t xml:space="preserve"> potential safety hazards are identified, notification when preventive maintenance is required, and system</w:t>
      </w:r>
      <w:r w:rsidR="00D20973">
        <w:t>-</w:t>
      </w:r>
      <w:r>
        <w:t>level alerts</w:t>
      </w:r>
      <w:r w:rsidR="00C32B34">
        <w:t>.</w:t>
      </w:r>
      <w:r>
        <w:t xml:space="preserve"> </w:t>
      </w:r>
      <w:r w:rsidR="00C32B34">
        <w:t xml:space="preserve">Consider </w:t>
      </w:r>
      <w:r w:rsidR="00550249">
        <w:t>perform</w:t>
      </w:r>
      <w:r w:rsidR="00C32B34">
        <w:t>ing</w:t>
      </w:r>
      <w:r w:rsidR="00550249">
        <w:t xml:space="preserve"> arc flash and coordination studies to ensure system safety during all modes of operation.</w:t>
      </w:r>
    </w:p>
    <w:bookmarkStart w:id="14" w:name="_Toc123213395"/>
    <w:p w14:paraId="701C7800" w14:textId="2246886B" w:rsidR="00287241" w:rsidRDefault="003529B7" w:rsidP="00436A5A">
      <w:pPr>
        <w:pStyle w:val="Heading3"/>
      </w:pPr>
      <w:sdt>
        <w:sdtPr>
          <w:id w:val="-9093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43">
            <w:rPr>
              <w:rFonts w:ascii="MS Gothic" w:eastAsia="MS Gothic" w:hAnsi="MS Gothic" w:hint="eastAsia"/>
            </w:rPr>
            <w:t>☐</w:t>
          </w:r>
        </w:sdtContent>
      </w:sdt>
      <w:r w:rsidR="00436343">
        <w:t xml:space="preserve"> </w:t>
      </w:r>
      <w:r w:rsidR="00014EDF">
        <w:t>Review f</w:t>
      </w:r>
      <w:r w:rsidR="00436A5A">
        <w:t>ire safety</w:t>
      </w:r>
      <w:r w:rsidR="00014EDF">
        <w:t xml:space="preserve"> standards</w:t>
      </w:r>
      <w:r w:rsidR="00427040">
        <w:t xml:space="preserve"> and</w:t>
      </w:r>
      <w:r w:rsidR="00436A5A">
        <w:t xml:space="preserve"> </w:t>
      </w:r>
      <w:r w:rsidR="00014EDF">
        <w:t xml:space="preserve">ensure appropriate </w:t>
      </w:r>
      <w:r w:rsidR="00436A5A">
        <w:t>fire marshal coordination</w:t>
      </w:r>
      <w:bookmarkEnd w:id="14"/>
      <w:r w:rsidR="00436A5A">
        <w:t xml:space="preserve"> </w:t>
      </w:r>
    </w:p>
    <w:p w14:paraId="69E99AE6" w14:textId="3AC9DF54" w:rsidR="00945F2C" w:rsidRPr="0048632F" w:rsidRDefault="00945F2C" w:rsidP="00945F2C">
      <w:r>
        <w:t xml:space="preserve">Fire detection </w:t>
      </w:r>
      <w:r w:rsidR="00D20973">
        <w:t>and</w:t>
      </w:r>
      <w:r>
        <w:t xml:space="preserve"> suppression syste</w:t>
      </w:r>
      <w:r w:rsidR="00427040">
        <w:t>m</w:t>
      </w:r>
      <w:r w:rsidR="001E5D9A">
        <w:t xml:space="preserve"> submittals </w:t>
      </w:r>
      <w:r w:rsidR="00BC6DB5">
        <w:t>mu</w:t>
      </w:r>
      <w:r w:rsidR="001E5D9A">
        <w:t>s</w:t>
      </w:r>
      <w:r w:rsidR="00BC6DB5">
        <w:t>t</w:t>
      </w:r>
      <w:r w:rsidR="001E5D9A">
        <w:t xml:space="preserve"> be reviewed and approved by the local fire marshal and</w:t>
      </w:r>
      <w:r w:rsidR="00427040">
        <w:t xml:space="preserve"> installed in accordance with </w:t>
      </w:r>
      <w:r w:rsidR="0003089B">
        <w:t xml:space="preserve">national </w:t>
      </w:r>
      <w:r w:rsidR="00D20973">
        <w:t>and</w:t>
      </w:r>
      <w:r w:rsidR="0003089B">
        <w:t xml:space="preserve"> </w:t>
      </w:r>
      <w:r w:rsidR="00427040">
        <w:t>local fi</w:t>
      </w:r>
      <w:r w:rsidR="00805F3B">
        <w:t>re</w:t>
      </w:r>
      <w:r w:rsidR="00427040">
        <w:t xml:space="preserve"> </w:t>
      </w:r>
      <w:r w:rsidR="00B8286E">
        <w:t xml:space="preserve">safety </w:t>
      </w:r>
      <w:r w:rsidR="00427040">
        <w:t>codes</w:t>
      </w:r>
      <w:r w:rsidR="0003089B">
        <w:t>.</w:t>
      </w:r>
      <w:r w:rsidR="0048632F">
        <w:t xml:space="preserve"> Early coordination with the local fire marshal can help ensure that the installing contractor is aware of all site fire safety requirements</w:t>
      </w:r>
      <w:r w:rsidR="00EA6175">
        <w:t xml:space="preserve"> and develops the project accordingly</w:t>
      </w:r>
      <w:r w:rsidR="0048632F">
        <w:t>.</w:t>
      </w:r>
      <w:r w:rsidR="00B8286E">
        <w:t xml:space="preserve"> </w:t>
      </w:r>
    </w:p>
    <w:bookmarkStart w:id="15" w:name="_Toc123213396"/>
    <w:p w14:paraId="4F8405D5" w14:textId="584B7D88" w:rsidR="00436A5A" w:rsidRDefault="003529B7" w:rsidP="00436343">
      <w:pPr>
        <w:pStyle w:val="Heading3"/>
      </w:pPr>
      <w:sdt>
        <w:sdtPr>
          <w:id w:val="20029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69F">
            <w:rPr>
              <w:rFonts w:ascii="MS Gothic" w:eastAsia="MS Gothic" w:hAnsi="MS Gothic" w:hint="eastAsia"/>
            </w:rPr>
            <w:t>☐</w:t>
          </w:r>
        </w:sdtContent>
      </w:sdt>
      <w:r w:rsidR="0096769F">
        <w:t xml:space="preserve"> </w:t>
      </w:r>
      <w:r w:rsidR="00014EDF">
        <w:t>Consider agency c</w:t>
      </w:r>
      <w:r w:rsidR="00436343">
        <w:t xml:space="preserve">ybersecurity requirements </w:t>
      </w:r>
      <w:r w:rsidR="00014EDF">
        <w:t>(R</w:t>
      </w:r>
      <w:r w:rsidR="00A2521A">
        <w:t xml:space="preserve">isk </w:t>
      </w:r>
      <w:r w:rsidR="00014EDF">
        <w:t>M</w:t>
      </w:r>
      <w:r w:rsidR="00A2521A">
        <w:t xml:space="preserve">anagement </w:t>
      </w:r>
      <w:r w:rsidR="00014EDF">
        <w:t>F</w:t>
      </w:r>
      <w:r w:rsidR="00A2521A">
        <w:t>ramework</w:t>
      </w:r>
      <w:r w:rsidR="00014EDF">
        <w:t xml:space="preserve"> process, </w:t>
      </w:r>
      <w:r w:rsidR="00436343">
        <w:t>A</w:t>
      </w:r>
      <w:r w:rsidR="00A2521A">
        <w:t xml:space="preserve">uthority to </w:t>
      </w:r>
      <w:r w:rsidR="00436343">
        <w:t>C</w:t>
      </w:r>
      <w:r w:rsidR="00A2521A">
        <w:t>onnect</w:t>
      </w:r>
      <w:r w:rsidR="00436343">
        <w:t>, A</w:t>
      </w:r>
      <w:r w:rsidR="00A2521A">
        <w:t xml:space="preserve">uthority to </w:t>
      </w:r>
      <w:r w:rsidR="00436343">
        <w:t>O</w:t>
      </w:r>
      <w:r w:rsidR="00A2521A">
        <w:t>perate</w:t>
      </w:r>
      <w:r w:rsidR="00014EDF">
        <w:t xml:space="preserve">, etc.) </w:t>
      </w:r>
      <w:r w:rsidR="00436343">
        <w:t xml:space="preserve"> </w:t>
      </w:r>
      <w:bookmarkEnd w:id="15"/>
    </w:p>
    <w:p w14:paraId="6EF453CE" w14:textId="0B0BB203" w:rsidR="00D67C1D" w:rsidRDefault="003C14D4" w:rsidP="00436343">
      <w:r>
        <w:t xml:space="preserve">BESS must be </w:t>
      </w:r>
      <w:r w:rsidR="00866B77">
        <w:t xml:space="preserve">designed, </w:t>
      </w:r>
      <w:r>
        <w:t>installed</w:t>
      </w:r>
      <w:r w:rsidR="00866B77">
        <w:t>,</w:t>
      </w:r>
      <w:r>
        <w:t xml:space="preserve"> and operated in compliance with all agency cybersecurity standards. </w:t>
      </w:r>
      <w:r w:rsidR="00BC6DB5">
        <w:t>FEMP</w:t>
      </w:r>
      <w:r w:rsidR="00011929">
        <w:t xml:space="preserve"> recommend</w:t>
      </w:r>
      <w:r w:rsidR="00BC6DB5">
        <w:t>s</w:t>
      </w:r>
      <w:r w:rsidR="00011929">
        <w:t xml:space="preserve"> that site personnel fully understand all cybersecurity requirements for networked and utility interconnected systems </w:t>
      </w:r>
      <w:r w:rsidR="003E0683">
        <w:t xml:space="preserve">and </w:t>
      </w:r>
      <w:r w:rsidR="00E12B1E">
        <w:t>include detailed descriptions of</w:t>
      </w:r>
      <w:r w:rsidR="003E0683">
        <w:t xml:space="preserve"> those requirements </w:t>
      </w:r>
      <w:r w:rsidR="00AF0560">
        <w:t>in the project request for proposal</w:t>
      </w:r>
      <w:r w:rsidR="003E0683">
        <w:t xml:space="preserve">. </w:t>
      </w:r>
    </w:p>
    <w:p w14:paraId="3B3F90CD" w14:textId="77777777" w:rsidR="00175C36" w:rsidRPr="00436343" w:rsidRDefault="00175C36" w:rsidP="00436343"/>
    <w:p w14:paraId="12EFCDB6" w14:textId="56F826A1" w:rsidR="009673DD" w:rsidRDefault="009673DD" w:rsidP="008135C9">
      <w:pPr>
        <w:pStyle w:val="Heading2"/>
      </w:pPr>
      <w:bookmarkStart w:id="16" w:name="_Toc123213397"/>
      <w:r>
        <w:t xml:space="preserve">Inspections </w:t>
      </w:r>
      <w:r w:rsidR="003E67E5">
        <w:t>and</w:t>
      </w:r>
      <w:r>
        <w:t xml:space="preserve"> </w:t>
      </w:r>
      <w:r w:rsidR="003E67E5">
        <w:t>C</w:t>
      </w:r>
      <w:r>
        <w:t>ommissioning</w:t>
      </w:r>
      <w:r w:rsidR="00C12B2A">
        <w:t xml:space="preserve"> </w:t>
      </w:r>
      <w:r w:rsidR="003E67E5">
        <w:t>C</w:t>
      </w:r>
      <w:r w:rsidR="00C12B2A">
        <w:t>onsiderations</w:t>
      </w:r>
      <w:bookmarkEnd w:id="16"/>
      <w:r w:rsidR="00C12B2A">
        <w:t xml:space="preserve"> </w:t>
      </w:r>
    </w:p>
    <w:bookmarkStart w:id="17" w:name="_Toc123213398"/>
    <w:p w14:paraId="53924F62" w14:textId="1AD93940" w:rsidR="003D5B12" w:rsidRDefault="003529B7" w:rsidP="003D5B12">
      <w:pPr>
        <w:pStyle w:val="Heading3"/>
      </w:pPr>
      <w:sdt>
        <w:sdtPr>
          <w:id w:val="-179034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B12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347C13">
        <w:t>Develop p</w:t>
      </w:r>
      <w:r w:rsidR="003D5B12">
        <w:t xml:space="preserve">lan to </w:t>
      </w:r>
      <w:r w:rsidR="00D80947">
        <w:t xml:space="preserve">monitor and </w:t>
      </w:r>
      <w:r w:rsidR="003D5B12">
        <w:t xml:space="preserve">support </w:t>
      </w:r>
      <w:r w:rsidR="007974FF">
        <w:t>the project</w:t>
      </w:r>
      <w:r w:rsidR="003D5B12">
        <w:t xml:space="preserve"> throughout the construction process</w:t>
      </w:r>
      <w:bookmarkEnd w:id="17"/>
    </w:p>
    <w:p w14:paraId="7354967A" w14:textId="14480119" w:rsidR="004445B9" w:rsidRPr="004445B9" w:rsidRDefault="00264A0D" w:rsidP="004445B9">
      <w:r>
        <w:t>Ensure site personnel</w:t>
      </w:r>
      <w:r w:rsidR="00591CE1">
        <w:t xml:space="preserve"> assigned to the project</w:t>
      </w:r>
      <w:r>
        <w:t xml:space="preserve"> </w:t>
      </w:r>
      <w:r w:rsidR="006063AF">
        <w:t>have</w:t>
      </w:r>
      <w:r>
        <w:t xml:space="preserve"> adequate time to oversee and inspect the construction </w:t>
      </w:r>
      <w:r w:rsidR="00591CE1">
        <w:t>process</w:t>
      </w:r>
      <w:r>
        <w:t xml:space="preserve">. </w:t>
      </w:r>
      <w:r w:rsidR="00AF7DDB">
        <w:t>Typically,</w:t>
      </w:r>
      <w:r w:rsidR="00686A8F">
        <w:t xml:space="preserve"> these projects include regular construction period update meetings,</w:t>
      </w:r>
      <w:r w:rsidR="007974FF">
        <w:t xml:space="preserve"> work site inspections,</w:t>
      </w:r>
      <w:r w:rsidR="00686A8F">
        <w:t xml:space="preserve"> operational requests, and document reviews that need to be handled by site personnel. </w:t>
      </w:r>
      <w:r w:rsidR="005D2E70">
        <w:t xml:space="preserve">Lack of </w:t>
      </w:r>
      <w:r w:rsidR="0075148F">
        <w:t>on-site</w:t>
      </w:r>
      <w:r w:rsidR="005D2E70">
        <w:t xml:space="preserve"> support through the construction period may</w:t>
      </w:r>
      <w:r w:rsidR="00B91DC5">
        <w:t xml:space="preserve"> cause project delays attributable to the agency.  </w:t>
      </w:r>
    </w:p>
    <w:bookmarkStart w:id="18" w:name="_Toc123213399"/>
    <w:p w14:paraId="6ED63304" w14:textId="6D70B115" w:rsidR="006C71CA" w:rsidRDefault="003529B7" w:rsidP="003D5B12">
      <w:pPr>
        <w:pStyle w:val="Heading3"/>
      </w:pPr>
      <w:sdt>
        <w:sdtPr>
          <w:id w:val="66089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B12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Ensure all equipment has appropriate labels and markings</w:t>
      </w:r>
      <w:bookmarkEnd w:id="18"/>
      <w:r w:rsidR="003D5B12">
        <w:t xml:space="preserve"> </w:t>
      </w:r>
    </w:p>
    <w:p w14:paraId="2453DEE9" w14:textId="3C0CDAD1" w:rsidR="00FD33D4" w:rsidRPr="005258E8" w:rsidRDefault="00E97657" w:rsidP="00FD33D4">
      <w:r w:rsidRPr="005258E8">
        <w:t xml:space="preserve">NFPA 855, </w:t>
      </w:r>
      <w:r w:rsidR="00275131" w:rsidRPr="005258E8">
        <w:t xml:space="preserve">NFPA 70, and the International </w:t>
      </w:r>
      <w:r w:rsidR="005810F8" w:rsidRPr="005258E8">
        <w:t>Fire Code all</w:t>
      </w:r>
      <w:r w:rsidR="00E21FB3" w:rsidRPr="005258E8">
        <w:t xml:space="preserve"> describe </w:t>
      </w:r>
      <w:r w:rsidR="00A80F4B" w:rsidRPr="005258E8">
        <w:t xml:space="preserve">BESS labels and markings. </w:t>
      </w:r>
      <w:r w:rsidR="009052AB" w:rsidRPr="005258E8">
        <w:t xml:space="preserve">The site, in coordination with the local fire marshal, should include </w:t>
      </w:r>
      <w:r w:rsidR="005258E8" w:rsidRPr="005258E8">
        <w:t xml:space="preserve">detailed requirements from these references within the project specifications. </w:t>
      </w:r>
      <w:r w:rsidR="00E378B9" w:rsidRPr="005258E8">
        <w:t xml:space="preserve"> </w:t>
      </w:r>
      <w:r w:rsidR="005810F8" w:rsidRPr="005258E8">
        <w:t xml:space="preserve"> </w:t>
      </w:r>
    </w:p>
    <w:bookmarkStart w:id="19" w:name="_Toc123213400"/>
    <w:p w14:paraId="174676E1" w14:textId="292954DC" w:rsidR="003D5B12" w:rsidRDefault="003529B7" w:rsidP="003D5B12">
      <w:pPr>
        <w:pStyle w:val="Heading3"/>
      </w:pPr>
      <w:sdt>
        <w:sdtPr>
          <w:id w:val="-138379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B12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Typical inspection sequence</w:t>
      </w:r>
      <w:bookmarkEnd w:id="19"/>
    </w:p>
    <w:p w14:paraId="39B4EE4E" w14:textId="05CD8244" w:rsidR="008201D2" w:rsidRDefault="008201D2" w:rsidP="008201D2">
      <w:pPr>
        <w:pStyle w:val="ListParagraph"/>
        <w:numPr>
          <w:ilvl w:val="0"/>
          <w:numId w:val="8"/>
        </w:numPr>
      </w:pPr>
      <w:r>
        <w:t xml:space="preserve">Regular construction </w:t>
      </w:r>
      <w:r w:rsidR="00276D98">
        <w:t xml:space="preserve">period </w:t>
      </w:r>
      <w:r>
        <w:t>inspections</w:t>
      </w:r>
    </w:p>
    <w:p w14:paraId="7A4F54D9" w14:textId="130F3C48" w:rsidR="008461FF" w:rsidRDefault="008461FF" w:rsidP="008201D2">
      <w:pPr>
        <w:pStyle w:val="ListParagraph"/>
        <w:numPr>
          <w:ilvl w:val="0"/>
          <w:numId w:val="8"/>
        </w:numPr>
      </w:pPr>
      <w:r>
        <w:t xml:space="preserve">Subsystem start up inspections </w:t>
      </w:r>
    </w:p>
    <w:p w14:paraId="4B3E5409" w14:textId="1A06B3B4" w:rsidR="008201D2" w:rsidRDefault="008201D2" w:rsidP="008201D2">
      <w:pPr>
        <w:pStyle w:val="ListParagraph"/>
        <w:numPr>
          <w:ilvl w:val="0"/>
          <w:numId w:val="8"/>
        </w:numPr>
      </w:pPr>
      <w:r>
        <w:t>Substantial completion inspection</w:t>
      </w:r>
    </w:p>
    <w:p w14:paraId="27A5CF24" w14:textId="59F3AA43" w:rsidR="008201D2" w:rsidRDefault="008201D2" w:rsidP="008201D2">
      <w:pPr>
        <w:pStyle w:val="ListParagraph"/>
        <w:numPr>
          <w:ilvl w:val="0"/>
          <w:numId w:val="8"/>
        </w:numPr>
      </w:pPr>
      <w:r>
        <w:t>Punch list remediation confirmation inspection</w:t>
      </w:r>
    </w:p>
    <w:p w14:paraId="00C20E09" w14:textId="77777777" w:rsidR="00815F02" w:rsidRDefault="008201D2" w:rsidP="008201D2">
      <w:pPr>
        <w:pStyle w:val="ListParagraph"/>
        <w:numPr>
          <w:ilvl w:val="0"/>
          <w:numId w:val="8"/>
        </w:numPr>
      </w:pPr>
      <w:r>
        <w:t>Final completion inspection</w:t>
      </w:r>
    </w:p>
    <w:p w14:paraId="73D7A307" w14:textId="7C1BE919" w:rsidR="008201D2" w:rsidRPr="008201D2" w:rsidRDefault="00815F02" w:rsidP="00B01572">
      <w:pPr>
        <w:pStyle w:val="ListParagraph"/>
        <w:numPr>
          <w:ilvl w:val="0"/>
          <w:numId w:val="8"/>
        </w:numPr>
      </w:pPr>
      <w:r>
        <w:t>S</w:t>
      </w:r>
      <w:r w:rsidR="00F702C7">
        <w:t>ystem</w:t>
      </w:r>
      <w:r w:rsidR="00E67024">
        <w:t xml:space="preserve"> acceptance testing</w:t>
      </w:r>
      <w:r>
        <w:t xml:space="preserve"> with witnessing </w:t>
      </w:r>
      <w:r w:rsidR="003E67E5">
        <w:t>and</w:t>
      </w:r>
      <w:r>
        <w:t xml:space="preserve"> approval by electric utility</w:t>
      </w:r>
      <w:r w:rsidR="00B01572">
        <w:t xml:space="preserve"> and fire marshal as needed</w:t>
      </w:r>
      <w:r w:rsidR="003E67E5">
        <w:t>.</w:t>
      </w:r>
      <w:r w:rsidR="00E67024">
        <w:t xml:space="preserve"> </w:t>
      </w:r>
    </w:p>
    <w:bookmarkStart w:id="20" w:name="_Toc123213401"/>
    <w:p w14:paraId="10E6B762" w14:textId="0E28CB19" w:rsidR="003D5B12" w:rsidRDefault="003529B7" w:rsidP="003D5B12">
      <w:pPr>
        <w:pStyle w:val="Heading3"/>
      </w:pPr>
      <w:sdt>
        <w:sdtPr>
          <w:id w:val="-103095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B12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Commissioning requirements </w:t>
      </w:r>
      <w:bookmarkEnd w:id="20"/>
    </w:p>
    <w:p w14:paraId="1A2FCB6E" w14:textId="692AA4E2" w:rsidR="00576DAA" w:rsidRDefault="00576DAA" w:rsidP="00D5698F">
      <w:pPr>
        <w:pStyle w:val="ListParagraph"/>
        <w:numPr>
          <w:ilvl w:val="0"/>
          <w:numId w:val="12"/>
        </w:numPr>
      </w:pPr>
      <w:r>
        <w:t>Commissioning workshop (pre</w:t>
      </w:r>
      <w:r w:rsidR="00E10BD6">
        <w:t>-commissioning</w:t>
      </w:r>
      <w:r>
        <w:t xml:space="preserve"> coordination meeting) </w:t>
      </w:r>
    </w:p>
    <w:p w14:paraId="4E04353B" w14:textId="5D04BF67" w:rsidR="008201D2" w:rsidRDefault="008201D2" w:rsidP="00D5698F">
      <w:pPr>
        <w:pStyle w:val="ListParagraph"/>
        <w:numPr>
          <w:ilvl w:val="0"/>
          <w:numId w:val="12"/>
        </w:numPr>
      </w:pPr>
      <w:r>
        <w:t>Agency witnessing</w:t>
      </w:r>
    </w:p>
    <w:p w14:paraId="755E7758" w14:textId="438E6A27" w:rsidR="008201D2" w:rsidRDefault="008201D2" w:rsidP="00D5698F">
      <w:pPr>
        <w:pStyle w:val="ListParagraph"/>
        <w:numPr>
          <w:ilvl w:val="0"/>
          <w:numId w:val="12"/>
        </w:numPr>
      </w:pPr>
      <w:r>
        <w:t xml:space="preserve">Utility/fire marshal/other </w:t>
      </w:r>
      <w:r w:rsidR="00A9243A">
        <w:t xml:space="preserve">AHJ </w:t>
      </w:r>
      <w:r>
        <w:t xml:space="preserve">coordination </w:t>
      </w:r>
    </w:p>
    <w:p w14:paraId="7E160217" w14:textId="3869F2B7" w:rsidR="008201D2" w:rsidRDefault="008201D2" w:rsidP="00D5698F">
      <w:pPr>
        <w:pStyle w:val="ListParagraph"/>
        <w:numPr>
          <w:ilvl w:val="0"/>
          <w:numId w:val="12"/>
        </w:numPr>
      </w:pPr>
      <w:r>
        <w:t>Commissioning standards</w:t>
      </w:r>
      <w:r w:rsidR="00761850">
        <w:t xml:space="preserve"> as described in Section 3.1 FEMP’s </w:t>
      </w:r>
      <w:hyperlink r:id="rId15" w:history="1">
        <w:r w:rsidR="00761850" w:rsidRPr="008135C9">
          <w:rPr>
            <w:rStyle w:val="Hyperlink"/>
          </w:rPr>
          <w:t>BESS Technical Specifications</w:t>
        </w:r>
      </w:hyperlink>
    </w:p>
    <w:p w14:paraId="35E68C4F" w14:textId="77777777" w:rsidR="008201D2" w:rsidRDefault="008201D2" w:rsidP="00D5698F">
      <w:pPr>
        <w:pStyle w:val="ListParagraph"/>
        <w:numPr>
          <w:ilvl w:val="0"/>
          <w:numId w:val="12"/>
        </w:numPr>
      </w:pPr>
      <w:r>
        <w:t xml:space="preserve">Subsystem startup checklists </w:t>
      </w:r>
    </w:p>
    <w:p w14:paraId="6C0617E1" w14:textId="2F92D062" w:rsidR="008201D2" w:rsidRDefault="008201D2" w:rsidP="00D5698F">
      <w:pPr>
        <w:pStyle w:val="ListParagraph"/>
        <w:numPr>
          <w:ilvl w:val="0"/>
          <w:numId w:val="12"/>
        </w:numPr>
      </w:pPr>
      <w:r>
        <w:t xml:space="preserve">System acceptance test and field performance test checklists  </w:t>
      </w:r>
    </w:p>
    <w:p w14:paraId="53D3C89B" w14:textId="06CF7660" w:rsidR="00175C36" w:rsidRDefault="008201D2" w:rsidP="00175C36">
      <w:pPr>
        <w:pStyle w:val="ListParagraph"/>
        <w:numPr>
          <w:ilvl w:val="0"/>
          <w:numId w:val="12"/>
        </w:numPr>
      </w:pPr>
      <w:r>
        <w:t xml:space="preserve">Commissioning report </w:t>
      </w:r>
      <w:r w:rsidR="0031145B">
        <w:t>confirming system functions as designed</w:t>
      </w:r>
      <w:r w:rsidR="003E67E5">
        <w:t>.</w:t>
      </w:r>
      <w:r w:rsidR="0031145B">
        <w:t xml:space="preserve"> </w:t>
      </w:r>
    </w:p>
    <w:p w14:paraId="047F2628" w14:textId="77777777" w:rsidR="00175C36" w:rsidRDefault="00175C36" w:rsidP="00AA1F86"/>
    <w:p w14:paraId="506B75E3" w14:textId="7356F18A" w:rsidR="00740F1B" w:rsidRDefault="00740F1B" w:rsidP="00740F1B">
      <w:pPr>
        <w:pStyle w:val="Heading2"/>
      </w:pPr>
      <w:bookmarkStart w:id="21" w:name="_Toc123213402"/>
      <w:r>
        <w:t xml:space="preserve">BESS </w:t>
      </w:r>
      <w:r w:rsidR="003E67E5">
        <w:t>I</w:t>
      </w:r>
      <w:r>
        <w:t>nterconnection</w:t>
      </w:r>
      <w:bookmarkEnd w:id="21"/>
      <w:r>
        <w:t xml:space="preserve"> </w:t>
      </w:r>
    </w:p>
    <w:p w14:paraId="01BA8013" w14:textId="14F80C6F" w:rsidR="002E6B24" w:rsidRDefault="006F4786" w:rsidP="002E6B24">
      <w:r>
        <w:t>For detailed</w:t>
      </w:r>
      <w:r w:rsidR="007A6DDC">
        <w:t xml:space="preserve"> interconnection </w:t>
      </w:r>
      <w:r w:rsidR="0061523C">
        <w:t>requirement</w:t>
      </w:r>
      <w:r w:rsidR="00D67AC3">
        <w:t>s</w:t>
      </w:r>
      <w:r w:rsidR="007A6DDC">
        <w:t xml:space="preserve">, </w:t>
      </w:r>
      <w:r w:rsidR="00050880">
        <w:t xml:space="preserve">tasks, and </w:t>
      </w:r>
      <w:r w:rsidR="008B2CA5">
        <w:t xml:space="preserve">considerations, </w:t>
      </w:r>
      <w:r w:rsidR="00D67AC3">
        <w:t>see</w:t>
      </w:r>
      <w:r w:rsidR="008D364D">
        <w:t xml:space="preserve"> FEMP</w:t>
      </w:r>
      <w:r w:rsidR="006D32A6">
        <w:t>’s</w:t>
      </w:r>
      <w:r w:rsidR="008D364D">
        <w:t xml:space="preserve"> </w:t>
      </w:r>
      <w:hyperlink r:id="rId16" w:history="1">
        <w:r w:rsidR="008D364D" w:rsidRPr="008D364D">
          <w:rPr>
            <w:rStyle w:val="Hyperlink"/>
          </w:rPr>
          <w:t>Distributed Energy Interconnection Checklist</w:t>
        </w:r>
      </w:hyperlink>
      <w:r w:rsidR="003E67E5">
        <w:rPr>
          <w:rStyle w:val="Hyperlink"/>
        </w:rPr>
        <w:t>.</w:t>
      </w:r>
      <w:r w:rsidR="008D364D">
        <w:t xml:space="preserve"> </w:t>
      </w:r>
      <w:r w:rsidR="00FC029D">
        <w:t xml:space="preserve">FEMP recommends coordinating with your site’s serving </w:t>
      </w:r>
      <w:r w:rsidR="00BE2B83">
        <w:t xml:space="preserve">utility </w:t>
      </w:r>
      <w:r w:rsidR="007E7B0B">
        <w:t xml:space="preserve">as early as possible. </w:t>
      </w:r>
    </w:p>
    <w:bookmarkStart w:id="22" w:name="_Toc123213403"/>
    <w:p w14:paraId="7B31FCB2" w14:textId="40C0381A" w:rsidR="00CA5901" w:rsidRDefault="003529B7" w:rsidP="00CA5901">
      <w:pPr>
        <w:pStyle w:val="Heading3"/>
      </w:pPr>
      <w:sdt>
        <w:sdtPr>
          <w:id w:val="-26407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901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4C1E1F">
        <w:t>Identify and communicate with the owner of the on-site electrical distribution system</w:t>
      </w:r>
      <w:bookmarkEnd w:id="22"/>
      <w:r w:rsidR="004C1E1F">
        <w:t xml:space="preserve"> </w:t>
      </w:r>
    </w:p>
    <w:p w14:paraId="7AC6B279" w14:textId="7DEFEE74" w:rsidR="00B76E6E" w:rsidRDefault="003B2D85" w:rsidP="00F571E5">
      <w:r>
        <w:t>On</w:t>
      </w:r>
      <w:r w:rsidR="003E67E5">
        <w:t>-</w:t>
      </w:r>
      <w:r>
        <w:t>site electrical distribution systems may be owned by the serving utility, the agency, or a private third party (</w:t>
      </w:r>
      <w:r w:rsidR="00FE0DFE">
        <w:t xml:space="preserve">typically referred to as </w:t>
      </w:r>
      <w:r w:rsidR="003E67E5">
        <w:t>u</w:t>
      </w:r>
      <w:r w:rsidR="00FE0DFE">
        <w:t xml:space="preserve">tility </w:t>
      </w:r>
      <w:r w:rsidR="003E67E5">
        <w:t>p</w:t>
      </w:r>
      <w:r w:rsidR="00FE0DFE">
        <w:t>rivatization)</w:t>
      </w:r>
      <w:r w:rsidR="002902B5">
        <w:t>. There are unique interconnection considerations for each ownership model</w:t>
      </w:r>
      <w:r w:rsidR="003E67E5">
        <w:t>,</w:t>
      </w:r>
      <w:r w:rsidR="002902B5">
        <w:t xml:space="preserve"> and communication with the </w:t>
      </w:r>
      <w:r w:rsidR="00401A9B">
        <w:t>system owner is crucial to understanding the</w:t>
      </w:r>
      <w:r w:rsidR="002F6501">
        <w:t>ir</w:t>
      </w:r>
      <w:r w:rsidR="00401A9B">
        <w:t xml:space="preserve"> specific requirements and maintaining the project schedule. </w:t>
      </w:r>
      <w:r w:rsidR="002902B5">
        <w:t xml:space="preserve"> </w:t>
      </w:r>
    </w:p>
    <w:p w14:paraId="164E40BA" w14:textId="77777777" w:rsidR="00AA1F86" w:rsidRDefault="00AA1F86" w:rsidP="00F571E5"/>
    <w:p w14:paraId="72041C1D" w14:textId="6E23AF36" w:rsidR="00740F1B" w:rsidRDefault="00740F1B" w:rsidP="00740F1B">
      <w:pPr>
        <w:pStyle w:val="Heading2"/>
      </w:pPr>
      <w:bookmarkStart w:id="23" w:name="_Toc123213404"/>
      <w:r>
        <w:t>Ownership</w:t>
      </w:r>
      <w:r w:rsidR="00CE4271">
        <w:t xml:space="preserve">, </w:t>
      </w:r>
      <w:r w:rsidR="003E67E5">
        <w:t>O</w:t>
      </w:r>
      <w:r w:rsidR="00CE4271">
        <w:t>perations,</w:t>
      </w:r>
      <w:r>
        <w:t xml:space="preserve"> and </w:t>
      </w:r>
      <w:r w:rsidR="003E67E5">
        <w:t>M</w:t>
      </w:r>
      <w:r>
        <w:t xml:space="preserve">aintenance </w:t>
      </w:r>
      <w:r w:rsidR="003E67E5">
        <w:t>C</w:t>
      </w:r>
      <w:r>
        <w:t>onsiderations</w:t>
      </w:r>
      <w:bookmarkEnd w:id="23"/>
      <w:r>
        <w:t xml:space="preserve"> </w:t>
      </w:r>
    </w:p>
    <w:bookmarkStart w:id="24" w:name="_Toc123213405"/>
    <w:p w14:paraId="2C323E75" w14:textId="38C73B0C" w:rsidR="00CE4271" w:rsidRDefault="003529B7" w:rsidP="00F70AF5">
      <w:pPr>
        <w:pStyle w:val="Heading3"/>
      </w:pPr>
      <w:sdt>
        <w:sdtPr>
          <w:id w:val="-43074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F5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B97F9B">
        <w:t xml:space="preserve">Clearly define </w:t>
      </w:r>
      <w:r w:rsidR="00CE4271">
        <w:t xml:space="preserve">operations </w:t>
      </w:r>
      <w:r w:rsidR="003E67E5">
        <w:t>and</w:t>
      </w:r>
      <w:r w:rsidR="00CE4271">
        <w:t xml:space="preserve"> </w:t>
      </w:r>
      <w:r w:rsidR="00B97F9B">
        <w:t>maintenance responsibilities</w:t>
      </w:r>
      <w:bookmarkEnd w:id="24"/>
      <w:r w:rsidR="00B97F9B">
        <w:t xml:space="preserve"> </w:t>
      </w:r>
    </w:p>
    <w:p w14:paraId="0F3C0C63" w14:textId="31D3FAA2" w:rsidR="00CF12BD" w:rsidRDefault="00CE4271" w:rsidP="00CF12BD">
      <w:r>
        <w:t xml:space="preserve">Assess site operations </w:t>
      </w:r>
      <w:r w:rsidR="003E67E5">
        <w:t>and</w:t>
      </w:r>
      <w:r>
        <w:t xml:space="preserve"> ma</w:t>
      </w:r>
      <w:r w:rsidR="00793258">
        <w:t xml:space="preserve">intenance capabilities. </w:t>
      </w:r>
      <w:r w:rsidR="00B16FDC">
        <w:t xml:space="preserve">The site should not accept responsibility for any operations </w:t>
      </w:r>
      <w:r w:rsidR="003E67E5">
        <w:t>and</w:t>
      </w:r>
      <w:r w:rsidR="00B16FDC">
        <w:t xml:space="preserve"> maintenance tasks it is not prepared to fulfill.</w:t>
      </w:r>
      <w:r w:rsidR="00326087">
        <w:t xml:space="preserve"> Depending on procurement method,</w:t>
      </w:r>
      <w:r w:rsidR="00CC0B74">
        <w:t xml:space="preserve"> </w:t>
      </w:r>
      <w:r w:rsidR="00FF37B0">
        <w:t>like in</w:t>
      </w:r>
      <w:r w:rsidR="00CC0B74">
        <w:t xml:space="preserve"> an Energy Savings Performance Contract</w:t>
      </w:r>
      <w:r w:rsidR="00FF37B0">
        <w:t>,</w:t>
      </w:r>
      <w:r w:rsidR="001C04BC">
        <w:t xml:space="preserve"> it may be allowable to include</w:t>
      </w:r>
      <w:r w:rsidR="00326087">
        <w:t xml:space="preserve"> long</w:t>
      </w:r>
      <w:r w:rsidR="003E67E5">
        <w:t>-</w:t>
      </w:r>
      <w:r w:rsidR="00326087">
        <w:t xml:space="preserve">term </w:t>
      </w:r>
      <w:r w:rsidR="00550092">
        <w:t xml:space="preserve">operations </w:t>
      </w:r>
      <w:r w:rsidR="003E67E5">
        <w:t>and</w:t>
      </w:r>
      <w:r w:rsidR="00550092">
        <w:t xml:space="preserve"> maintenance </w:t>
      </w:r>
      <w:r w:rsidR="001C4C08">
        <w:t xml:space="preserve">in </w:t>
      </w:r>
      <w:r w:rsidR="00D40A62">
        <w:t xml:space="preserve">the initial </w:t>
      </w:r>
      <w:r w:rsidR="00550092">
        <w:t xml:space="preserve">contract award. </w:t>
      </w:r>
    </w:p>
    <w:bookmarkStart w:id="25" w:name="_Toc123213406"/>
    <w:p w14:paraId="41D72C38" w14:textId="45713454" w:rsidR="00CF12BD" w:rsidRDefault="003529B7" w:rsidP="00CF12BD">
      <w:pPr>
        <w:pStyle w:val="Heading3"/>
      </w:pPr>
      <w:sdt>
        <w:sdtPr>
          <w:id w:val="-125243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2BD">
            <w:rPr>
              <w:rFonts w:ascii="MS Gothic" w:eastAsia="MS Gothic" w:hAnsi="MS Gothic" w:hint="eastAsia"/>
            </w:rPr>
            <w:t>☐</w:t>
          </w:r>
        </w:sdtContent>
      </w:sdt>
      <w:r w:rsidR="00CF12BD">
        <w:t xml:space="preserve"> Ensure </w:t>
      </w:r>
      <w:r w:rsidR="003E67E5">
        <w:t>request for proposals</w:t>
      </w:r>
      <w:r w:rsidR="00CF12BD">
        <w:t xml:space="preserve"> includes augmentation/capacity maintenance</w:t>
      </w:r>
      <w:bookmarkEnd w:id="25"/>
    </w:p>
    <w:p w14:paraId="3383178B" w14:textId="15DFDB0B" w:rsidR="002E6B24" w:rsidRDefault="00130CB6" w:rsidP="00CE4271">
      <w:r>
        <w:t>BESS c</w:t>
      </w:r>
      <w:r w:rsidR="00CF12BD">
        <w:t xml:space="preserve">apacity performance requirements should be included in the </w:t>
      </w:r>
      <w:r w:rsidR="003E67E5">
        <w:t>request for proposals</w:t>
      </w:r>
      <w:r w:rsidR="00CF12BD">
        <w:t xml:space="preserve"> and maintenance should be provided to ensure that performance is sustained throughout the life of the equipment/contract term.  </w:t>
      </w:r>
    </w:p>
    <w:bookmarkStart w:id="26" w:name="_Toc123213407"/>
    <w:p w14:paraId="7E6FB082" w14:textId="52052A1B" w:rsidR="006D32A6" w:rsidRDefault="003529B7" w:rsidP="006D32A6">
      <w:pPr>
        <w:pStyle w:val="Heading3"/>
      </w:pPr>
      <w:sdt>
        <w:sdtPr>
          <w:id w:val="1219710125"/>
          <w:placeholder>
            <w:docPart w:val="1AF9495A06214287B3C55318F2565D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2A6">
            <w:rPr>
              <w:rFonts w:ascii="MS Gothic" w:eastAsia="MS Gothic" w:hAnsi="MS Gothic" w:hint="eastAsia"/>
            </w:rPr>
            <w:t>☐</w:t>
          </w:r>
        </w:sdtContent>
      </w:sdt>
      <w:r w:rsidR="006D32A6">
        <w:t xml:space="preserve"> Ensure </w:t>
      </w:r>
      <w:r w:rsidR="003E67E5">
        <w:t>request for proposal</w:t>
      </w:r>
      <w:r w:rsidR="00782183">
        <w:t>s</w:t>
      </w:r>
      <w:r w:rsidR="006D32A6">
        <w:t xml:space="preserve"> includes requirement for regular firmware</w:t>
      </w:r>
      <w:r w:rsidR="00902DE9">
        <w:t>/software</w:t>
      </w:r>
      <w:r w:rsidR="006D32A6">
        <w:t xml:space="preserve"> updates</w:t>
      </w:r>
      <w:bookmarkEnd w:id="26"/>
      <w:r w:rsidR="006D32A6">
        <w:t xml:space="preserve"> </w:t>
      </w:r>
    </w:p>
    <w:p w14:paraId="182A093C" w14:textId="0B01C822" w:rsidR="008C2BC1" w:rsidRPr="00952202" w:rsidRDefault="00B45017" w:rsidP="008C2BC1">
      <w:pPr>
        <w:rPr>
          <w:b/>
          <w:bCs/>
        </w:rPr>
      </w:pPr>
      <w:r>
        <w:t xml:space="preserve">The site should ensure that all firmware updates are received throughout the </w:t>
      </w:r>
      <w:r w:rsidR="00D40A62">
        <w:t xml:space="preserve">expected </w:t>
      </w:r>
      <w:r>
        <w:t xml:space="preserve">life of the equipment. </w:t>
      </w:r>
      <w:r w:rsidR="00710F4B">
        <w:t>Updates</w:t>
      </w:r>
      <w:r w:rsidR="005126DB">
        <w:t xml:space="preserve"> should </w:t>
      </w:r>
      <w:r w:rsidR="005126DB" w:rsidRPr="00D276BC">
        <w:t>include</w:t>
      </w:r>
      <w:r w:rsidR="00710F4B" w:rsidRPr="00D276BC">
        <w:t xml:space="preserve"> </w:t>
      </w:r>
      <w:r w:rsidR="002D158F" w:rsidRPr="00D276BC">
        <w:t xml:space="preserve">security patches, updates to </w:t>
      </w:r>
      <w:r w:rsidR="0045773B">
        <w:t>BMS</w:t>
      </w:r>
      <w:r w:rsidR="0080072B" w:rsidRPr="00D276BC">
        <w:t xml:space="preserve"> antivirus software</w:t>
      </w:r>
      <w:r w:rsidR="0088541E" w:rsidRPr="00D276BC">
        <w:t xml:space="preserve"> updates</w:t>
      </w:r>
      <w:r w:rsidR="00710F4B" w:rsidRPr="00D276BC">
        <w:t>, and any</w:t>
      </w:r>
      <w:r w:rsidR="00D276BC" w:rsidRPr="00D276BC">
        <w:t>thing required to ensure the system functions properly.</w:t>
      </w:r>
      <w:r w:rsidR="00D276BC">
        <w:rPr>
          <w:b/>
          <w:bCs/>
        </w:rPr>
        <w:t xml:space="preserve"> </w:t>
      </w:r>
      <w:r w:rsidR="00BD435F">
        <w:t xml:space="preserve">Ensure all updates are </w:t>
      </w:r>
      <w:r w:rsidR="00725AEF">
        <w:t xml:space="preserve">in compliance with agency cybersecurity standards. </w:t>
      </w:r>
    </w:p>
    <w:p w14:paraId="0F77A22E" w14:textId="77777777" w:rsidR="006C71CA" w:rsidRDefault="006C71CA" w:rsidP="00952202"/>
    <w:p w14:paraId="0C88BD30" w14:textId="2C5078B9" w:rsidR="002E6B24" w:rsidRDefault="002E6B24" w:rsidP="002E6B24">
      <w:pPr>
        <w:pStyle w:val="Heading2"/>
      </w:pPr>
      <w:bookmarkStart w:id="27" w:name="_Toc123213409"/>
      <w:r>
        <w:t xml:space="preserve">What </w:t>
      </w:r>
      <w:r w:rsidR="003E67E5">
        <w:t>T</w:t>
      </w:r>
      <w:r>
        <w:t xml:space="preserve">o </w:t>
      </w:r>
      <w:r w:rsidR="003E67E5">
        <w:t>L</w:t>
      </w:r>
      <w:r>
        <w:t xml:space="preserve">ook for in BESS </w:t>
      </w:r>
      <w:r w:rsidR="003E67E5">
        <w:t>S</w:t>
      </w:r>
      <w:r>
        <w:t>ubmittals</w:t>
      </w:r>
      <w:bookmarkEnd w:id="27"/>
      <w:r>
        <w:t xml:space="preserve"> </w:t>
      </w:r>
    </w:p>
    <w:bookmarkStart w:id="28" w:name="_Toc123213410"/>
    <w:p w14:paraId="11D82C3D" w14:textId="5342984E" w:rsidR="00EB5FB7" w:rsidRDefault="003529B7" w:rsidP="00EB5FB7">
      <w:pPr>
        <w:pStyle w:val="Heading3"/>
      </w:pPr>
      <w:sdt>
        <w:sdtPr>
          <w:id w:val="104132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1CA">
            <w:rPr>
              <w:rFonts w:ascii="MS Gothic" w:eastAsia="MS Gothic" w:hAnsi="MS Gothic" w:hint="eastAsia"/>
            </w:rPr>
            <w:t>☐</w:t>
          </w:r>
        </w:sdtContent>
      </w:sdt>
      <w:r w:rsidR="003D5B12">
        <w:t xml:space="preserve"> </w:t>
      </w:r>
      <w:r w:rsidR="006C71CA">
        <w:t>Confirm BESS submittals include at least the following:</w:t>
      </w:r>
      <w:bookmarkEnd w:id="28"/>
      <w:r w:rsidR="006C71CA">
        <w:t xml:space="preserve"> </w:t>
      </w:r>
      <w:r w:rsidR="00EB5FB7">
        <w:t xml:space="preserve"> </w:t>
      </w:r>
    </w:p>
    <w:p w14:paraId="7D137F60" w14:textId="79360C8A" w:rsidR="000E1F01" w:rsidRDefault="000E1F01" w:rsidP="000E1F01">
      <w:pPr>
        <w:pStyle w:val="ListParagraph"/>
        <w:numPr>
          <w:ilvl w:val="0"/>
          <w:numId w:val="3"/>
        </w:numPr>
      </w:pPr>
      <w:r>
        <w:t>Equipment manufacturer and product names</w:t>
      </w:r>
      <w:r w:rsidR="003E67E5">
        <w:t>:</w:t>
      </w:r>
    </w:p>
    <w:p w14:paraId="160E90F6" w14:textId="6EFF9E2E" w:rsidR="00E420ED" w:rsidRDefault="00E420ED" w:rsidP="00E420ED">
      <w:pPr>
        <w:pStyle w:val="ListParagraph"/>
        <w:numPr>
          <w:ilvl w:val="1"/>
          <w:numId w:val="3"/>
        </w:numPr>
      </w:pPr>
      <w:r>
        <w:t xml:space="preserve">Including </w:t>
      </w:r>
      <w:r w:rsidR="00CE1E6C">
        <w:t xml:space="preserve">the battery itself, inverters, transformers, </w:t>
      </w:r>
      <w:r w:rsidR="00AE4631">
        <w:t xml:space="preserve">control equipment, </w:t>
      </w:r>
      <w:r w:rsidR="00CE1E6C">
        <w:t xml:space="preserve">protection devices, </w:t>
      </w:r>
      <w:r w:rsidR="00CA6DB9">
        <w:t xml:space="preserve">enclosures, </w:t>
      </w:r>
      <w:r w:rsidR="00CE1E6C">
        <w:t xml:space="preserve">etc. </w:t>
      </w:r>
    </w:p>
    <w:p w14:paraId="700A91D7" w14:textId="29FF3ADA" w:rsidR="000E1F01" w:rsidRDefault="0045773B" w:rsidP="000E1F01">
      <w:pPr>
        <w:pStyle w:val="ListParagraph"/>
        <w:numPr>
          <w:ilvl w:val="0"/>
          <w:numId w:val="3"/>
        </w:numPr>
      </w:pPr>
      <w:r>
        <w:t>BMS</w:t>
      </w:r>
      <w:r w:rsidR="000E1F01">
        <w:t xml:space="preserve"> provider</w:t>
      </w:r>
    </w:p>
    <w:p w14:paraId="2F45AE8D" w14:textId="6F4F0DC1" w:rsidR="006C71CA" w:rsidRDefault="006C71CA" w:rsidP="006C71CA">
      <w:pPr>
        <w:pStyle w:val="ListParagraph"/>
        <w:numPr>
          <w:ilvl w:val="0"/>
          <w:numId w:val="3"/>
        </w:numPr>
      </w:pPr>
      <w:r>
        <w:t>A site plan showing the BESS footprint</w:t>
      </w:r>
    </w:p>
    <w:p w14:paraId="1F4632DD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Electrical schematic diagrams (interconnection, system one-line diagrams)</w:t>
      </w:r>
    </w:p>
    <w:p w14:paraId="631A0161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Useable energy storage capacity (kWh)</w:t>
      </w:r>
    </w:p>
    <w:p w14:paraId="77B3CFCF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Rated power (kW AC)</w:t>
      </w:r>
    </w:p>
    <w:p w14:paraId="483835C7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AC:AC efficiency (including auxiliary loads)</w:t>
      </w:r>
    </w:p>
    <w:p w14:paraId="2F73FD9E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Cycle life</w:t>
      </w:r>
    </w:p>
    <w:p w14:paraId="0FD56693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Annual degradation factor</w:t>
      </w:r>
    </w:p>
    <w:p w14:paraId="08CCD685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 xml:space="preserve">Ambient temperature control system </w:t>
      </w:r>
    </w:p>
    <w:p w14:paraId="354E59E0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 xml:space="preserve">Fire protection/suppression system description as required by code </w:t>
      </w:r>
    </w:p>
    <w:p w14:paraId="0F4FF28D" w14:textId="77777777" w:rsidR="006C71CA" w:rsidRDefault="006C71CA" w:rsidP="006C71CA">
      <w:pPr>
        <w:pStyle w:val="ListParagraph"/>
        <w:numPr>
          <w:ilvl w:val="0"/>
          <w:numId w:val="3"/>
        </w:numPr>
      </w:pPr>
      <w:r>
        <w:t>Maintenance requirements</w:t>
      </w:r>
    </w:p>
    <w:p w14:paraId="22987D30" w14:textId="2A926330" w:rsidR="006C71CA" w:rsidRDefault="006C71CA" w:rsidP="006C71CA">
      <w:pPr>
        <w:pStyle w:val="ListParagraph"/>
        <w:numPr>
          <w:ilvl w:val="0"/>
          <w:numId w:val="3"/>
        </w:numPr>
      </w:pPr>
      <w:r>
        <w:t>Confirmation that the proposed system can integrate with existing</w:t>
      </w:r>
      <w:r w:rsidR="00B12EDB">
        <w:t xml:space="preserve"> solar</w:t>
      </w:r>
      <w:r>
        <w:t xml:space="preserve"> </w:t>
      </w:r>
      <w:r w:rsidR="003E67E5">
        <w:t>photovoltaics</w:t>
      </w:r>
      <w:r w:rsidR="00B12EDB">
        <w:t>, if applicable</w:t>
      </w:r>
    </w:p>
    <w:p w14:paraId="602A6D17" w14:textId="17879B72" w:rsidR="004F363E" w:rsidRDefault="004F363E" w:rsidP="00D372F5">
      <w:pPr>
        <w:pStyle w:val="ListParagraph"/>
        <w:numPr>
          <w:ilvl w:val="0"/>
          <w:numId w:val="3"/>
        </w:numPr>
      </w:pPr>
      <w:r>
        <w:t>BESS</w:t>
      </w:r>
      <w:r w:rsidR="003E67E5">
        <w:t>-</w:t>
      </w:r>
      <w:r>
        <w:t>specific sequences of operation</w:t>
      </w:r>
      <w:r w:rsidR="001C2073">
        <w:t xml:space="preserve"> </w:t>
      </w:r>
      <w:r w:rsidR="00F946B5">
        <w:t>should be included for all modes of operation</w:t>
      </w:r>
      <w:r w:rsidR="0046274A">
        <w:t xml:space="preserve"> and use cases</w:t>
      </w:r>
      <w:r w:rsidR="003E67E5">
        <w:t>.</w:t>
      </w:r>
      <w:r w:rsidR="0046274A">
        <w:t xml:space="preserve"> </w:t>
      </w:r>
    </w:p>
    <w:bookmarkStart w:id="29" w:name="_Toc123213411"/>
    <w:p w14:paraId="66B6AFDE" w14:textId="0D1F1081" w:rsidR="00B25577" w:rsidRDefault="003529B7" w:rsidP="00B25577">
      <w:pPr>
        <w:pStyle w:val="Heading3"/>
      </w:pPr>
      <w:sdt>
        <w:sdtPr>
          <w:id w:val="28617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77">
            <w:rPr>
              <w:rFonts w:ascii="MS Gothic" w:eastAsia="MS Gothic" w:hAnsi="MS Gothic" w:hint="eastAsia"/>
            </w:rPr>
            <w:t>☐</w:t>
          </w:r>
        </w:sdtContent>
      </w:sdt>
      <w:r w:rsidR="00B25577">
        <w:t>Standards for BESS submittals</w:t>
      </w:r>
      <w:bookmarkEnd w:id="29"/>
      <w:r w:rsidR="00B25577">
        <w:t xml:space="preserve"> </w:t>
      </w:r>
    </w:p>
    <w:p w14:paraId="5EB7469C" w14:textId="5AAAC7C9" w:rsidR="00BB770C" w:rsidRDefault="0046274A" w:rsidP="00B25577">
      <w:r>
        <w:t>All submittals sh</w:t>
      </w:r>
      <w:r w:rsidR="007E4BF6">
        <w:t>ould</w:t>
      </w:r>
      <w:r>
        <w:t xml:space="preserve"> include a statement from the engineer of record confirming that the contents of the submittal adhere to the project requirement</w:t>
      </w:r>
      <w:r w:rsidR="008F3406">
        <w:t>s</w:t>
      </w:r>
      <w:r>
        <w:t xml:space="preserve"> in the contract and project specifications. Additionally, all final design drawings, calculations, and specifications sh</w:t>
      </w:r>
      <w:r w:rsidR="007E4BF6">
        <w:t>ould</w:t>
      </w:r>
      <w:r>
        <w:t xml:space="preserve"> be signed, dated, and bear the seal (stamp) of the engineer or architect responsible for its preparation. </w:t>
      </w:r>
      <w:r w:rsidR="00B25577">
        <w:t xml:space="preserve">The site should not accept any engineering or architectural services from personnel not professionally licensed in the location of the project. </w:t>
      </w:r>
    </w:p>
    <w:p w14:paraId="58627F01" w14:textId="77777777" w:rsidR="000A6989" w:rsidRDefault="000A6989" w:rsidP="00B25577"/>
    <w:p w14:paraId="04C4070C" w14:textId="20CEC43B" w:rsidR="006C71CA" w:rsidRPr="006C71CA" w:rsidRDefault="006C71CA" w:rsidP="00EB5FB7">
      <w:pPr>
        <w:ind w:left="360"/>
      </w:pPr>
    </w:p>
    <w:sectPr w:rsidR="006C71CA" w:rsidRPr="006C71C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1F3C9" w14:textId="77777777" w:rsidR="003943B7" w:rsidRDefault="003943B7" w:rsidP="002D6E4A">
      <w:pPr>
        <w:spacing w:after="0" w:line="240" w:lineRule="auto"/>
      </w:pPr>
      <w:r>
        <w:separator/>
      </w:r>
    </w:p>
  </w:endnote>
  <w:endnote w:type="continuationSeparator" w:id="0">
    <w:p w14:paraId="6B8EACCC" w14:textId="77777777" w:rsidR="003943B7" w:rsidRDefault="003943B7" w:rsidP="002D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72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75D87" w14:textId="39A6A1D7" w:rsidR="002D6E4A" w:rsidRDefault="002D6E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AE10B" w14:textId="77777777" w:rsidR="002D6E4A" w:rsidRDefault="002D6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5BB8" w14:textId="77777777" w:rsidR="003943B7" w:rsidRDefault="003943B7" w:rsidP="002D6E4A">
      <w:pPr>
        <w:spacing w:after="0" w:line="240" w:lineRule="auto"/>
      </w:pPr>
      <w:r>
        <w:separator/>
      </w:r>
    </w:p>
  </w:footnote>
  <w:footnote w:type="continuationSeparator" w:id="0">
    <w:p w14:paraId="149293CD" w14:textId="77777777" w:rsidR="003943B7" w:rsidRDefault="003943B7" w:rsidP="002D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237"/>
    <w:multiLevelType w:val="hybridMultilevel"/>
    <w:tmpl w:val="8996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3C8"/>
    <w:multiLevelType w:val="hybridMultilevel"/>
    <w:tmpl w:val="06D8CB66"/>
    <w:lvl w:ilvl="0" w:tplc="864C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1772"/>
    <w:multiLevelType w:val="hybridMultilevel"/>
    <w:tmpl w:val="6EC6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44E0"/>
    <w:multiLevelType w:val="hybridMultilevel"/>
    <w:tmpl w:val="D114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6DD"/>
    <w:multiLevelType w:val="hybridMultilevel"/>
    <w:tmpl w:val="3DE4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50BD"/>
    <w:multiLevelType w:val="hybridMultilevel"/>
    <w:tmpl w:val="ADCA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4264"/>
    <w:multiLevelType w:val="hybridMultilevel"/>
    <w:tmpl w:val="FA48456E"/>
    <w:lvl w:ilvl="0" w:tplc="329A8F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D62"/>
    <w:multiLevelType w:val="hybridMultilevel"/>
    <w:tmpl w:val="8A0A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52B63"/>
    <w:multiLevelType w:val="hybridMultilevel"/>
    <w:tmpl w:val="E3C487CA"/>
    <w:lvl w:ilvl="0" w:tplc="14DA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95112"/>
    <w:multiLevelType w:val="hybridMultilevel"/>
    <w:tmpl w:val="AB4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6B5A"/>
    <w:multiLevelType w:val="hybridMultilevel"/>
    <w:tmpl w:val="5D14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E6161"/>
    <w:multiLevelType w:val="hybridMultilevel"/>
    <w:tmpl w:val="5F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84B6B"/>
    <w:multiLevelType w:val="hybridMultilevel"/>
    <w:tmpl w:val="538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92A9D"/>
    <w:multiLevelType w:val="hybridMultilevel"/>
    <w:tmpl w:val="2B88545C"/>
    <w:lvl w:ilvl="0" w:tplc="E612DF92">
      <w:start w:val="1"/>
      <w:numFmt w:val="lowerRoman"/>
      <w:lvlText w:val="%1."/>
      <w:lvlJc w:val="right"/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10525">
    <w:abstractNumId w:val="7"/>
  </w:num>
  <w:num w:numId="2" w16cid:durableId="306668730">
    <w:abstractNumId w:val="0"/>
  </w:num>
  <w:num w:numId="3" w16cid:durableId="638651033">
    <w:abstractNumId w:val="4"/>
  </w:num>
  <w:num w:numId="4" w16cid:durableId="1334264733">
    <w:abstractNumId w:val="3"/>
  </w:num>
  <w:num w:numId="5" w16cid:durableId="225651508">
    <w:abstractNumId w:val="2"/>
  </w:num>
  <w:num w:numId="6" w16cid:durableId="2024282786">
    <w:abstractNumId w:val="10"/>
  </w:num>
  <w:num w:numId="7" w16cid:durableId="2037580161">
    <w:abstractNumId w:val="9"/>
  </w:num>
  <w:num w:numId="8" w16cid:durableId="1430663823">
    <w:abstractNumId w:val="1"/>
  </w:num>
  <w:num w:numId="9" w16cid:durableId="763961336">
    <w:abstractNumId w:val="6"/>
  </w:num>
  <w:num w:numId="10" w16cid:durableId="1989238227">
    <w:abstractNumId w:val="12"/>
  </w:num>
  <w:num w:numId="11" w16cid:durableId="968318481">
    <w:abstractNumId w:val="13"/>
  </w:num>
  <w:num w:numId="12" w16cid:durableId="933822595">
    <w:abstractNumId w:val="5"/>
  </w:num>
  <w:num w:numId="13" w16cid:durableId="847402616">
    <w:abstractNumId w:val="8"/>
  </w:num>
  <w:num w:numId="14" w16cid:durableId="355667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24"/>
    <w:rsid w:val="00002C77"/>
    <w:rsid w:val="000033C9"/>
    <w:rsid w:val="00011929"/>
    <w:rsid w:val="00014EDF"/>
    <w:rsid w:val="000222E2"/>
    <w:rsid w:val="0003089B"/>
    <w:rsid w:val="00032601"/>
    <w:rsid w:val="0003323E"/>
    <w:rsid w:val="00036731"/>
    <w:rsid w:val="00037724"/>
    <w:rsid w:val="00045B4E"/>
    <w:rsid w:val="00050880"/>
    <w:rsid w:val="00065B17"/>
    <w:rsid w:val="00065E23"/>
    <w:rsid w:val="00071BE4"/>
    <w:rsid w:val="000A192C"/>
    <w:rsid w:val="000A2B7E"/>
    <w:rsid w:val="000A34D4"/>
    <w:rsid w:val="000A6989"/>
    <w:rsid w:val="000B1203"/>
    <w:rsid w:val="000B28D9"/>
    <w:rsid w:val="000B549D"/>
    <w:rsid w:val="000B6C0B"/>
    <w:rsid w:val="000B7CCD"/>
    <w:rsid w:val="000D07D5"/>
    <w:rsid w:val="000D0B31"/>
    <w:rsid w:val="000D6881"/>
    <w:rsid w:val="000E1F01"/>
    <w:rsid w:val="000F109F"/>
    <w:rsid w:val="0011733A"/>
    <w:rsid w:val="001270F2"/>
    <w:rsid w:val="00130CB6"/>
    <w:rsid w:val="00136B41"/>
    <w:rsid w:val="001403BD"/>
    <w:rsid w:val="00140E71"/>
    <w:rsid w:val="00152541"/>
    <w:rsid w:val="0015699C"/>
    <w:rsid w:val="0016121D"/>
    <w:rsid w:val="00173F68"/>
    <w:rsid w:val="00175C36"/>
    <w:rsid w:val="00176334"/>
    <w:rsid w:val="00176EAB"/>
    <w:rsid w:val="00177C18"/>
    <w:rsid w:val="00180EE9"/>
    <w:rsid w:val="001851C0"/>
    <w:rsid w:val="00190AB6"/>
    <w:rsid w:val="00194480"/>
    <w:rsid w:val="00194EA5"/>
    <w:rsid w:val="00196E3F"/>
    <w:rsid w:val="001A2ADD"/>
    <w:rsid w:val="001A49CC"/>
    <w:rsid w:val="001A751F"/>
    <w:rsid w:val="001B0FC6"/>
    <w:rsid w:val="001B1771"/>
    <w:rsid w:val="001C04BC"/>
    <w:rsid w:val="001C1972"/>
    <w:rsid w:val="001C2073"/>
    <w:rsid w:val="001C2137"/>
    <w:rsid w:val="001C351B"/>
    <w:rsid w:val="001C4C08"/>
    <w:rsid w:val="001C5370"/>
    <w:rsid w:val="001D000D"/>
    <w:rsid w:val="001E4210"/>
    <w:rsid w:val="001E5D9A"/>
    <w:rsid w:val="001F63E5"/>
    <w:rsid w:val="00201C3C"/>
    <w:rsid w:val="00212153"/>
    <w:rsid w:val="00215D9C"/>
    <w:rsid w:val="002179E8"/>
    <w:rsid w:val="002350E9"/>
    <w:rsid w:val="00235B4F"/>
    <w:rsid w:val="0024025E"/>
    <w:rsid w:val="00242724"/>
    <w:rsid w:val="00253D00"/>
    <w:rsid w:val="00264A0D"/>
    <w:rsid w:val="00266E00"/>
    <w:rsid w:val="00275131"/>
    <w:rsid w:val="00275CE8"/>
    <w:rsid w:val="00276D98"/>
    <w:rsid w:val="00277860"/>
    <w:rsid w:val="002815CB"/>
    <w:rsid w:val="002819C8"/>
    <w:rsid w:val="00287241"/>
    <w:rsid w:val="002902B5"/>
    <w:rsid w:val="0029211D"/>
    <w:rsid w:val="00296369"/>
    <w:rsid w:val="002A49BA"/>
    <w:rsid w:val="002A594F"/>
    <w:rsid w:val="002A7EF5"/>
    <w:rsid w:val="002B230F"/>
    <w:rsid w:val="002B7F90"/>
    <w:rsid w:val="002C0193"/>
    <w:rsid w:val="002C04A6"/>
    <w:rsid w:val="002C0745"/>
    <w:rsid w:val="002C279F"/>
    <w:rsid w:val="002C55C3"/>
    <w:rsid w:val="002D158F"/>
    <w:rsid w:val="002D1972"/>
    <w:rsid w:val="002D6E4A"/>
    <w:rsid w:val="002E0E35"/>
    <w:rsid w:val="002E496C"/>
    <w:rsid w:val="002E6B24"/>
    <w:rsid w:val="002E7580"/>
    <w:rsid w:val="002F0BA3"/>
    <w:rsid w:val="002F61F9"/>
    <w:rsid w:val="002F6501"/>
    <w:rsid w:val="00307084"/>
    <w:rsid w:val="0031145B"/>
    <w:rsid w:val="00315F8F"/>
    <w:rsid w:val="00317258"/>
    <w:rsid w:val="00326087"/>
    <w:rsid w:val="00327EC0"/>
    <w:rsid w:val="00330084"/>
    <w:rsid w:val="00331CED"/>
    <w:rsid w:val="00333711"/>
    <w:rsid w:val="0033483C"/>
    <w:rsid w:val="003360C1"/>
    <w:rsid w:val="00347AA7"/>
    <w:rsid w:val="00347C13"/>
    <w:rsid w:val="00355447"/>
    <w:rsid w:val="0037002A"/>
    <w:rsid w:val="00370C8D"/>
    <w:rsid w:val="00385DE9"/>
    <w:rsid w:val="00392C7A"/>
    <w:rsid w:val="003943B7"/>
    <w:rsid w:val="00394A63"/>
    <w:rsid w:val="00395A9B"/>
    <w:rsid w:val="00395FC5"/>
    <w:rsid w:val="00396B3F"/>
    <w:rsid w:val="003B2D85"/>
    <w:rsid w:val="003C14D4"/>
    <w:rsid w:val="003C2B72"/>
    <w:rsid w:val="003C5B2E"/>
    <w:rsid w:val="003C67BB"/>
    <w:rsid w:val="003C70BA"/>
    <w:rsid w:val="003D2A5F"/>
    <w:rsid w:val="003D3376"/>
    <w:rsid w:val="003D5B12"/>
    <w:rsid w:val="003D5C9A"/>
    <w:rsid w:val="003D623A"/>
    <w:rsid w:val="003E0683"/>
    <w:rsid w:val="003E67E5"/>
    <w:rsid w:val="003F1DA3"/>
    <w:rsid w:val="003F7EB0"/>
    <w:rsid w:val="00401A9B"/>
    <w:rsid w:val="004075E7"/>
    <w:rsid w:val="00407B55"/>
    <w:rsid w:val="004156F6"/>
    <w:rsid w:val="0042221A"/>
    <w:rsid w:val="00427040"/>
    <w:rsid w:val="00430B4A"/>
    <w:rsid w:val="00431923"/>
    <w:rsid w:val="0043336F"/>
    <w:rsid w:val="00435C01"/>
    <w:rsid w:val="00436343"/>
    <w:rsid w:val="004363C3"/>
    <w:rsid w:val="00436A5A"/>
    <w:rsid w:val="00442430"/>
    <w:rsid w:val="00442EFD"/>
    <w:rsid w:val="004445B9"/>
    <w:rsid w:val="004472BA"/>
    <w:rsid w:val="004478A0"/>
    <w:rsid w:val="00454C7F"/>
    <w:rsid w:val="004551F8"/>
    <w:rsid w:val="00455863"/>
    <w:rsid w:val="0045773B"/>
    <w:rsid w:val="0046274A"/>
    <w:rsid w:val="00480495"/>
    <w:rsid w:val="00485AF9"/>
    <w:rsid w:val="0048632F"/>
    <w:rsid w:val="004A2B07"/>
    <w:rsid w:val="004A59B5"/>
    <w:rsid w:val="004C13B0"/>
    <w:rsid w:val="004C1E1F"/>
    <w:rsid w:val="004C47D5"/>
    <w:rsid w:val="004C6153"/>
    <w:rsid w:val="004D635E"/>
    <w:rsid w:val="004E5467"/>
    <w:rsid w:val="004F33F4"/>
    <w:rsid w:val="004F363E"/>
    <w:rsid w:val="00504774"/>
    <w:rsid w:val="005104B6"/>
    <w:rsid w:val="00512637"/>
    <w:rsid w:val="005126DB"/>
    <w:rsid w:val="005229E4"/>
    <w:rsid w:val="00522ABC"/>
    <w:rsid w:val="0052414F"/>
    <w:rsid w:val="005258E8"/>
    <w:rsid w:val="0052710D"/>
    <w:rsid w:val="0053380E"/>
    <w:rsid w:val="00542EFD"/>
    <w:rsid w:val="005450DC"/>
    <w:rsid w:val="00550092"/>
    <w:rsid w:val="00550249"/>
    <w:rsid w:val="00550663"/>
    <w:rsid w:val="00573B5C"/>
    <w:rsid w:val="005742E3"/>
    <w:rsid w:val="00576DAA"/>
    <w:rsid w:val="005810F8"/>
    <w:rsid w:val="00585A88"/>
    <w:rsid w:val="005900B9"/>
    <w:rsid w:val="00591CE1"/>
    <w:rsid w:val="005945CC"/>
    <w:rsid w:val="0059750C"/>
    <w:rsid w:val="005A78DC"/>
    <w:rsid w:val="005B3C2E"/>
    <w:rsid w:val="005B5297"/>
    <w:rsid w:val="005B5823"/>
    <w:rsid w:val="005B5D1E"/>
    <w:rsid w:val="005B6470"/>
    <w:rsid w:val="005C0D75"/>
    <w:rsid w:val="005C1041"/>
    <w:rsid w:val="005D0DEB"/>
    <w:rsid w:val="005D2E70"/>
    <w:rsid w:val="005D734F"/>
    <w:rsid w:val="005E18EA"/>
    <w:rsid w:val="005E37AD"/>
    <w:rsid w:val="005F1664"/>
    <w:rsid w:val="005F1D37"/>
    <w:rsid w:val="005F23CC"/>
    <w:rsid w:val="005F350A"/>
    <w:rsid w:val="005F4218"/>
    <w:rsid w:val="006063AF"/>
    <w:rsid w:val="006139CA"/>
    <w:rsid w:val="00614A34"/>
    <w:rsid w:val="0061523C"/>
    <w:rsid w:val="006167E9"/>
    <w:rsid w:val="0062421D"/>
    <w:rsid w:val="00630944"/>
    <w:rsid w:val="00631268"/>
    <w:rsid w:val="00640B72"/>
    <w:rsid w:val="00646EC5"/>
    <w:rsid w:val="0066246B"/>
    <w:rsid w:val="0066343E"/>
    <w:rsid w:val="006643BC"/>
    <w:rsid w:val="00671681"/>
    <w:rsid w:val="006808C5"/>
    <w:rsid w:val="00686A8F"/>
    <w:rsid w:val="00694E2F"/>
    <w:rsid w:val="00695140"/>
    <w:rsid w:val="006B721A"/>
    <w:rsid w:val="006C6E9E"/>
    <w:rsid w:val="006C71CA"/>
    <w:rsid w:val="006D32A6"/>
    <w:rsid w:val="006E1E9B"/>
    <w:rsid w:val="006E6CDA"/>
    <w:rsid w:val="006F1FF5"/>
    <w:rsid w:val="006F4786"/>
    <w:rsid w:val="006F75F0"/>
    <w:rsid w:val="007030A7"/>
    <w:rsid w:val="007078DE"/>
    <w:rsid w:val="00707947"/>
    <w:rsid w:val="00710F4B"/>
    <w:rsid w:val="00711BCF"/>
    <w:rsid w:val="0072156D"/>
    <w:rsid w:val="00721CC8"/>
    <w:rsid w:val="007246BA"/>
    <w:rsid w:val="00725AEF"/>
    <w:rsid w:val="00740F1B"/>
    <w:rsid w:val="00741433"/>
    <w:rsid w:val="00747F34"/>
    <w:rsid w:val="0075148F"/>
    <w:rsid w:val="00754520"/>
    <w:rsid w:val="00755BB9"/>
    <w:rsid w:val="00761850"/>
    <w:rsid w:val="00762B1D"/>
    <w:rsid w:val="00763F9F"/>
    <w:rsid w:val="00773B31"/>
    <w:rsid w:val="00782183"/>
    <w:rsid w:val="00786AB9"/>
    <w:rsid w:val="00790071"/>
    <w:rsid w:val="00793258"/>
    <w:rsid w:val="007974FF"/>
    <w:rsid w:val="007A06FB"/>
    <w:rsid w:val="007A1434"/>
    <w:rsid w:val="007A6DDC"/>
    <w:rsid w:val="007B0BC8"/>
    <w:rsid w:val="007B24F5"/>
    <w:rsid w:val="007B508C"/>
    <w:rsid w:val="007B7A2D"/>
    <w:rsid w:val="007C038C"/>
    <w:rsid w:val="007C65DC"/>
    <w:rsid w:val="007D2364"/>
    <w:rsid w:val="007D300E"/>
    <w:rsid w:val="007D4C36"/>
    <w:rsid w:val="007D5E17"/>
    <w:rsid w:val="007D7207"/>
    <w:rsid w:val="007E0C22"/>
    <w:rsid w:val="007E4BF6"/>
    <w:rsid w:val="007E7B0B"/>
    <w:rsid w:val="007F1703"/>
    <w:rsid w:val="007F3119"/>
    <w:rsid w:val="007F656B"/>
    <w:rsid w:val="007F6DAA"/>
    <w:rsid w:val="007F7C69"/>
    <w:rsid w:val="0080072B"/>
    <w:rsid w:val="00805F3B"/>
    <w:rsid w:val="008115FA"/>
    <w:rsid w:val="008135C9"/>
    <w:rsid w:val="00815F02"/>
    <w:rsid w:val="008201D2"/>
    <w:rsid w:val="00823C0A"/>
    <w:rsid w:val="00826224"/>
    <w:rsid w:val="008368EE"/>
    <w:rsid w:val="00845429"/>
    <w:rsid w:val="008461FF"/>
    <w:rsid w:val="008514C4"/>
    <w:rsid w:val="008604B9"/>
    <w:rsid w:val="00861BE0"/>
    <w:rsid w:val="00866B77"/>
    <w:rsid w:val="00867619"/>
    <w:rsid w:val="00871252"/>
    <w:rsid w:val="0088541E"/>
    <w:rsid w:val="008915C8"/>
    <w:rsid w:val="008A2906"/>
    <w:rsid w:val="008B0364"/>
    <w:rsid w:val="008B296B"/>
    <w:rsid w:val="008B2C1E"/>
    <w:rsid w:val="008B2CA5"/>
    <w:rsid w:val="008B506F"/>
    <w:rsid w:val="008B71FB"/>
    <w:rsid w:val="008C1359"/>
    <w:rsid w:val="008C16D5"/>
    <w:rsid w:val="008C2BC1"/>
    <w:rsid w:val="008C4C28"/>
    <w:rsid w:val="008C5A7C"/>
    <w:rsid w:val="008C74B4"/>
    <w:rsid w:val="008D022F"/>
    <w:rsid w:val="008D1717"/>
    <w:rsid w:val="008D364D"/>
    <w:rsid w:val="008D7471"/>
    <w:rsid w:val="008D764C"/>
    <w:rsid w:val="008F3406"/>
    <w:rsid w:val="008F468E"/>
    <w:rsid w:val="008F6922"/>
    <w:rsid w:val="00900494"/>
    <w:rsid w:val="00902DE9"/>
    <w:rsid w:val="0090372A"/>
    <w:rsid w:val="00904A95"/>
    <w:rsid w:val="009052AB"/>
    <w:rsid w:val="00936CAA"/>
    <w:rsid w:val="00940435"/>
    <w:rsid w:val="00945F2C"/>
    <w:rsid w:val="009505AD"/>
    <w:rsid w:val="00952202"/>
    <w:rsid w:val="00953C84"/>
    <w:rsid w:val="0095692D"/>
    <w:rsid w:val="00965B08"/>
    <w:rsid w:val="009673DD"/>
    <w:rsid w:val="0096769F"/>
    <w:rsid w:val="0098057F"/>
    <w:rsid w:val="00985F81"/>
    <w:rsid w:val="0098683B"/>
    <w:rsid w:val="0099437B"/>
    <w:rsid w:val="00994678"/>
    <w:rsid w:val="009A6E60"/>
    <w:rsid w:val="009B06A9"/>
    <w:rsid w:val="009C39B2"/>
    <w:rsid w:val="009C3F1E"/>
    <w:rsid w:val="009D6833"/>
    <w:rsid w:val="009E135D"/>
    <w:rsid w:val="009E42B3"/>
    <w:rsid w:val="009E675F"/>
    <w:rsid w:val="009E721F"/>
    <w:rsid w:val="009F44F2"/>
    <w:rsid w:val="009F75F2"/>
    <w:rsid w:val="00A00AC1"/>
    <w:rsid w:val="00A0108E"/>
    <w:rsid w:val="00A040EC"/>
    <w:rsid w:val="00A162A1"/>
    <w:rsid w:val="00A21ACB"/>
    <w:rsid w:val="00A2521A"/>
    <w:rsid w:val="00A27E9C"/>
    <w:rsid w:val="00A37D57"/>
    <w:rsid w:val="00A44A9C"/>
    <w:rsid w:val="00A47DF2"/>
    <w:rsid w:val="00A6513A"/>
    <w:rsid w:val="00A7343D"/>
    <w:rsid w:val="00A77668"/>
    <w:rsid w:val="00A80F4B"/>
    <w:rsid w:val="00A92279"/>
    <w:rsid w:val="00A9243A"/>
    <w:rsid w:val="00AA11BF"/>
    <w:rsid w:val="00AA1F86"/>
    <w:rsid w:val="00AB4169"/>
    <w:rsid w:val="00AC4AE4"/>
    <w:rsid w:val="00AD2238"/>
    <w:rsid w:val="00AD7D66"/>
    <w:rsid w:val="00AE1ADA"/>
    <w:rsid w:val="00AE4631"/>
    <w:rsid w:val="00AE5532"/>
    <w:rsid w:val="00AE7FF9"/>
    <w:rsid w:val="00AF0560"/>
    <w:rsid w:val="00AF368C"/>
    <w:rsid w:val="00AF7DDB"/>
    <w:rsid w:val="00B01572"/>
    <w:rsid w:val="00B12EDB"/>
    <w:rsid w:val="00B16F48"/>
    <w:rsid w:val="00B16FDC"/>
    <w:rsid w:val="00B209D0"/>
    <w:rsid w:val="00B25577"/>
    <w:rsid w:val="00B26E7E"/>
    <w:rsid w:val="00B26F3B"/>
    <w:rsid w:val="00B30DA2"/>
    <w:rsid w:val="00B30F32"/>
    <w:rsid w:val="00B32474"/>
    <w:rsid w:val="00B32891"/>
    <w:rsid w:val="00B343E1"/>
    <w:rsid w:val="00B3538D"/>
    <w:rsid w:val="00B353E6"/>
    <w:rsid w:val="00B439AF"/>
    <w:rsid w:val="00B43A8C"/>
    <w:rsid w:val="00B45017"/>
    <w:rsid w:val="00B47E63"/>
    <w:rsid w:val="00B51517"/>
    <w:rsid w:val="00B540D9"/>
    <w:rsid w:val="00B704DB"/>
    <w:rsid w:val="00B76E6E"/>
    <w:rsid w:val="00B8286E"/>
    <w:rsid w:val="00B872FD"/>
    <w:rsid w:val="00B91DC5"/>
    <w:rsid w:val="00B921B4"/>
    <w:rsid w:val="00B95DF7"/>
    <w:rsid w:val="00B968B8"/>
    <w:rsid w:val="00B97EF6"/>
    <w:rsid w:val="00B97F9B"/>
    <w:rsid w:val="00BB06B6"/>
    <w:rsid w:val="00BB5B30"/>
    <w:rsid w:val="00BB770C"/>
    <w:rsid w:val="00BC6491"/>
    <w:rsid w:val="00BC6DB5"/>
    <w:rsid w:val="00BD330F"/>
    <w:rsid w:val="00BD435F"/>
    <w:rsid w:val="00BD6026"/>
    <w:rsid w:val="00BD6697"/>
    <w:rsid w:val="00BD760D"/>
    <w:rsid w:val="00BE2B83"/>
    <w:rsid w:val="00BF1A00"/>
    <w:rsid w:val="00C11A77"/>
    <w:rsid w:val="00C12B2A"/>
    <w:rsid w:val="00C32B34"/>
    <w:rsid w:val="00C41524"/>
    <w:rsid w:val="00C45907"/>
    <w:rsid w:val="00C5665C"/>
    <w:rsid w:val="00C624FE"/>
    <w:rsid w:val="00C675AB"/>
    <w:rsid w:val="00CA3027"/>
    <w:rsid w:val="00CA3702"/>
    <w:rsid w:val="00CA45EF"/>
    <w:rsid w:val="00CA5901"/>
    <w:rsid w:val="00CA6DB9"/>
    <w:rsid w:val="00CB171C"/>
    <w:rsid w:val="00CB3734"/>
    <w:rsid w:val="00CC0B74"/>
    <w:rsid w:val="00CC49B7"/>
    <w:rsid w:val="00CD2478"/>
    <w:rsid w:val="00CD7BCF"/>
    <w:rsid w:val="00CE1DF3"/>
    <w:rsid w:val="00CE1E6C"/>
    <w:rsid w:val="00CE3111"/>
    <w:rsid w:val="00CE4271"/>
    <w:rsid w:val="00CE4307"/>
    <w:rsid w:val="00CE7AA6"/>
    <w:rsid w:val="00CF12BD"/>
    <w:rsid w:val="00CF6929"/>
    <w:rsid w:val="00CF7824"/>
    <w:rsid w:val="00D02C4F"/>
    <w:rsid w:val="00D047CA"/>
    <w:rsid w:val="00D049CA"/>
    <w:rsid w:val="00D1063E"/>
    <w:rsid w:val="00D125F4"/>
    <w:rsid w:val="00D12BD0"/>
    <w:rsid w:val="00D135D2"/>
    <w:rsid w:val="00D14358"/>
    <w:rsid w:val="00D167FB"/>
    <w:rsid w:val="00D20973"/>
    <w:rsid w:val="00D276BC"/>
    <w:rsid w:val="00D31FA7"/>
    <w:rsid w:val="00D33F82"/>
    <w:rsid w:val="00D35BCF"/>
    <w:rsid w:val="00D372F5"/>
    <w:rsid w:val="00D40A0A"/>
    <w:rsid w:val="00D40A62"/>
    <w:rsid w:val="00D5698F"/>
    <w:rsid w:val="00D611B1"/>
    <w:rsid w:val="00D616AD"/>
    <w:rsid w:val="00D622FA"/>
    <w:rsid w:val="00D63235"/>
    <w:rsid w:val="00D63AFE"/>
    <w:rsid w:val="00D67AC3"/>
    <w:rsid w:val="00D67C1D"/>
    <w:rsid w:val="00D80947"/>
    <w:rsid w:val="00D812E0"/>
    <w:rsid w:val="00D82F32"/>
    <w:rsid w:val="00D84FF6"/>
    <w:rsid w:val="00D91929"/>
    <w:rsid w:val="00DA1003"/>
    <w:rsid w:val="00DA3CE4"/>
    <w:rsid w:val="00DB0E09"/>
    <w:rsid w:val="00DD0AD9"/>
    <w:rsid w:val="00DE094E"/>
    <w:rsid w:val="00DE1782"/>
    <w:rsid w:val="00DE1DA1"/>
    <w:rsid w:val="00DE1DDD"/>
    <w:rsid w:val="00DE32EB"/>
    <w:rsid w:val="00DE5507"/>
    <w:rsid w:val="00DE62AA"/>
    <w:rsid w:val="00DF2964"/>
    <w:rsid w:val="00E0379E"/>
    <w:rsid w:val="00E058E6"/>
    <w:rsid w:val="00E06625"/>
    <w:rsid w:val="00E06ADB"/>
    <w:rsid w:val="00E07557"/>
    <w:rsid w:val="00E10BD6"/>
    <w:rsid w:val="00E11BC4"/>
    <w:rsid w:val="00E121F5"/>
    <w:rsid w:val="00E12B1E"/>
    <w:rsid w:val="00E15FD3"/>
    <w:rsid w:val="00E21FB3"/>
    <w:rsid w:val="00E36C22"/>
    <w:rsid w:val="00E378B9"/>
    <w:rsid w:val="00E420ED"/>
    <w:rsid w:val="00E44B2A"/>
    <w:rsid w:val="00E63254"/>
    <w:rsid w:val="00E634D9"/>
    <w:rsid w:val="00E67024"/>
    <w:rsid w:val="00E70E1A"/>
    <w:rsid w:val="00E74319"/>
    <w:rsid w:val="00E8404C"/>
    <w:rsid w:val="00E932AD"/>
    <w:rsid w:val="00E97657"/>
    <w:rsid w:val="00EA6175"/>
    <w:rsid w:val="00EB33BF"/>
    <w:rsid w:val="00EB3E37"/>
    <w:rsid w:val="00EB421E"/>
    <w:rsid w:val="00EB5F3D"/>
    <w:rsid w:val="00EB5FB7"/>
    <w:rsid w:val="00ED0B3F"/>
    <w:rsid w:val="00ED674D"/>
    <w:rsid w:val="00EE1E16"/>
    <w:rsid w:val="00EE5217"/>
    <w:rsid w:val="00EF7124"/>
    <w:rsid w:val="00F06662"/>
    <w:rsid w:val="00F121B6"/>
    <w:rsid w:val="00F15142"/>
    <w:rsid w:val="00F1556F"/>
    <w:rsid w:val="00F15E79"/>
    <w:rsid w:val="00F228E7"/>
    <w:rsid w:val="00F34AC8"/>
    <w:rsid w:val="00F4446A"/>
    <w:rsid w:val="00F571E5"/>
    <w:rsid w:val="00F643F9"/>
    <w:rsid w:val="00F702C7"/>
    <w:rsid w:val="00F70AF5"/>
    <w:rsid w:val="00F74072"/>
    <w:rsid w:val="00F8095C"/>
    <w:rsid w:val="00F9110D"/>
    <w:rsid w:val="00F9388C"/>
    <w:rsid w:val="00F946B5"/>
    <w:rsid w:val="00FA155B"/>
    <w:rsid w:val="00FA704D"/>
    <w:rsid w:val="00FB0370"/>
    <w:rsid w:val="00FB3F7A"/>
    <w:rsid w:val="00FB4198"/>
    <w:rsid w:val="00FC029D"/>
    <w:rsid w:val="00FD1F26"/>
    <w:rsid w:val="00FD33D4"/>
    <w:rsid w:val="00FD526C"/>
    <w:rsid w:val="00FE0DFE"/>
    <w:rsid w:val="00FE4735"/>
    <w:rsid w:val="00FF37B0"/>
    <w:rsid w:val="2F72431C"/>
    <w:rsid w:val="566633A1"/>
    <w:rsid w:val="6645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7AF40"/>
  <w15:chartTrackingRefBased/>
  <w15:docId w15:val="{65CC613A-5F9D-4F30-8377-55DDC32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3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5B30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73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B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30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5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1DF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3B5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46E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46E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6E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46EC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D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4A"/>
  </w:style>
  <w:style w:type="paragraph" w:styleId="Footer">
    <w:name w:val="footer"/>
    <w:basedOn w:val="Normal"/>
    <w:link w:val="FooterChar"/>
    <w:uiPriority w:val="99"/>
    <w:unhideWhenUsed/>
    <w:rsid w:val="002D6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ireusa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.gov/eere/femp/articles/distributed-energy-interconnection-checkli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gov/eere/femp/articles/distributed-energy-interconnection-checkli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gov/eere/femp/articles/lithium-ion-battery-storage-technical-specifica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nergy.gov/eere/femp/articles/lithium-ion-battery-storage-technical-specification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.gov/eere/solar/federal-solar-tax-credits-business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F9495A06214287B3C55318F256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147E-7F52-4CF0-A458-9129B14EE1DC}"/>
      </w:docPartPr>
      <w:docPartBody>
        <w:p w:rsidR="00A77D17" w:rsidRDefault="00A77D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17"/>
    <w:rsid w:val="00135473"/>
    <w:rsid w:val="00264138"/>
    <w:rsid w:val="005C530E"/>
    <w:rsid w:val="00734018"/>
    <w:rsid w:val="007B52A8"/>
    <w:rsid w:val="00870C91"/>
    <w:rsid w:val="00A77D17"/>
    <w:rsid w:val="00B74FCA"/>
    <w:rsid w:val="00D62B82"/>
    <w:rsid w:val="00E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7" ma:contentTypeDescription="Create a new document." ma:contentTypeScope="" ma:versionID="885f11a2b3701afe3b2d4b3f2728369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d560d6548916016f9093a18ffe61f159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b36b7-24b7-4d84-9b03-1d852144fad3">
      <Terms xmlns="http://schemas.microsoft.com/office/infopath/2007/PartnerControls"/>
    </lcf76f155ced4ddcb4097134ff3c332f>
    <TaxCatchAll xmlns="84fcc3d4-a868-4b4a-869f-9b2910028862" xsi:nil="true"/>
    <ATextColumn xmlns="351b36b7-24b7-4d84-9b03-1d852144fa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18B4E-201C-4600-B059-512FC0ED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36b7-24b7-4d84-9b03-1d852144fad3"/>
    <ds:schemaRef ds:uri="84fcc3d4-a868-4b4a-869f-9b2910028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2E015-0023-4565-991A-BDDCF40AD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C964E-5A07-4077-BB90-24E00C90FA34}">
  <ds:schemaRefs>
    <ds:schemaRef ds:uri="http://schemas.microsoft.com/office/2006/metadata/properties"/>
    <ds:schemaRef ds:uri="http://schemas.microsoft.com/office/infopath/2007/PartnerControls"/>
    <ds:schemaRef ds:uri="4c30fd5a-92bd-483f-86cb-93203b0596a1"/>
    <ds:schemaRef ds:uri="36b91b1d-e048-42cc-9afd-3478b2914d88"/>
    <ds:schemaRef ds:uri="351b36b7-24b7-4d84-9b03-1d852144fad3"/>
    <ds:schemaRef ds:uri="84fcc3d4-a868-4b4a-869f-9b2910028862"/>
  </ds:schemaRefs>
</ds:datastoreItem>
</file>

<file path=customXml/itemProps4.xml><?xml version="1.0" encoding="utf-8"?>
<ds:datastoreItem xmlns:ds="http://schemas.openxmlformats.org/officeDocument/2006/customXml" ds:itemID="{E1D94A7D-B69C-4054-A7E5-4E56ED0D02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12874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Joyner, Matthew</dc:creator>
  <cp:keywords/>
  <dc:description/>
  <cp:lastModifiedBy>Pusateri, Taryn</cp:lastModifiedBy>
  <cp:revision>3</cp:revision>
  <dcterms:created xsi:type="dcterms:W3CDTF">2025-02-10T22:55:00Z</dcterms:created>
  <dcterms:modified xsi:type="dcterms:W3CDTF">2025-02-10T22:55:00Z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  <property fmtid="{D5CDD505-2E9C-101B-9397-08002B2CF9AE}" pid="3" name="MediaServiceImageTags">
    <vt:lpwstr/>
  </property>
</Properties>
</file>