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7F6F1" w14:textId="4469167A" w:rsidR="00434330" w:rsidRPr="00151F80" w:rsidRDefault="00FE75E2" w:rsidP="00FE75E2">
      <w:pPr>
        <w:jc w:val="center"/>
        <w:rPr>
          <w:b/>
          <w:bCs/>
          <w:sz w:val="36"/>
          <w:szCs w:val="36"/>
        </w:rPr>
      </w:pPr>
      <w:r w:rsidRPr="00151F80">
        <w:rPr>
          <w:b/>
          <w:bCs/>
          <w:sz w:val="36"/>
          <w:szCs w:val="36"/>
        </w:rPr>
        <w:t xml:space="preserve">FCIC Industry Partnership Call Proposal </w:t>
      </w:r>
      <w:r w:rsidR="00977E0E" w:rsidRPr="00151F80">
        <w:rPr>
          <w:b/>
          <w:bCs/>
          <w:sz w:val="36"/>
          <w:szCs w:val="36"/>
        </w:rPr>
        <w:t>Guidelines</w:t>
      </w:r>
    </w:p>
    <w:p w14:paraId="19FA3591" w14:textId="4841D96B" w:rsidR="00977E0E" w:rsidRDefault="005F3633" w:rsidP="00E269B1">
      <w:r>
        <w:t>W</w:t>
      </w:r>
      <w:r w:rsidR="00D973E4">
        <w:t xml:space="preserve">e provide guidelines </w:t>
      </w:r>
      <w:r>
        <w:t xml:space="preserve">below </w:t>
      </w:r>
      <w:r w:rsidR="00D973E4">
        <w:t>to</w:t>
      </w:r>
      <w:r w:rsidR="00977E0E">
        <w:t xml:space="preserve"> </w:t>
      </w:r>
      <w:r w:rsidR="00D973E4">
        <w:t xml:space="preserve">help </w:t>
      </w:r>
      <w:r w:rsidR="00977E0E">
        <w:t>applicants prepar</w:t>
      </w:r>
      <w:r w:rsidR="00D973E4">
        <w:t xml:space="preserve">e </w:t>
      </w:r>
      <w:r w:rsidR="00977E0E">
        <w:t>effective IPC proposal</w:t>
      </w:r>
      <w:r w:rsidR="00D973E4">
        <w:t>s.</w:t>
      </w:r>
      <w:r w:rsidR="00977E0E">
        <w:t xml:space="preserve"> Note that the three different topic areas have </w:t>
      </w:r>
      <w:r w:rsidR="00E269B1">
        <w:t>differen</w:t>
      </w:r>
      <w:r w:rsidR="00D973E4">
        <w:t>t</w:t>
      </w:r>
      <w:r w:rsidR="00E269B1">
        <w:t xml:space="preserve"> page limits and </w:t>
      </w:r>
      <w:r w:rsidR="00977E0E">
        <w:t>scoring</w:t>
      </w:r>
      <w:r w:rsidR="00D973E4">
        <w:t xml:space="preserve"> structures</w:t>
      </w:r>
      <w:r w:rsidR="00977E0E">
        <w:t>, as shown in the following table.</w:t>
      </w:r>
    </w:p>
    <w:tbl>
      <w:tblPr>
        <w:tblStyle w:val="TableGrid"/>
        <w:tblW w:w="0" w:type="auto"/>
        <w:tblLook w:val="04A0" w:firstRow="1" w:lastRow="0" w:firstColumn="1" w:lastColumn="0" w:noHBand="0" w:noVBand="1"/>
      </w:tblPr>
      <w:tblGrid>
        <w:gridCol w:w="4405"/>
        <w:gridCol w:w="2520"/>
        <w:gridCol w:w="2610"/>
        <w:gridCol w:w="2700"/>
      </w:tblGrid>
      <w:tr w:rsidR="00E269B1" w14:paraId="1F0F4A7C" w14:textId="77777777" w:rsidTr="00CB7C1C">
        <w:tc>
          <w:tcPr>
            <w:tcW w:w="4405" w:type="dxa"/>
          </w:tcPr>
          <w:p w14:paraId="475DAE07" w14:textId="5EDC9BA3" w:rsidR="00E269B1" w:rsidRDefault="00E269B1" w:rsidP="00E269B1"/>
        </w:tc>
        <w:tc>
          <w:tcPr>
            <w:tcW w:w="2520" w:type="dxa"/>
          </w:tcPr>
          <w:p w14:paraId="7886862F" w14:textId="1BEE2CFF" w:rsidR="00E269B1" w:rsidRDefault="00E269B1" w:rsidP="00CB7C1C">
            <w:r>
              <w:rPr>
                <w:rFonts w:cstheme="minorHAnsi"/>
                <w:b/>
                <w:bCs/>
              </w:rPr>
              <w:t>A</w:t>
            </w:r>
            <w:r w:rsidRPr="00FE75E2">
              <w:rPr>
                <w:rFonts w:cstheme="minorHAnsi"/>
                <w:b/>
                <w:bCs/>
              </w:rPr>
              <w:t>rea 1: CRADA Partnerships</w:t>
            </w:r>
            <w:r w:rsidRPr="00FE75E2">
              <w:rPr>
                <w:rFonts w:cstheme="minorHAnsi"/>
              </w:rPr>
              <w:t xml:space="preserve"> </w:t>
            </w:r>
          </w:p>
        </w:tc>
        <w:tc>
          <w:tcPr>
            <w:tcW w:w="2610" w:type="dxa"/>
          </w:tcPr>
          <w:p w14:paraId="5846A243" w14:textId="57E4DCEB" w:rsidR="00E269B1" w:rsidRDefault="00E269B1" w:rsidP="00E269B1">
            <w:r w:rsidRPr="00FE75E2">
              <w:rPr>
                <w:rFonts w:cstheme="minorHAnsi"/>
                <w:b/>
                <w:bCs/>
              </w:rPr>
              <w:t>Topic Area 2: Rapid Technical Assistance</w:t>
            </w:r>
            <w:r w:rsidRPr="00FE75E2">
              <w:rPr>
                <w:rFonts w:cstheme="minorHAnsi"/>
              </w:rPr>
              <w:t xml:space="preserve"> </w:t>
            </w:r>
          </w:p>
        </w:tc>
        <w:tc>
          <w:tcPr>
            <w:tcW w:w="2700" w:type="dxa"/>
          </w:tcPr>
          <w:p w14:paraId="2CFDC8DB" w14:textId="22995E48" w:rsidR="00E269B1" w:rsidRDefault="00E269B1" w:rsidP="00E269B1">
            <w:r w:rsidRPr="00476132">
              <w:rPr>
                <w:rFonts w:cstheme="minorHAnsi"/>
                <w:b/>
                <w:bCs/>
              </w:rPr>
              <w:t>Topic Area 3:</w:t>
            </w:r>
            <w:r w:rsidRPr="00476132">
              <w:rPr>
                <w:rFonts w:cstheme="minorHAnsi"/>
              </w:rPr>
              <w:t xml:space="preserve"> </w:t>
            </w:r>
            <w:r w:rsidRPr="00476132">
              <w:rPr>
                <w:rFonts w:cstheme="minorHAnsi"/>
                <w:b/>
                <w:bCs/>
              </w:rPr>
              <w:t>Biorefinery Technical Assistance</w:t>
            </w:r>
          </w:p>
        </w:tc>
      </w:tr>
      <w:tr w:rsidR="00E269B1" w14:paraId="48F16D20" w14:textId="77777777" w:rsidTr="00CB7C1C">
        <w:tc>
          <w:tcPr>
            <w:tcW w:w="4405" w:type="dxa"/>
          </w:tcPr>
          <w:p w14:paraId="28A9311E" w14:textId="30404AB5" w:rsidR="00E269B1" w:rsidRDefault="00E269B1" w:rsidP="00E269B1">
            <w:r>
              <w:t>Page Limit</w:t>
            </w:r>
          </w:p>
        </w:tc>
        <w:tc>
          <w:tcPr>
            <w:tcW w:w="2520" w:type="dxa"/>
          </w:tcPr>
          <w:p w14:paraId="7DCE1CF8" w14:textId="58A023AE" w:rsidR="00E269B1" w:rsidRDefault="00A66F8F" w:rsidP="00E269B1">
            <w:r>
              <w:t>10</w:t>
            </w:r>
          </w:p>
        </w:tc>
        <w:tc>
          <w:tcPr>
            <w:tcW w:w="2610" w:type="dxa"/>
          </w:tcPr>
          <w:p w14:paraId="41615223" w14:textId="213EB47E" w:rsidR="00E269B1" w:rsidRDefault="00151F80" w:rsidP="00E269B1">
            <w:r>
              <w:t>3</w:t>
            </w:r>
          </w:p>
        </w:tc>
        <w:tc>
          <w:tcPr>
            <w:tcW w:w="2700" w:type="dxa"/>
          </w:tcPr>
          <w:p w14:paraId="7BB424B7" w14:textId="0E464B69" w:rsidR="00E269B1" w:rsidRDefault="00A66F8F" w:rsidP="00E269B1">
            <w:r>
              <w:t>8</w:t>
            </w:r>
          </w:p>
        </w:tc>
      </w:tr>
      <w:tr w:rsidR="00E269B1" w14:paraId="77C80479" w14:textId="77777777" w:rsidTr="00CB7C1C">
        <w:tc>
          <w:tcPr>
            <w:tcW w:w="4405" w:type="dxa"/>
          </w:tcPr>
          <w:p w14:paraId="121C45E9" w14:textId="3D7DB3EC" w:rsidR="00E269B1" w:rsidRPr="005A1EC5" w:rsidRDefault="00E269B1" w:rsidP="00E269B1">
            <w:r w:rsidRPr="005A1EC5">
              <w:t xml:space="preserve">Technical Approach </w:t>
            </w:r>
          </w:p>
        </w:tc>
        <w:tc>
          <w:tcPr>
            <w:tcW w:w="2520" w:type="dxa"/>
          </w:tcPr>
          <w:p w14:paraId="61B2B111" w14:textId="1A6C3A4F" w:rsidR="00E269B1" w:rsidRDefault="00E269B1" w:rsidP="00E269B1">
            <w:r>
              <w:t>40%</w:t>
            </w:r>
          </w:p>
        </w:tc>
        <w:tc>
          <w:tcPr>
            <w:tcW w:w="2610" w:type="dxa"/>
          </w:tcPr>
          <w:p w14:paraId="1F3FC693" w14:textId="45059D73" w:rsidR="00E269B1" w:rsidRDefault="00E269B1" w:rsidP="00E269B1">
            <w:r>
              <w:t>50%</w:t>
            </w:r>
          </w:p>
        </w:tc>
        <w:tc>
          <w:tcPr>
            <w:tcW w:w="2700" w:type="dxa"/>
          </w:tcPr>
          <w:p w14:paraId="6CB1B05E" w14:textId="037619D3" w:rsidR="00E269B1" w:rsidRPr="005A1EC5" w:rsidRDefault="00E269B1" w:rsidP="00E269B1">
            <w:r w:rsidRPr="005A1EC5">
              <w:t xml:space="preserve">40% </w:t>
            </w:r>
          </w:p>
        </w:tc>
      </w:tr>
      <w:tr w:rsidR="00E269B1" w14:paraId="37687EC0" w14:textId="77777777" w:rsidTr="00CB7C1C">
        <w:tc>
          <w:tcPr>
            <w:tcW w:w="4405" w:type="dxa"/>
          </w:tcPr>
          <w:p w14:paraId="70F44D26" w14:textId="7B8E80C1" w:rsidR="00E269B1" w:rsidRDefault="00E269B1" w:rsidP="00E269B1">
            <w:r w:rsidRPr="005A1EC5">
              <w:t xml:space="preserve">Potential for Impact </w:t>
            </w:r>
          </w:p>
        </w:tc>
        <w:tc>
          <w:tcPr>
            <w:tcW w:w="2520" w:type="dxa"/>
          </w:tcPr>
          <w:p w14:paraId="6740938D" w14:textId="3DC7958C" w:rsidR="00E269B1" w:rsidRDefault="00E269B1" w:rsidP="00E269B1">
            <w:r>
              <w:t>40%</w:t>
            </w:r>
          </w:p>
        </w:tc>
        <w:tc>
          <w:tcPr>
            <w:tcW w:w="2610" w:type="dxa"/>
          </w:tcPr>
          <w:p w14:paraId="72479368" w14:textId="2BE470C3" w:rsidR="00E269B1" w:rsidRDefault="00E269B1" w:rsidP="00E269B1">
            <w:r>
              <w:t>40%</w:t>
            </w:r>
          </w:p>
        </w:tc>
        <w:tc>
          <w:tcPr>
            <w:tcW w:w="2700" w:type="dxa"/>
          </w:tcPr>
          <w:p w14:paraId="6E1F0750" w14:textId="3BE9E0E3" w:rsidR="00E269B1" w:rsidRDefault="00E269B1" w:rsidP="00E269B1">
            <w:r w:rsidRPr="005A1EC5">
              <w:t xml:space="preserve">40% </w:t>
            </w:r>
          </w:p>
        </w:tc>
      </w:tr>
      <w:tr w:rsidR="00E269B1" w14:paraId="499325C8" w14:textId="77777777" w:rsidTr="00CB7C1C">
        <w:tc>
          <w:tcPr>
            <w:tcW w:w="4405" w:type="dxa"/>
          </w:tcPr>
          <w:p w14:paraId="2C487501" w14:textId="53D0790B" w:rsidR="00E269B1" w:rsidRDefault="00E269B1" w:rsidP="00E269B1">
            <w:r w:rsidRPr="005A1EC5">
              <w:t xml:space="preserve">Appropriateness of Government Resources </w:t>
            </w:r>
          </w:p>
        </w:tc>
        <w:tc>
          <w:tcPr>
            <w:tcW w:w="2520" w:type="dxa"/>
          </w:tcPr>
          <w:p w14:paraId="72BD6CAB" w14:textId="2CC0FB18" w:rsidR="00E269B1" w:rsidRDefault="00E269B1" w:rsidP="00E269B1">
            <w:r>
              <w:t>10%</w:t>
            </w:r>
          </w:p>
        </w:tc>
        <w:tc>
          <w:tcPr>
            <w:tcW w:w="2610" w:type="dxa"/>
          </w:tcPr>
          <w:p w14:paraId="37710CA9" w14:textId="2F2C9EA2" w:rsidR="00E269B1" w:rsidRDefault="00E269B1" w:rsidP="00E269B1">
            <w:r>
              <w:t>10%</w:t>
            </w:r>
          </w:p>
        </w:tc>
        <w:tc>
          <w:tcPr>
            <w:tcW w:w="2700" w:type="dxa"/>
          </w:tcPr>
          <w:p w14:paraId="1460330D" w14:textId="166533D1" w:rsidR="00E269B1" w:rsidRDefault="00E269B1" w:rsidP="00E269B1">
            <w:r w:rsidRPr="005A1EC5">
              <w:t xml:space="preserve">10% </w:t>
            </w:r>
          </w:p>
        </w:tc>
      </w:tr>
      <w:tr w:rsidR="00E269B1" w14:paraId="0B65C035" w14:textId="77777777" w:rsidTr="00CB7C1C">
        <w:tc>
          <w:tcPr>
            <w:tcW w:w="4405" w:type="dxa"/>
          </w:tcPr>
          <w:p w14:paraId="2D1D3C01" w14:textId="7FC08B16" w:rsidR="00E269B1" w:rsidRDefault="00E269B1" w:rsidP="00E269B1">
            <w:r w:rsidRPr="005A1EC5">
              <w:t xml:space="preserve">Community Benefits, Engagement, and Outreach Plan </w:t>
            </w:r>
          </w:p>
        </w:tc>
        <w:tc>
          <w:tcPr>
            <w:tcW w:w="2520" w:type="dxa"/>
          </w:tcPr>
          <w:p w14:paraId="5593BDBD" w14:textId="026D9C64" w:rsidR="00E269B1" w:rsidRDefault="00E269B1" w:rsidP="00E269B1">
            <w:r>
              <w:t>10%</w:t>
            </w:r>
          </w:p>
        </w:tc>
        <w:tc>
          <w:tcPr>
            <w:tcW w:w="2610" w:type="dxa"/>
          </w:tcPr>
          <w:p w14:paraId="605870CD" w14:textId="6057E9B7" w:rsidR="00E269B1" w:rsidRDefault="00E269B1" w:rsidP="00E269B1">
            <w:r>
              <w:t>NA</w:t>
            </w:r>
          </w:p>
        </w:tc>
        <w:tc>
          <w:tcPr>
            <w:tcW w:w="2700" w:type="dxa"/>
          </w:tcPr>
          <w:p w14:paraId="766492EF" w14:textId="5E02256C" w:rsidR="00E269B1" w:rsidRDefault="00E269B1" w:rsidP="00E269B1">
            <w:r w:rsidRPr="005A1EC5">
              <w:t xml:space="preserve">10% </w:t>
            </w:r>
          </w:p>
        </w:tc>
      </w:tr>
    </w:tbl>
    <w:p w14:paraId="48FAD59C" w14:textId="77777777" w:rsidR="00E269B1" w:rsidRDefault="00E269B1" w:rsidP="00E269B1"/>
    <w:p w14:paraId="18918DCB" w14:textId="61660C61" w:rsidR="00A42C3F" w:rsidRDefault="00D973E4" w:rsidP="00E269B1">
      <w:r>
        <w:t>F</w:t>
      </w:r>
      <w:r w:rsidR="00E269B1">
        <w:t>or all proposals, please be as succinct and specific as possible. For example, BETO and FCIC personnel understand the importance of the bioeconomy and the general risks associated with feedstock variability on biorefinery scale-up</w:t>
      </w:r>
      <w:r w:rsidR="00A42C3F">
        <w:t>, so it is not necessary to address this general area</w:t>
      </w:r>
      <w:r w:rsidR="00E269B1">
        <w:t xml:space="preserve">. </w:t>
      </w:r>
      <w:r>
        <w:t>P</w:t>
      </w:r>
      <w:r w:rsidR="00E269B1">
        <w:t xml:space="preserve">lease focus </w:t>
      </w:r>
      <w:r>
        <w:t xml:space="preserve">instead </w:t>
      </w:r>
      <w:r w:rsidR="00E269B1">
        <w:t xml:space="preserve">on your company’s specific </w:t>
      </w:r>
      <w:r w:rsidR="00CB7C1C">
        <w:t>activities</w:t>
      </w:r>
      <w:r>
        <w:t>,</w:t>
      </w:r>
      <w:r w:rsidR="00A42C3F">
        <w:t xml:space="preserve"> how feedstock and process variability represent a risk to your company’s technology, and how the p</w:t>
      </w:r>
      <w:r w:rsidR="00CB7C1C">
        <w:t>roposed p</w:t>
      </w:r>
      <w:r w:rsidR="00A42C3F">
        <w:t>roject will specifically address this risk.</w:t>
      </w:r>
    </w:p>
    <w:p w14:paraId="3BB6D223" w14:textId="0FB44886" w:rsidR="005F3633" w:rsidRDefault="00E269B1" w:rsidP="00E269B1">
      <w:r>
        <w:t>Below are brief</w:t>
      </w:r>
      <w:r w:rsidR="00D973E4">
        <w:t>, specific, and quantitative</w:t>
      </w:r>
      <w:r>
        <w:t xml:space="preserve"> examples of effective and ineffective responses to </w:t>
      </w:r>
      <w:r w:rsidR="00D973E4">
        <w:t>each</w:t>
      </w:r>
      <w:r>
        <w:t xml:space="preserve"> section.</w:t>
      </w:r>
      <w:r w:rsidR="00A42C3F">
        <w:t xml:space="preserve"> Note that these examples are not meant to prescriptive and that full responses </w:t>
      </w:r>
      <w:r w:rsidR="00D973E4">
        <w:t>to</w:t>
      </w:r>
      <w:r w:rsidR="00A42C3F">
        <w:t xml:space="preserve"> each section </w:t>
      </w:r>
      <w:r w:rsidR="00D973E4">
        <w:t xml:space="preserve">should </w:t>
      </w:r>
      <w:r w:rsidR="00A42C3F">
        <w:t xml:space="preserve">be much longer than presented here. </w:t>
      </w:r>
    </w:p>
    <w:p w14:paraId="7A735068" w14:textId="124F0570" w:rsidR="00FE75E2" w:rsidRPr="00FE75E2" w:rsidRDefault="00FE75E2" w:rsidP="00151F80">
      <w:pPr>
        <w:pStyle w:val="Heading1"/>
      </w:pPr>
      <w:r w:rsidRPr="00FE75E2">
        <w:t>Technical Approach</w:t>
      </w:r>
    </w:p>
    <w:p w14:paraId="547DABB4" w14:textId="19079675" w:rsidR="005F3633" w:rsidRDefault="00CE0B94" w:rsidP="00FE75E2">
      <w:pPr>
        <w:shd w:val="clear" w:color="auto" w:fill="FFFFFF"/>
        <w:spacing w:after="120" w:line="240" w:lineRule="auto"/>
        <w:rPr>
          <w:rFonts w:cstheme="minorHAnsi"/>
        </w:rPr>
      </w:pPr>
      <w:r>
        <w:rPr>
          <w:rFonts w:cstheme="minorHAnsi"/>
        </w:rPr>
        <w:t xml:space="preserve">The “Reasons for Cooperation” section should explain why the applicant and </w:t>
      </w:r>
      <w:r w:rsidR="00D973E4">
        <w:rPr>
          <w:rFonts w:cstheme="minorHAnsi"/>
        </w:rPr>
        <w:t>n</w:t>
      </w:r>
      <w:r>
        <w:rPr>
          <w:rFonts w:cstheme="minorHAnsi"/>
        </w:rPr>
        <w:t xml:space="preserve">ational </w:t>
      </w:r>
      <w:r w:rsidR="00D973E4">
        <w:rPr>
          <w:rFonts w:cstheme="minorHAnsi"/>
        </w:rPr>
        <w:t>l</w:t>
      </w:r>
      <w:r>
        <w:rPr>
          <w:rFonts w:cstheme="minorHAnsi"/>
        </w:rPr>
        <w:t>aboratory</w:t>
      </w:r>
      <w:r w:rsidR="005F3633">
        <w:rPr>
          <w:rFonts w:cstheme="minorHAnsi"/>
        </w:rPr>
        <w:t xml:space="preserve"> partner(s)</w:t>
      </w:r>
      <w:r>
        <w:rPr>
          <w:rFonts w:cstheme="minorHAnsi"/>
        </w:rPr>
        <w:t xml:space="preserve"> make a compelling team</w:t>
      </w:r>
      <w:r w:rsidR="005F3633">
        <w:rPr>
          <w:rFonts w:cstheme="minorHAnsi"/>
        </w:rPr>
        <w:t>,</w:t>
      </w:r>
      <w:r>
        <w:rPr>
          <w:rFonts w:cstheme="minorHAnsi"/>
        </w:rPr>
        <w:t xml:space="preserve"> how the</w:t>
      </w:r>
      <w:r w:rsidR="00D973E4">
        <w:rPr>
          <w:rFonts w:cstheme="minorHAnsi"/>
        </w:rPr>
        <w:t>ir</w:t>
      </w:r>
      <w:r>
        <w:rPr>
          <w:rFonts w:cstheme="minorHAnsi"/>
        </w:rPr>
        <w:t xml:space="preserve"> </w:t>
      </w:r>
      <w:r w:rsidR="007A3BEE">
        <w:rPr>
          <w:rFonts w:cstheme="minorHAnsi"/>
        </w:rPr>
        <w:t xml:space="preserve">specific </w:t>
      </w:r>
      <w:r>
        <w:rPr>
          <w:rFonts w:cstheme="minorHAnsi"/>
        </w:rPr>
        <w:t xml:space="preserve">skills </w:t>
      </w:r>
      <w:r w:rsidR="007A3BEE">
        <w:rPr>
          <w:rFonts w:cstheme="minorHAnsi"/>
        </w:rPr>
        <w:t xml:space="preserve">and competencies </w:t>
      </w:r>
      <w:r>
        <w:rPr>
          <w:rFonts w:cstheme="minorHAnsi"/>
        </w:rPr>
        <w:t>complement</w:t>
      </w:r>
      <w:r w:rsidR="00D973E4">
        <w:rPr>
          <w:rFonts w:cstheme="minorHAnsi"/>
        </w:rPr>
        <w:t xml:space="preserve"> each other, and how the </w:t>
      </w:r>
      <w:r w:rsidR="005F3633">
        <w:rPr>
          <w:rFonts w:cstheme="minorHAnsi"/>
        </w:rPr>
        <w:t>partnership</w:t>
      </w:r>
      <w:r w:rsidR="007A3BEE">
        <w:rPr>
          <w:rFonts w:cstheme="minorHAnsi"/>
        </w:rPr>
        <w:t xml:space="preserve"> will address a specific issue or problem faced by the applicant</w:t>
      </w:r>
      <w:r>
        <w:rPr>
          <w:rFonts w:cstheme="minorHAnsi"/>
        </w:rPr>
        <w:t xml:space="preserve">. </w:t>
      </w:r>
      <w:r w:rsidR="00D973E4">
        <w:rPr>
          <w:rFonts w:cstheme="minorHAnsi"/>
        </w:rPr>
        <w:t xml:space="preserve">Below are very brief </w:t>
      </w:r>
      <w:r w:rsidR="00F10505">
        <w:rPr>
          <w:rFonts w:cstheme="minorHAnsi"/>
        </w:rPr>
        <w:t xml:space="preserve">examples </w:t>
      </w:r>
      <w:r w:rsidR="00D973E4">
        <w:rPr>
          <w:rFonts w:cstheme="minorHAnsi"/>
        </w:rPr>
        <w:t>of effective and ineffective responses</w:t>
      </w:r>
      <w:r w:rsidR="00F10505">
        <w:rPr>
          <w:rFonts w:cstheme="minorHAnsi"/>
        </w:rPr>
        <w:t>.</w:t>
      </w:r>
    </w:p>
    <w:p w14:paraId="30322913" w14:textId="039AA3D9" w:rsidR="00CE0B94" w:rsidRDefault="00CE0B94" w:rsidP="00FE75E2">
      <w:pPr>
        <w:shd w:val="clear" w:color="auto" w:fill="FFFFFF"/>
        <w:spacing w:after="120" w:line="240" w:lineRule="auto"/>
        <w:rPr>
          <w:rFonts w:cstheme="minorHAnsi"/>
        </w:rPr>
      </w:pPr>
    </w:p>
    <w:tbl>
      <w:tblPr>
        <w:tblStyle w:val="TableGrid"/>
        <w:tblW w:w="0" w:type="auto"/>
        <w:tblLook w:val="04A0" w:firstRow="1" w:lastRow="0" w:firstColumn="1" w:lastColumn="0" w:noHBand="0" w:noVBand="1"/>
      </w:tblPr>
      <w:tblGrid>
        <w:gridCol w:w="6770"/>
        <w:gridCol w:w="6180"/>
      </w:tblGrid>
      <w:tr w:rsidR="00CE0B94" w:rsidRPr="005D0ACB" w14:paraId="77640F29" w14:textId="77777777" w:rsidTr="00151F80">
        <w:trPr>
          <w:cantSplit/>
        </w:trPr>
        <w:tc>
          <w:tcPr>
            <w:tcW w:w="6770" w:type="dxa"/>
          </w:tcPr>
          <w:p w14:paraId="2D116893" w14:textId="0195ED29" w:rsidR="00CE0B94" w:rsidRPr="005D0ACB" w:rsidRDefault="00CE0B94" w:rsidP="005F3633">
            <w:pPr>
              <w:shd w:val="clear" w:color="auto" w:fill="FFFFFF"/>
              <w:spacing w:after="120"/>
              <w:rPr>
                <w:rFonts w:cstheme="minorHAnsi"/>
                <w:b/>
                <w:bCs/>
              </w:rPr>
            </w:pPr>
            <w:r w:rsidRPr="005D0ACB">
              <w:rPr>
                <w:rFonts w:cstheme="minorHAnsi"/>
                <w:b/>
                <w:bCs/>
              </w:rPr>
              <w:t xml:space="preserve">Examples of </w:t>
            </w:r>
            <w:r w:rsidR="00A42C3F">
              <w:rPr>
                <w:rFonts w:cstheme="minorHAnsi"/>
                <w:b/>
                <w:bCs/>
              </w:rPr>
              <w:t>Effective</w:t>
            </w:r>
            <w:r w:rsidRPr="005D0ACB">
              <w:rPr>
                <w:rFonts w:cstheme="minorHAnsi"/>
                <w:b/>
                <w:bCs/>
              </w:rPr>
              <w:t xml:space="preserve"> </w:t>
            </w:r>
            <w:r>
              <w:rPr>
                <w:rFonts w:cstheme="minorHAnsi"/>
                <w:b/>
                <w:bCs/>
              </w:rPr>
              <w:t>Reasons for Cooperation</w:t>
            </w:r>
          </w:p>
        </w:tc>
        <w:tc>
          <w:tcPr>
            <w:tcW w:w="6180" w:type="dxa"/>
          </w:tcPr>
          <w:p w14:paraId="0FE5A127" w14:textId="3D9B61D7" w:rsidR="00CE0B94" w:rsidRPr="005D0ACB" w:rsidRDefault="00CE0B94" w:rsidP="005F3633">
            <w:pPr>
              <w:shd w:val="clear" w:color="auto" w:fill="FFFFFF"/>
              <w:spacing w:after="120"/>
              <w:rPr>
                <w:rFonts w:cstheme="minorHAnsi"/>
                <w:b/>
                <w:bCs/>
              </w:rPr>
            </w:pPr>
            <w:r w:rsidRPr="005D0ACB">
              <w:rPr>
                <w:rFonts w:cstheme="minorHAnsi"/>
                <w:b/>
                <w:bCs/>
              </w:rPr>
              <w:t xml:space="preserve">Examples of </w:t>
            </w:r>
            <w:r w:rsidR="00A42C3F">
              <w:rPr>
                <w:rFonts w:cstheme="minorHAnsi"/>
                <w:b/>
                <w:bCs/>
              </w:rPr>
              <w:t>Ineffective</w:t>
            </w:r>
            <w:r w:rsidRPr="005D0ACB">
              <w:rPr>
                <w:rFonts w:cstheme="minorHAnsi"/>
                <w:b/>
                <w:bCs/>
              </w:rPr>
              <w:t xml:space="preserve"> </w:t>
            </w:r>
            <w:r>
              <w:rPr>
                <w:rFonts w:cstheme="minorHAnsi"/>
                <w:b/>
                <w:bCs/>
              </w:rPr>
              <w:t>Reasons for Cooperation</w:t>
            </w:r>
          </w:p>
        </w:tc>
      </w:tr>
      <w:tr w:rsidR="00CE0B94" w:rsidRPr="000A5B27" w14:paraId="7005152A" w14:textId="77777777" w:rsidTr="00151F80">
        <w:trPr>
          <w:cantSplit/>
        </w:trPr>
        <w:tc>
          <w:tcPr>
            <w:tcW w:w="6770" w:type="dxa"/>
          </w:tcPr>
          <w:p w14:paraId="66895B65" w14:textId="1DBA37FA" w:rsidR="00CE0B94" w:rsidRPr="007A3BEE" w:rsidRDefault="007A3BEE" w:rsidP="005F3633">
            <w:pPr>
              <w:shd w:val="clear" w:color="auto" w:fill="FFFFFF"/>
              <w:spacing w:after="120"/>
              <w:rPr>
                <w:rFonts w:cstheme="minorHAnsi"/>
              </w:rPr>
            </w:pPr>
            <w:r w:rsidRPr="007A3BEE">
              <w:rPr>
                <w:rFonts w:cstheme="minorHAnsi"/>
              </w:rPr>
              <w:lastRenderedPageBreak/>
              <w:t xml:space="preserve">Company </w:t>
            </w:r>
            <w:r w:rsidR="00391198">
              <w:rPr>
                <w:rFonts w:cstheme="minorHAnsi"/>
              </w:rPr>
              <w:t>ABC</w:t>
            </w:r>
            <w:r w:rsidRPr="007A3BEE">
              <w:rPr>
                <w:rFonts w:cstheme="minorHAnsi"/>
              </w:rPr>
              <w:t xml:space="preserve"> operates a biomass conversion reactor operating at pilot scale, with similar reactor designs operating</w:t>
            </w:r>
            <w:r w:rsidR="005A62EB" w:rsidRPr="007A3BEE">
              <w:rPr>
                <w:rFonts w:cstheme="minorHAnsi"/>
              </w:rPr>
              <w:t xml:space="preserve"> successfully</w:t>
            </w:r>
            <w:r w:rsidRPr="007A3BEE">
              <w:rPr>
                <w:rFonts w:cstheme="minorHAnsi"/>
              </w:rPr>
              <w:t xml:space="preserve"> </w:t>
            </w:r>
            <w:r w:rsidR="00A42C3F">
              <w:rPr>
                <w:rFonts w:cstheme="minorHAnsi"/>
              </w:rPr>
              <w:t xml:space="preserve">at </w:t>
            </w:r>
            <w:r w:rsidRPr="007A3BEE">
              <w:rPr>
                <w:rFonts w:cstheme="minorHAnsi"/>
              </w:rPr>
              <w:t>demonstration and commercial</w:t>
            </w:r>
            <w:r w:rsidR="005A62EB">
              <w:rPr>
                <w:rFonts w:cstheme="minorHAnsi"/>
              </w:rPr>
              <w:t xml:space="preserve"> </w:t>
            </w:r>
            <w:r w:rsidRPr="007A3BEE">
              <w:rPr>
                <w:rFonts w:cstheme="minorHAnsi"/>
              </w:rPr>
              <w:t xml:space="preserve">scale around the world. The quality of the reactor products </w:t>
            </w:r>
            <w:r w:rsidR="005A62EB" w:rsidRPr="007A3BEE">
              <w:rPr>
                <w:rFonts w:cstheme="minorHAnsi"/>
              </w:rPr>
              <w:t>depends</w:t>
            </w:r>
            <w:r w:rsidRPr="007A3BEE">
              <w:rPr>
                <w:rFonts w:cstheme="minorHAnsi"/>
              </w:rPr>
              <w:t xml:space="preserve"> on feedstock properties and reactor conditions, and </w:t>
            </w:r>
            <w:r w:rsidR="00A42C3F">
              <w:rPr>
                <w:rFonts w:cstheme="minorHAnsi"/>
              </w:rPr>
              <w:t xml:space="preserve">specific </w:t>
            </w:r>
            <w:r w:rsidRPr="007A3BEE">
              <w:rPr>
                <w:rFonts w:cstheme="minorHAnsi"/>
              </w:rPr>
              <w:t xml:space="preserve">product quality </w:t>
            </w:r>
            <w:r w:rsidR="00A42C3F">
              <w:rPr>
                <w:rFonts w:cstheme="minorHAnsi"/>
              </w:rPr>
              <w:t xml:space="preserve">parameters must </w:t>
            </w:r>
            <w:r w:rsidRPr="007A3BEE">
              <w:rPr>
                <w:rFonts w:cstheme="minorHAnsi"/>
              </w:rPr>
              <w:t xml:space="preserve">be improved for wider commercial application. Laboratory XNL has substantial experience in biomass analysis and detailed analytical characterization of the products formed using Company </w:t>
            </w:r>
            <w:r w:rsidR="00391198">
              <w:rPr>
                <w:rFonts w:cstheme="minorHAnsi"/>
              </w:rPr>
              <w:t>ABC</w:t>
            </w:r>
            <w:r w:rsidRPr="007A3BEE">
              <w:rPr>
                <w:rFonts w:cstheme="minorHAnsi"/>
              </w:rPr>
              <w:t>’s conversion reactor</w:t>
            </w:r>
            <w:r w:rsidR="00A42C3F">
              <w:rPr>
                <w:rFonts w:cstheme="minorHAnsi"/>
              </w:rPr>
              <w:t xml:space="preserve"> technology</w:t>
            </w:r>
            <w:r w:rsidRPr="007A3BEE">
              <w:rPr>
                <w:rFonts w:cstheme="minorHAnsi"/>
              </w:rPr>
              <w:t xml:space="preserve">. Thus, a collaboration to understand the impact of variable biomass feedstock properties and reactor conditions </w:t>
            </w:r>
            <w:r w:rsidR="005A62EB">
              <w:rPr>
                <w:rFonts w:cstheme="minorHAnsi"/>
              </w:rPr>
              <w:t>on</w:t>
            </w:r>
            <w:r w:rsidR="005A62EB" w:rsidRPr="007A3BEE">
              <w:rPr>
                <w:rFonts w:cstheme="minorHAnsi"/>
              </w:rPr>
              <w:t xml:space="preserve"> </w:t>
            </w:r>
            <w:r w:rsidRPr="007A3BEE">
              <w:rPr>
                <w:rFonts w:cstheme="minorHAnsi"/>
              </w:rPr>
              <w:t xml:space="preserve">Company </w:t>
            </w:r>
            <w:r w:rsidR="00391198">
              <w:rPr>
                <w:rFonts w:cstheme="minorHAnsi"/>
              </w:rPr>
              <w:t>ABC</w:t>
            </w:r>
            <w:r w:rsidRPr="007A3BEE">
              <w:rPr>
                <w:rFonts w:cstheme="minorHAnsi"/>
              </w:rPr>
              <w:t xml:space="preserve">’s conversion reactor product quality attributes applies a unique capability of Laboratory XNL to a critical need of Company </w:t>
            </w:r>
            <w:r w:rsidR="00391198">
              <w:rPr>
                <w:rFonts w:cstheme="minorHAnsi"/>
              </w:rPr>
              <w:t>ABC</w:t>
            </w:r>
            <w:r w:rsidRPr="007A3BEE">
              <w:rPr>
                <w:rFonts w:cstheme="minorHAnsi"/>
              </w:rPr>
              <w:t>.</w:t>
            </w:r>
          </w:p>
        </w:tc>
        <w:tc>
          <w:tcPr>
            <w:tcW w:w="6180" w:type="dxa"/>
          </w:tcPr>
          <w:p w14:paraId="4B57E7C8" w14:textId="309ABC04" w:rsidR="007A3BEE" w:rsidRDefault="007A3BEE" w:rsidP="005F3633">
            <w:r w:rsidRPr="00C169D1">
              <w:t xml:space="preserve">Each party brings specific technologies, technical expertise, and processing capabilities to </w:t>
            </w:r>
            <w:r w:rsidR="005A62EB">
              <w:t>the project</w:t>
            </w:r>
            <w:r w:rsidRPr="00C169D1">
              <w:t>. Further, each party shares the goal of supporting BETO’s goals of making biofuels commercially viable and competitive with gasoline and crude oil co-products</w:t>
            </w:r>
            <w:r w:rsidR="005A62EB">
              <w:t>.</w:t>
            </w:r>
            <w:r>
              <w:t xml:space="preserve"> </w:t>
            </w:r>
          </w:p>
          <w:p w14:paraId="3E842ED2" w14:textId="0663B7BB" w:rsidR="00CE0B94" w:rsidRPr="000A5B27" w:rsidRDefault="00CE0B94" w:rsidP="005F3633">
            <w:pPr>
              <w:shd w:val="clear" w:color="auto" w:fill="FFFFFF"/>
              <w:spacing w:after="120"/>
              <w:rPr>
                <w:rFonts w:cstheme="minorHAnsi"/>
              </w:rPr>
            </w:pPr>
          </w:p>
        </w:tc>
      </w:tr>
      <w:tr w:rsidR="007A3BEE" w:rsidRPr="000A5B27" w14:paraId="377EDC24" w14:textId="77777777" w:rsidTr="00151F80">
        <w:trPr>
          <w:cantSplit/>
        </w:trPr>
        <w:tc>
          <w:tcPr>
            <w:tcW w:w="6770" w:type="dxa"/>
          </w:tcPr>
          <w:p w14:paraId="737AF1CE" w14:textId="29FBF50E" w:rsidR="007A3BEE" w:rsidRPr="007A3BEE" w:rsidRDefault="007A3BEE" w:rsidP="005F3633">
            <w:pPr>
              <w:shd w:val="clear" w:color="auto" w:fill="FFFFFF"/>
              <w:spacing w:after="120"/>
              <w:rPr>
                <w:rFonts w:cstheme="minorHAnsi"/>
              </w:rPr>
            </w:pPr>
            <w:r w:rsidRPr="007A3BEE">
              <w:rPr>
                <w:rFonts w:cstheme="minorHAnsi"/>
              </w:rPr>
              <w:t xml:space="preserve">Company </w:t>
            </w:r>
            <w:r w:rsidR="00391198">
              <w:rPr>
                <w:rFonts w:cstheme="minorHAnsi"/>
              </w:rPr>
              <w:t>ABC</w:t>
            </w:r>
            <w:r w:rsidRPr="007A3BEE">
              <w:rPr>
                <w:rFonts w:cstheme="minorHAnsi"/>
              </w:rPr>
              <w:t xml:space="preserve"> is an industry leader in preprocessing equipment for woody biomass and has identified a common reliability issue in several of its products. Laboratory XNL has world-leading expertise in</w:t>
            </w:r>
            <w:r>
              <w:rPr>
                <w:rFonts w:cstheme="minorHAnsi"/>
              </w:rPr>
              <w:t xml:space="preserve"> the causes of and potential solutions to</w:t>
            </w:r>
            <w:r w:rsidRPr="007A3BEE">
              <w:rPr>
                <w:rFonts w:cstheme="minorHAnsi"/>
              </w:rPr>
              <w:t xml:space="preserve"> this reliability issue across multiple industries and will apply specific characterization tools not widely available to help diagnose the root cause(s) of the specific reliability issue in Company </w:t>
            </w:r>
            <w:r w:rsidR="00391198">
              <w:rPr>
                <w:rFonts w:cstheme="minorHAnsi"/>
              </w:rPr>
              <w:t>ABC</w:t>
            </w:r>
            <w:r w:rsidRPr="007A3BEE">
              <w:rPr>
                <w:rFonts w:cstheme="minorHAnsi"/>
              </w:rPr>
              <w:t>’s products</w:t>
            </w:r>
            <w:r w:rsidR="00A42C3F">
              <w:rPr>
                <w:rFonts w:cstheme="minorHAnsi"/>
              </w:rPr>
              <w:t xml:space="preserve"> and suggest potential mitigation strategies</w:t>
            </w:r>
            <w:r w:rsidRPr="007A3BEE">
              <w:rPr>
                <w:rFonts w:cstheme="minorHAnsi"/>
              </w:rPr>
              <w:t>.</w:t>
            </w:r>
          </w:p>
        </w:tc>
        <w:tc>
          <w:tcPr>
            <w:tcW w:w="6180" w:type="dxa"/>
          </w:tcPr>
          <w:p w14:paraId="7AA2D216" w14:textId="71E779C4" w:rsidR="007A3BEE" w:rsidRDefault="007A3BEE" w:rsidP="005F3633">
            <w:r>
              <w:t xml:space="preserve">Company </w:t>
            </w:r>
            <w:r w:rsidR="00391198">
              <w:t>ABC</w:t>
            </w:r>
            <w:r w:rsidRPr="00C169D1">
              <w:t xml:space="preserve"> has </w:t>
            </w:r>
            <w:r>
              <w:t xml:space="preserve">demonstrated expertise in multiple conversion technologies that can use biomass feedstocks. Laboratory XNL </w:t>
            </w:r>
            <w:r w:rsidRPr="00C169D1">
              <w:t xml:space="preserve">is a world-leader in </w:t>
            </w:r>
            <w:r>
              <w:t>biomass research</w:t>
            </w:r>
            <w:r w:rsidRPr="00C169D1">
              <w:t xml:space="preserve">. The proposed project will greatly benefit from </w:t>
            </w:r>
            <w:r>
              <w:t xml:space="preserve">XNL’s expertise and laboratory facilities. </w:t>
            </w:r>
          </w:p>
          <w:p w14:paraId="4E9B50FD" w14:textId="77777777" w:rsidR="007A3BEE" w:rsidRDefault="007A3BEE" w:rsidP="005F3633">
            <w:pPr>
              <w:shd w:val="clear" w:color="auto" w:fill="FFFFFF"/>
              <w:spacing w:after="120"/>
              <w:rPr>
                <w:rFonts w:cstheme="minorHAnsi"/>
              </w:rPr>
            </w:pPr>
          </w:p>
        </w:tc>
      </w:tr>
    </w:tbl>
    <w:p w14:paraId="18CD2DE6" w14:textId="77777777" w:rsidR="00CE0B94" w:rsidRDefault="00CE0B94" w:rsidP="00FE75E2">
      <w:pPr>
        <w:shd w:val="clear" w:color="auto" w:fill="FFFFFF"/>
        <w:spacing w:after="120" w:line="240" w:lineRule="auto"/>
        <w:rPr>
          <w:rFonts w:cstheme="minorHAnsi"/>
        </w:rPr>
      </w:pPr>
    </w:p>
    <w:p w14:paraId="15ACA42F" w14:textId="5C368B75" w:rsidR="00F630DF" w:rsidRDefault="00F630DF" w:rsidP="00151F80">
      <w:pPr>
        <w:pStyle w:val="Heading2"/>
      </w:pPr>
      <w:r>
        <w:t>Technical Objective</w:t>
      </w:r>
    </w:p>
    <w:p w14:paraId="70831AE2" w14:textId="6C7B2590" w:rsidR="00FE75E2" w:rsidRDefault="00CE0B94" w:rsidP="00FE75E2">
      <w:pPr>
        <w:shd w:val="clear" w:color="auto" w:fill="FFFFFF"/>
        <w:spacing w:after="120" w:line="240" w:lineRule="auto"/>
        <w:rPr>
          <w:rFonts w:cstheme="minorHAnsi"/>
        </w:rPr>
      </w:pPr>
      <w:r>
        <w:rPr>
          <w:rFonts w:cstheme="minorHAnsi"/>
        </w:rPr>
        <w:t xml:space="preserve">The </w:t>
      </w:r>
      <w:r w:rsidR="000A5B27">
        <w:rPr>
          <w:rFonts w:cstheme="minorHAnsi"/>
        </w:rPr>
        <w:t>“</w:t>
      </w:r>
      <w:r w:rsidR="00FE75E2">
        <w:rPr>
          <w:rFonts w:cstheme="minorHAnsi"/>
        </w:rPr>
        <w:t>Technical Objective</w:t>
      </w:r>
      <w:r w:rsidR="000A5B27">
        <w:rPr>
          <w:rFonts w:cstheme="minorHAnsi"/>
        </w:rPr>
        <w:t xml:space="preserve">” section </w:t>
      </w:r>
      <w:r w:rsidR="005B28C1">
        <w:rPr>
          <w:rFonts w:cstheme="minorHAnsi"/>
        </w:rPr>
        <w:t xml:space="preserve">can provide background information on the </w:t>
      </w:r>
      <w:r w:rsidR="00D72CD1">
        <w:rPr>
          <w:rFonts w:cstheme="minorHAnsi"/>
        </w:rPr>
        <w:t xml:space="preserve">proposed work but </w:t>
      </w:r>
      <w:r w:rsidR="00FE75E2">
        <w:rPr>
          <w:rFonts w:cstheme="minorHAnsi"/>
        </w:rPr>
        <w:t xml:space="preserve">should </w:t>
      </w:r>
      <w:r w:rsidR="00A42C3F">
        <w:rPr>
          <w:rFonts w:cstheme="minorHAnsi"/>
        </w:rPr>
        <w:t>clearly</w:t>
      </w:r>
      <w:r w:rsidR="00FE75E2">
        <w:rPr>
          <w:rFonts w:cstheme="minorHAnsi"/>
        </w:rPr>
        <w:t xml:space="preserve"> and succinctly state the </w:t>
      </w:r>
      <w:r w:rsidR="00D72CD1">
        <w:rPr>
          <w:rFonts w:cstheme="minorHAnsi"/>
        </w:rPr>
        <w:t xml:space="preserve">specific </w:t>
      </w:r>
      <w:r w:rsidR="00FE75E2">
        <w:rPr>
          <w:rFonts w:cstheme="minorHAnsi"/>
        </w:rPr>
        <w:t>technical goal(s) of the project</w:t>
      </w:r>
      <w:r w:rsidR="004B4B4C" w:rsidRPr="004B4B4C">
        <w:rPr>
          <w:rFonts w:cstheme="minorHAnsi"/>
        </w:rPr>
        <w:t>—</w:t>
      </w:r>
      <w:r w:rsidR="000A5B27">
        <w:rPr>
          <w:rFonts w:cstheme="minorHAnsi"/>
        </w:rPr>
        <w:t xml:space="preserve">what the project will accomplish. </w:t>
      </w:r>
      <w:r w:rsidR="004B4B4C">
        <w:rPr>
          <w:rFonts w:cstheme="minorHAnsi"/>
        </w:rPr>
        <w:t>Below are very brief examples of effective and ineffective responses.</w:t>
      </w:r>
    </w:p>
    <w:tbl>
      <w:tblPr>
        <w:tblStyle w:val="TableGrid"/>
        <w:tblW w:w="0" w:type="auto"/>
        <w:tblLook w:val="04A0" w:firstRow="1" w:lastRow="0" w:firstColumn="1" w:lastColumn="0" w:noHBand="0" w:noVBand="1"/>
      </w:tblPr>
      <w:tblGrid>
        <w:gridCol w:w="6770"/>
        <w:gridCol w:w="6180"/>
      </w:tblGrid>
      <w:tr w:rsidR="000A5B27" w:rsidRPr="000A5B27" w14:paraId="42298DAE" w14:textId="75143BE7" w:rsidTr="000A5B27">
        <w:tc>
          <w:tcPr>
            <w:tcW w:w="6770" w:type="dxa"/>
          </w:tcPr>
          <w:p w14:paraId="73D15EAA" w14:textId="6C6823CF" w:rsidR="000A5B27" w:rsidRPr="005D0ACB" w:rsidRDefault="000A5B27">
            <w:pPr>
              <w:shd w:val="clear" w:color="auto" w:fill="FFFFFF"/>
              <w:spacing w:after="120"/>
              <w:rPr>
                <w:rFonts w:cstheme="minorHAnsi"/>
                <w:b/>
                <w:bCs/>
              </w:rPr>
            </w:pPr>
            <w:r w:rsidRPr="005D0ACB">
              <w:rPr>
                <w:rFonts w:cstheme="minorHAnsi"/>
                <w:b/>
                <w:bCs/>
              </w:rPr>
              <w:t xml:space="preserve">Examples of </w:t>
            </w:r>
            <w:r w:rsidR="00A42C3F">
              <w:rPr>
                <w:rFonts w:cstheme="minorHAnsi"/>
                <w:b/>
                <w:bCs/>
              </w:rPr>
              <w:t>Effective</w:t>
            </w:r>
            <w:r w:rsidRPr="005D0ACB">
              <w:rPr>
                <w:rFonts w:cstheme="minorHAnsi"/>
                <w:b/>
                <w:bCs/>
              </w:rPr>
              <w:t xml:space="preserve"> Technical Objectives</w:t>
            </w:r>
          </w:p>
        </w:tc>
        <w:tc>
          <w:tcPr>
            <w:tcW w:w="6180" w:type="dxa"/>
          </w:tcPr>
          <w:p w14:paraId="244B131E" w14:textId="21CBF367" w:rsidR="000A5B27" w:rsidRPr="005D0ACB" w:rsidRDefault="000A5B27">
            <w:pPr>
              <w:shd w:val="clear" w:color="auto" w:fill="FFFFFF"/>
              <w:spacing w:after="120"/>
              <w:rPr>
                <w:rFonts w:cstheme="minorHAnsi"/>
                <w:b/>
                <w:bCs/>
              </w:rPr>
            </w:pPr>
            <w:r w:rsidRPr="005D0ACB">
              <w:rPr>
                <w:rFonts w:cstheme="minorHAnsi"/>
                <w:b/>
                <w:bCs/>
              </w:rPr>
              <w:t xml:space="preserve">Examples of </w:t>
            </w:r>
            <w:r w:rsidR="00A42C3F">
              <w:rPr>
                <w:rFonts w:cstheme="minorHAnsi"/>
                <w:b/>
                <w:bCs/>
              </w:rPr>
              <w:t>Ineffective</w:t>
            </w:r>
            <w:r w:rsidR="002F58DB">
              <w:rPr>
                <w:rFonts w:cstheme="minorHAnsi"/>
                <w:b/>
                <w:bCs/>
              </w:rPr>
              <w:t xml:space="preserve"> </w:t>
            </w:r>
            <w:r w:rsidRPr="005D0ACB">
              <w:rPr>
                <w:rFonts w:cstheme="minorHAnsi"/>
                <w:b/>
                <w:bCs/>
              </w:rPr>
              <w:t>Technical Objectives</w:t>
            </w:r>
          </w:p>
        </w:tc>
      </w:tr>
      <w:tr w:rsidR="000A5B27" w:rsidRPr="000A5B27" w14:paraId="0F0BB593" w14:textId="6F2925A9" w:rsidTr="00151F80">
        <w:trPr>
          <w:trHeight w:val="710"/>
        </w:trPr>
        <w:tc>
          <w:tcPr>
            <w:tcW w:w="6770" w:type="dxa"/>
          </w:tcPr>
          <w:p w14:paraId="2D9E8098" w14:textId="69148E76" w:rsidR="00D72CD1" w:rsidRDefault="00D72CD1" w:rsidP="005D0ACB">
            <w:pPr>
              <w:shd w:val="clear" w:color="auto" w:fill="FFFFFF"/>
              <w:spacing w:after="120"/>
              <w:rPr>
                <w:rFonts w:cstheme="minorHAnsi"/>
              </w:rPr>
            </w:pPr>
            <w:r>
              <w:rPr>
                <w:rFonts w:cstheme="minorHAnsi"/>
              </w:rPr>
              <w:t>This project will</w:t>
            </w:r>
            <w:r w:rsidR="004B4B4C">
              <w:rPr>
                <w:rFonts w:cstheme="minorHAnsi"/>
              </w:rPr>
              <w:t>:</w:t>
            </w:r>
            <w:r>
              <w:rPr>
                <w:rFonts w:cstheme="minorHAnsi"/>
              </w:rPr>
              <w:t xml:space="preserve"> </w:t>
            </w:r>
          </w:p>
          <w:p w14:paraId="5A9E48F5" w14:textId="11CFCFE2" w:rsidR="00D72CD1" w:rsidRDefault="00D72CD1" w:rsidP="00CE0B94">
            <w:pPr>
              <w:pStyle w:val="ListParagraph"/>
              <w:numPr>
                <w:ilvl w:val="0"/>
                <w:numId w:val="3"/>
              </w:numPr>
              <w:shd w:val="clear" w:color="auto" w:fill="FFFFFF"/>
              <w:spacing w:after="120"/>
              <w:rPr>
                <w:rFonts w:cstheme="minorHAnsi"/>
              </w:rPr>
            </w:pPr>
            <w:r>
              <w:rPr>
                <w:rFonts w:cstheme="minorHAnsi"/>
              </w:rPr>
              <w:t>I</w:t>
            </w:r>
            <w:r w:rsidR="000A5B27" w:rsidRPr="00D72CD1">
              <w:rPr>
                <w:rFonts w:cstheme="minorHAnsi"/>
              </w:rPr>
              <w:t xml:space="preserve">dentify chemical mechanisms causing thermal instability of </w:t>
            </w:r>
            <w:r w:rsidR="00A42C3F">
              <w:rPr>
                <w:rFonts w:cstheme="minorHAnsi"/>
              </w:rPr>
              <w:t>reaction products</w:t>
            </w:r>
            <w:r>
              <w:rPr>
                <w:rFonts w:cstheme="minorHAnsi"/>
              </w:rPr>
              <w:t xml:space="preserve"> produced from different biomass feedstocks</w:t>
            </w:r>
          </w:p>
          <w:p w14:paraId="2EDA7AB8" w14:textId="69C4258C" w:rsidR="00D72CD1" w:rsidRDefault="00D72CD1" w:rsidP="00CE0B94">
            <w:pPr>
              <w:pStyle w:val="ListParagraph"/>
              <w:numPr>
                <w:ilvl w:val="0"/>
                <w:numId w:val="3"/>
              </w:numPr>
              <w:shd w:val="clear" w:color="auto" w:fill="FFFFFF"/>
              <w:spacing w:after="120"/>
              <w:rPr>
                <w:rFonts w:cstheme="minorHAnsi"/>
              </w:rPr>
            </w:pPr>
            <w:r>
              <w:rPr>
                <w:rFonts w:cstheme="minorHAnsi"/>
              </w:rPr>
              <w:t>E</w:t>
            </w:r>
            <w:r w:rsidR="000A5B27" w:rsidRPr="00D72CD1">
              <w:rPr>
                <w:rFonts w:cstheme="minorHAnsi"/>
              </w:rPr>
              <w:t xml:space="preserve">stablish the chemical links between feedstock composition and </w:t>
            </w:r>
            <w:r w:rsidR="00A42C3F">
              <w:rPr>
                <w:rFonts w:cstheme="minorHAnsi"/>
              </w:rPr>
              <w:t>reaction products</w:t>
            </w:r>
            <w:r w:rsidR="000A5B27" w:rsidRPr="00D72CD1">
              <w:rPr>
                <w:rFonts w:cstheme="minorHAnsi"/>
              </w:rPr>
              <w:t xml:space="preserve"> stability</w:t>
            </w:r>
          </w:p>
          <w:p w14:paraId="4F2D11AB" w14:textId="216BDDC6" w:rsidR="005F3633" w:rsidRPr="005F3633" w:rsidRDefault="00D72CD1" w:rsidP="005F3633">
            <w:pPr>
              <w:pStyle w:val="ListParagraph"/>
              <w:numPr>
                <w:ilvl w:val="0"/>
                <w:numId w:val="3"/>
              </w:numPr>
              <w:shd w:val="clear" w:color="auto" w:fill="FFFFFF"/>
              <w:spacing w:after="120"/>
              <w:rPr>
                <w:rFonts w:cstheme="minorHAnsi"/>
              </w:rPr>
            </w:pPr>
            <w:r>
              <w:rPr>
                <w:rFonts w:cstheme="minorHAnsi"/>
              </w:rPr>
              <w:lastRenderedPageBreak/>
              <w:t>Q</w:t>
            </w:r>
            <w:r w:rsidR="000A5B27" w:rsidRPr="00D72CD1">
              <w:rPr>
                <w:rFonts w:cstheme="minorHAnsi"/>
              </w:rPr>
              <w:t xml:space="preserve">uantify the effect(s) of feedstock variability on </w:t>
            </w:r>
            <w:r w:rsidR="00A42C3F">
              <w:rPr>
                <w:rFonts w:cstheme="minorHAnsi"/>
              </w:rPr>
              <w:t>reaction products</w:t>
            </w:r>
            <w:r w:rsidR="00A42C3F" w:rsidRPr="00D72CD1">
              <w:rPr>
                <w:rFonts w:cstheme="minorHAnsi"/>
              </w:rPr>
              <w:t xml:space="preserve"> </w:t>
            </w:r>
            <w:r w:rsidR="000A5B27" w:rsidRPr="00D72CD1">
              <w:rPr>
                <w:rFonts w:cstheme="minorHAnsi"/>
              </w:rPr>
              <w:t>stability.</w:t>
            </w:r>
          </w:p>
        </w:tc>
        <w:tc>
          <w:tcPr>
            <w:tcW w:w="6180" w:type="dxa"/>
          </w:tcPr>
          <w:p w14:paraId="1896B457" w14:textId="16174DCC" w:rsidR="000A5B27" w:rsidRPr="000A5B27" w:rsidRDefault="005D0ACB">
            <w:pPr>
              <w:shd w:val="clear" w:color="auto" w:fill="FFFFFF"/>
              <w:spacing w:after="120"/>
              <w:rPr>
                <w:rFonts w:cstheme="minorHAnsi"/>
              </w:rPr>
            </w:pPr>
            <w:r>
              <w:rPr>
                <w:rFonts w:cstheme="minorHAnsi"/>
              </w:rPr>
              <w:lastRenderedPageBreak/>
              <w:t>This project will d</w:t>
            </w:r>
            <w:r w:rsidR="00614155" w:rsidRPr="00614155">
              <w:rPr>
                <w:rFonts w:cstheme="minorHAnsi"/>
              </w:rPr>
              <w:t xml:space="preserve">evelop </w:t>
            </w:r>
            <w:r w:rsidR="00614155">
              <w:rPr>
                <w:rFonts w:cstheme="minorHAnsi"/>
              </w:rPr>
              <w:t xml:space="preserve">new </w:t>
            </w:r>
            <w:r w:rsidR="00614155" w:rsidRPr="00614155">
              <w:rPr>
                <w:rFonts w:cstheme="minorHAnsi"/>
              </w:rPr>
              <w:t xml:space="preserve">methods to quantify biomass </w:t>
            </w:r>
            <w:r w:rsidR="00614155">
              <w:rPr>
                <w:rFonts w:cstheme="minorHAnsi"/>
              </w:rPr>
              <w:t xml:space="preserve">properties </w:t>
            </w:r>
            <w:r w:rsidR="00614155" w:rsidRPr="00614155">
              <w:rPr>
                <w:rFonts w:cstheme="minorHAnsi"/>
              </w:rPr>
              <w:t xml:space="preserve">and </w:t>
            </w:r>
            <w:r w:rsidR="00D72CD1">
              <w:rPr>
                <w:rFonts w:cstheme="minorHAnsi"/>
              </w:rPr>
              <w:t xml:space="preserve">convertibility </w:t>
            </w:r>
            <w:r w:rsidR="00614155" w:rsidRPr="00614155">
              <w:rPr>
                <w:rFonts w:cstheme="minorHAnsi"/>
              </w:rPr>
              <w:t xml:space="preserve">using </w:t>
            </w:r>
            <w:r w:rsidR="00614155">
              <w:rPr>
                <w:rFonts w:cstheme="minorHAnsi"/>
              </w:rPr>
              <w:t>advanced tools and algorithms.</w:t>
            </w:r>
            <w:r w:rsidR="00614155" w:rsidRPr="00614155">
              <w:rPr>
                <w:rFonts w:cstheme="minorHAnsi"/>
              </w:rPr>
              <w:t xml:space="preserve"> </w:t>
            </w:r>
          </w:p>
        </w:tc>
      </w:tr>
      <w:tr w:rsidR="000A5B27" w:rsidRPr="000A5B27" w14:paraId="701313EE" w14:textId="7B37C03A" w:rsidTr="000A5B27">
        <w:tc>
          <w:tcPr>
            <w:tcW w:w="6770" w:type="dxa"/>
          </w:tcPr>
          <w:p w14:paraId="0CBB6D32" w14:textId="223783B3" w:rsidR="00604AF3" w:rsidRPr="00604AF3" w:rsidRDefault="002F58DB" w:rsidP="005D0ACB">
            <w:pPr>
              <w:shd w:val="clear" w:color="auto" w:fill="FFFFFF"/>
              <w:spacing w:after="120"/>
              <w:rPr>
                <w:rFonts w:cstheme="minorHAnsi"/>
              </w:rPr>
            </w:pPr>
            <w:r>
              <w:rPr>
                <w:rFonts w:cstheme="minorHAnsi"/>
              </w:rPr>
              <w:t>This project will</w:t>
            </w:r>
            <w:r w:rsidR="004B4B4C">
              <w:rPr>
                <w:rFonts w:cstheme="minorHAnsi"/>
              </w:rPr>
              <w:t>:</w:t>
            </w:r>
          </w:p>
          <w:p w14:paraId="0D58E039" w14:textId="5BBCA1FA" w:rsidR="00604AF3" w:rsidRPr="00604AF3" w:rsidRDefault="00D72CD1" w:rsidP="005D0ACB">
            <w:pPr>
              <w:pStyle w:val="ListParagraph"/>
              <w:numPr>
                <w:ilvl w:val="0"/>
                <w:numId w:val="3"/>
              </w:numPr>
              <w:shd w:val="clear" w:color="auto" w:fill="FFFFFF"/>
              <w:spacing w:after="120"/>
              <w:rPr>
                <w:rFonts w:cstheme="minorHAnsi"/>
              </w:rPr>
            </w:pPr>
            <w:r>
              <w:rPr>
                <w:rFonts w:cstheme="minorHAnsi"/>
              </w:rPr>
              <w:t>Examine</w:t>
            </w:r>
            <w:r w:rsidR="00604AF3" w:rsidRPr="00604AF3">
              <w:rPr>
                <w:rFonts w:cstheme="minorHAnsi"/>
              </w:rPr>
              <w:t xml:space="preserve"> </w:t>
            </w:r>
            <w:r w:rsidR="00604AF3">
              <w:rPr>
                <w:rFonts w:cstheme="minorHAnsi"/>
              </w:rPr>
              <w:t xml:space="preserve">current </w:t>
            </w:r>
            <w:r w:rsidR="00604AF3" w:rsidRPr="00604AF3">
              <w:rPr>
                <w:rFonts w:cstheme="minorHAnsi"/>
              </w:rPr>
              <w:t>materials of construction</w:t>
            </w:r>
            <w:r w:rsidR="00604AF3">
              <w:rPr>
                <w:rFonts w:cstheme="minorHAnsi"/>
              </w:rPr>
              <w:t xml:space="preserve"> for Company </w:t>
            </w:r>
            <w:r w:rsidR="00391198">
              <w:rPr>
                <w:rFonts w:cstheme="minorHAnsi"/>
              </w:rPr>
              <w:t>ABC</w:t>
            </w:r>
            <w:r w:rsidR="00604AF3">
              <w:rPr>
                <w:rFonts w:cstheme="minorHAnsi"/>
              </w:rPr>
              <w:t xml:space="preserve">’s </w:t>
            </w:r>
            <w:r>
              <w:rPr>
                <w:rFonts w:cstheme="minorHAnsi"/>
              </w:rPr>
              <w:t>reactor</w:t>
            </w:r>
          </w:p>
          <w:p w14:paraId="259EA202" w14:textId="54F0D5FA" w:rsidR="00604AF3" w:rsidRPr="00604AF3" w:rsidRDefault="00604AF3" w:rsidP="005D0ACB">
            <w:pPr>
              <w:pStyle w:val="ListParagraph"/>
              <w:numPr>
                <w:ilvl w:val="0"/>
                <w:numId w:val="3"/>
              </w:numPr>
              <w:shd w:val="clear" w:color="auto" w:fill="FFFFFF"/>
              <w:spacing w:after="120"/>
              <w:rPr>
                <w:rFonts w:cstheme="minorHAnsi"/>
              </w:rPr>
            </w:pPr>
            <w:r>
              <w:rPr>
                <w:rFonts w:cstheme="minorHAnsi"/>
              </w:rPr>
              <w:t xml:space="preserve">Propose </w:t>
            </w:r>
            <w:r w:rsidRPr="00604AF3">
              <w:rPr>
                <w:rFonts w:cstheme="minorHAnsi"/>
              </w:rPr>
              <w:t xml:space="preserve">candidate materials of construction </w:t>
            </w:r>
            <w:r>
              <w:rPr>
                <w:rFonts w:cstheme="minorHAnsi"/>
              </w:rPr>
              <w:t>likely to show improved performance</w:t>
            </w:r>
          </w:p>
          <w:p w14:paraId="6FA822C2" w14:textId="70DD78F6" w:rsidR="00D72CD1" w:rsidRDefault="00604AF3" w:rsidP="005D0ACB">
            <w:pPr>
              <w:pStyle w:val="ListParagraph"/>
              <w:numPr>
                <w:ilvl w:val="0"/>
                <w:numId w:val="3"/>
              </w:numPr>
              <w:shd w:val="clear" w:color="auto" w:fill="FFFFFF"/>
              <w:spacing w:after="120"/>
              <w:rPr>
                <w:rFonts w:cstheme="minorHAnsi"/>
              </w:rPr>
            </w:pPr>
            <w:r w:rsidRPr="00604AF3">
              <w:rPr>
                <w:rFonts w:cstheme="minorHAnsi"/>
              </w:rPr>
              <w:t>Perform sample exposure</w:t>
            </w:r>
            <w:r>
              <w:rPr>
                <w:rFonts w:cstheme="minorHAnsi"/>
              </w:rPr>
              <w:t xml:space="preserve"> test</w:t>
            </w:r>
            <w:r w:rsidR="00D72CD1">
              <w:rPr>
                <w:rFonts w:cstheme="minorHAnsi"/>
              </w:rPr>
              <w:t>s o</w:t>
            </w:r>
            <w:r w:rsidR="004B4B4C">
              <w:rPr>
                <w:rFonts w:cstheme="minorHAnsi"/>
              </w:rPr>
              <w:t>n</w:t>
            </w:r>
            <w:r w:rsidR="00D72CD1">
              <w:rPr>
                <w:rFonts w:cstheme="minorHAnsi"/>
              </w:rPr>
              <w:t xml:space="preserve"> candidate materials under conditions </w:t>
            </w:r>
            <w:proofErr w:type="gramStart"/>
            <w:r w:rsidR="00D72CD1">
              <w:rPr>
                <w:rFonts w:cstheme="minorHAnsi"/>
              </w:rPr>
              <w:t>similar to</w:t>
            </w:r>
            <w:proofErr w:type="gramEnd"/>
            <w:r w:rsidR="004B4B4C">
              <w:rPr>
                <w:rFonts w:cstheme="minorHAnsi"/>
              </w:rPr>
              <w:t xml:space="preserve"> those in</w:t>
            </w:r>
            <w:r w:rsidR="00D72CD1">
              <w:rPr>
                <w:rFonts w:cstheme="minorHAnsi"/>
              </w:rPr>
              <w:t xml:space="preserve"> </w:t>
            </w:r>
            <w:r>
              <w:rPr>
                <w:rFonts w:cstheme="minorHAnsi"/>
              </w:rPr>
              <w:t xml:space="preserve">Company </w:t>
            </w:r>
            <w:r w:rsidR="00391198">
              <w:rPr>
                <w:rFonts w:cstheme="minorHAnsi"/>
              </w:rPr>
              <w:t>ABC</w:t>
            </w:r>
            <w:r>
              <w:rPr>
                <w:rFonts w:cstheme="minorHAnsi"/>
              </w:rPr>
              <w:t xml:space="preserve">’s </w:t>
            </w:r>
            <w:r w:rsidR="00D72CD1">
              <w:rPr>
                <w:rFonts w:cstheme="minorHAnsi"/>
              </w:rPr>
              <w:t>reactor</w:t>
            </w:r>
          </w:p>
          <w:p w14:paraId="6D6FAB7F" w14:textId="77F1F289" w:rsidR="000A5B27" w:rsidRPr="00D72CD1" w:rsidRDefault="00614155" w:rsidP="005D0ACB">
            <w:pPr>
              <w:pStyle w:val="ListParagraph"/>
              <w:numPr>
                <w:ilvl w:val="0"/>
                <w:numId w:val="3"/>
              </w:numPr>
              <w:shd w:val="clear" w:color="auto" w:fill="FFFFFF"/>
              <w:spacing w:after="120"/>
              <w:rPr>
                <w:rFonts w:cstheme="minorHAnsi"/>
              </w:rPr>
            </w:pPr>
            <w:r w:rsidRPr="00604AF3">
              <w:rPr>
                <w:rFonts w:cstheme="minorHAnsi"/>
              </w:rPr>
              <w:t xml:space="preserve">Perform </w:t>
            </w:r>
            <w:r>
              <w:rPr>
                <w:rFonts w:cstheme="minorHAnsi"/>
              </w:rPr>
              <w:t xml:space="preserve">prospective </w:t>
            </w:r>
            <w:r w:rsidRPr="00604AF3">
              <w:rPr>
                <w:rFonts w:cstheme="minorHAnsi"/>
              </w:rPr>
              <w:t>TEA analys</w:t>
            </w:r>
            <w:r>
              <w:rPr>
                <w:rFonts w:cstheme="minorHAnsi"/>
              </w:rPr>
              <w:t>e</w:t>
            </w:r>
            <w:r w:rsidR="00D72CD1">
              <w:rPr>
                <w:rFonts w:cstheme="minorHAnsi"/>
              </w:rPr>
              <w:t>s based on these results</w:t>
            </w:r>
            <w:r w:rsidR="004B4B4C">
              <w:rPr>
                <w:rFonts w:cstheme="minorHAnsi"/>
              </w:rPr>
              <w:t>.</w:t>
            </w:r>
          </w:p>
        </w:tc>
        <w:tc>
          <w:tcPr>
            <w:tcW w:w="6180" w:type="dxa"/>
          </w:tcPr>
          <w:p w14:paraId="24D66FDA" w14:textId="518D9B99" w:rsidR="000A5B27" w:rsidRPr="000A5B27" w:rsidRDefault="005D0ACB">
            <w:pPr>
              <w:shd w:val="clear" w:color="auto" w:fill="FFFFFF"/>
              <w:spacing w:after="120"/>
              <w:rPr>
                <w:rFonts w:cstheme="minorHAnsi"/>
              </w:rPr>
            </w:pPr>
            <w:r>
              <w:rPr>
                <w:rFonts w:cstheme="minorHAnsi"/>
              </w:rPr>
              <w:t xml:space="preserve">This project will develop a better understanding of the impact of feedstock variability on Company </w:t>
            </w:r>
            <w:r w:rsidR="00391198">
              <w:rPr>
                <w:rFonts w:cstheme="minorHAnsi"/>
              </w:rPr>
              <w:t>ABC</w:t>
            </w:r>
            <w:r>
              <w:rPr>
                <w:rFonts w:cstheme="minorHAnsi"/>
              </w:rPr>
              <w:t>’s biomass conversion process</w:t>
            </w:r>
            <w:r w:rsidR="004B4B4C">
              <w:rPr>
                <w:rFonts w:cstheme="minorHAnsi"/>
              </w:rPr>
              <w:t>.</w:t>
            </w:r>
          </w:p>
        </w:tc>
      </w:tr>
      <w:tr w:rsidR="00D72CD1" w:rsidRPr="000A5B27" w14:paraId="618EC5DA" w14:textId="77777777" w:rsidTr="000A5B27">
        <w:tc>
          <w:tcPr>
            <w:tcW w:w="6770" w:type="dxa"/>
          </w:tcPr>
          <w:p w14:paraId="6C98CCEA" w14:textId="7E55D434" w:rsidR="00D72CD1" w:rsidRPr="00604AF3" w:rsidRDefault="00D72CD1" w:rsidP="005D0ACB">
            <w:pPr>
              <w:shd w:val="clear" w:color="auto" w:fill="FFFFFF"/>
              <w:spacing w:after="120"/>
              <w:rPr>
                <w:rFonts w:cstheme="minorHAnsi"/>
              </w:rPr>
            </w:pPr>
            <w:r w:rsidRPr="00D72CD1">
              <w:rPr>
                <w:rFonts w:cstheme="minorHAnsi"/>
              </w:rPr>
              <w:t xml:space="preserve">This project will evaluate the </w:t>
            </w:r>
            <w:r>
              <w:rPr>
                <w:rFonts w:cstheme="minorHAnsi"/>
              </w:rPr>
              <w:t>impact</w:t>
            </w:r>
            <w:r w:rsidRPr="00D72CD1">
              <w:rPr>
                <w:rFonts w:cstheme="minorHAnsi"/>
              </w:rPr>
              <w:t xml:space="preserve"> of </w:t>
            </w:r>
            <w:r w:rsidR="0066610E">
              <w:rPr>
                <w:rFonts w:cstheme="minorHAnsi"/>
              </w:rPr>
              <w:t>four different</w:t>
            </w:r>
            <w:r w:rsidRPr="00D72CD1">
              <w:rPr>
                <w:rFonts w:cstheme="minorHAnsi"/>
              </w:rPr>
              <w:t xml:space="preserve"> comminution technologies </w:t>
            </w:r>
            <w:r>
              <w:rPr>
                <w:rFonts w:cstheme="minorHAnsi"/>
              </w:rPr>
              <w:t xml:space="preserve">on the flow of </w:t>
            </w:r>
            <w:r w:rsidR="00A42C3F">
              <w:rPr>
                <w:rFonts w:cstheme="minorHAnsi"/>
              </w:rPr>
              <w:t xml:space="preserve">three </w:t>
            </w:r>
            <w:r>
              <w:rPr>
                <w:rFonts w:cstheme="minorHAnsi"/>
              </w:rPr>
              <w:t xml:space="preserve">different candidate biomass feedstocks through Company </w:t>
            </w:r>
            <w:r w:rsidR="00391198">
              <w:rPr>
                <w:rFonts w:cstheme="minorHAnsi"/>
              </w:rPr>
              <w:t>ABC</w:t>
            </w:r>
            <w:r>
              <w:rPr>
                <w:rFonts w:cstheme="minorHAnsi"/>
              </w:rPr>
              <w:t>’s reactor feed system.</w:t>
            </w:r>
          </w:p>
        </w:tc>
        <w:tc>
          <w:tcPr>
            <w:tcW w:w="6180" w:type="dxa"/>
          </w:tcPr>
          <w:p w14:paraId="3CFA189B" w14:textId="4158578C" w:rsidR="00D72CD1" w:rsidRPr="000A5B27" w:rsidRDefault="002F58DB">
            <w:pPr>
              <w:shd w:val="clear" w:color="auto" w:fill="FFFFFF"/>
              <w:spacing w:after="120"/>
              <w:rPr>
                <w:rFonts w:cstheme="minorHAnsi"/>
              </w:rPr>
            </w:pPr>
            <w:r>
              <w:rPr>
                <w:rFonts w:cstheme="minorHAnsi"/>
              </w:rPr>
              <w:t xml:space="preserve">This </w:t>
            </w:r>
            <w:r w:rsidRPr="002F58DB">
              <w:rPr>
                <w:rFonts w:cstheme="minorHAnsi"/>
              </w:rPr>
              <w:t xml:space="preserve">project </w:t>
            </w:r>
            <w:r>
              <w:rPr>
                <w:rFonts w:cstheme="minorHAnsi"/>
              </w:rPr>
              <w:t xml:space="preserve">will </w:t>
            </w:r>
            <w:r w:rsidRPr="002F58DB">
              <w:rPr>
                <w:rFonts w:cstheme="minorHAnsi"/>
              </w:rPr>
              <w:t xml:space="preserve">provide valuable insights and data-driven recommendations for the bioenergy and bioproduct industries to facilitate the efficient and sustainable use of various feedstocks in </w:t>
            </w:r>
            <w:r>
              <w:rPr>
                <w:rFonts w:cstheme="minorHAnsi"/>
              </w:rPr>
              <w:t xml:space="preserve">biomass conversion </w:t>
            </w:r>
            <w:r w:rsidRPr="002F58DB">
              <w:rPr>
                <w:rFonts w:cstheme="minorHAnsi"/>
              </w:rPr>
              <w:t>processes</w:t>
            </w:r>
            <w:r w:rsidR="004B4B4C">
              <w:rPr>
                <w:rFonts w:cstheme="minorHAnsi"/>
              </w:rPr>
              <w:t>.</w:t>
            </w:r>
          </w:p>
        </w:tc>
      </w:tr>
    </w:tbl>
    <w:p w14:paraId="5DE94BA6" w14:textId="77777777" w:rsidR="00F630DF" w:rsidRDefault="00F630DF" w:rsidP="00FE75E2">
      <w:pPr>
        <w:shd w:val="clear" w:color="auto" w:fill="FFFFFF"/>
        <w:spacing w:after="120" w:line="240" w:lineRule="auto"/>
        <w:rPr>
          <w:rFonts w:cstheme="minorHAnsi"/>
        </w:rPr>
      </w:pPr>
    </w:p>
    <w:p w14:paraId="4278A8DB" w14:textId="4EB3AC64" w:rsidR="00403312" w:rsidRDefault="00F630DF" w:rsidP="00151F80">
      <w:pPr>
        <w:pStyle w:val="Heading2"/>
      </w:pPr>
      <w:r>
        <w:t>Task Descriptions and Deliverables</w:t>
      </w:r>
    </w:p>
    <w:p w14:paraId="0BDE35DF" w14:textId="554FA6E4" w:rsidR="00FE75E2" w:rsidRDefault="00CE0B94" w:rsidP="00FE75E2">
      <w:pPr>
        <w:shd w:val="clear" w:color="auto" w:fill="FFFFFF"/>
        <w:spacing w:after="120" w:line="240" w:lineRule="auto"/>
        <w:rPr>
          <w:rFonts w:cstheme="minorHAnsi"/>
        </w:rPr>
      </w:pPr>
      <w:r>
        <w:rPr>
          <w:rFonts w:cstheme="minorHAnsi"/>
        </w:rPr>
        <w:t xml:space="preserve">The “Task Descriptions and Deliverables” </w:t>
      </w:r>
      <w:r w:rsidR="00F630DF">
        <w:rPr>
          <w:rFonts w:cstheme="minorHAnsi"/>
        </w:rPr>
        <w:t xml:space="preserve">section </w:t>
      </w:r>
      <w:r>
        <w:rPr>
          <w:rFonts w:cstheme="minorHAnsi"/>
        </w:rPr>
        <w:t xml:space="preserve">should </w:t>
      </w:r>
      <w:r w:rsidR="00A42C3F">
        <w:rPr>
          <w:rFonts w:cstheme="minorHAnsi"/>
        </w:rPr>
        <w:t>clearl</w:t>
      </w:r>
      <w:r>
        <w:rPr>
          <w:rFonts w:cstheme="minorHAnsi"/>
        </w:rPr>
        <w:t xml:space="preserve">y explain the discrete activities of the project that will result in the accomplishments of the </w:t>
      </w:r>
      <w:r w:rsidR="000C79D5">
        <w:rPr>
          <w:rFonts w:cstheme="minorHAnsi"/>
        </w:rPr>
        <w:t>“</w:t>
      </w:r>
      <w:r>
        <w:rPr>
          <w:rFonts w:cstheme="minorHAnsi"/>
        </w:rPr>
        <w:t>Technical Objectives</w:t>
      </w:r>
      <w:r w:rsidR="004B4B4C">
        <w:rPr>
          <w:rFonts w:cstheme="minorHAnsi"/>
        </w:rPr>
        <w:t>.</w:t>
      </w:r>
      <w:r w:rsidR="000C79D5">
        <w:rPr>
          <w:rFonts w:cstheme="minorHAnsi"/>
        </w:rPr>
        <w:t xml:space="preserve">” Each </w:t>
      </w:r>
      <w:r w:rsidR="004B4B4C">
        <w:rPr>
          <w:rFonts w:cstheme="minorHAnsi"/>
        </w:rPr>
        <w:t>t</w:t>
      </w:r>
      <w:r w:rsidR="000C79D5">
        <w:rPr>
          <w:rFonts w:cstheme="minorHAnsi"/>
        </w:rPr>
        <w:t xml:space="preserve">ask should be described </w:t>
      </w:r>
      <w:r w:rsidR="000E1146">
        <w:rPr>
          <w:rFonts w:cstheme="minorHAnsi"/>
        </w:rPr>
        <w:t xml:space="preserve">in sufficient detail to enable reviewers to understand exactly what will be done and what will be delivered by both the participant and the </w:t>
      </w:r>
      <w:r w:rsidR="000F16DF">
        <w:rPr>
          <w:rFonts w:cstheme="minorHAnsi"/>
        </w:rPr>
        <w:t>laboratory partner.</w:t>
      </w:r>
      <w:r w:rsidR="00F10505">
        <w:rPr>
          <w:rFonts w:cstheme="minorHAnsi"/>
        </w:rPr>
        <w:t xml:space="preserve"> </w:t>
      </w:r>
      <w:r w:rsidR="004B4B4C">
        <w:rPr>
          <w:rFonts w:cstheme="minorHAnsi"/>
        </w:rPr>
        <w:t>Below are very brief examples of effective and ineffective responses.</w:t>
      </w:r>
    </w:p>
    <w:tbl>
      <w:tblPr>
        <w:tblStyle w:val="TableGrid"/>
        <w:tblW w:w="0" w:type="auto"/>
        <w:tblLook w:val="04A0" w:firstRow="1" w:lastRow="0" w:firstColumn="1" w:lastColumn="0" w:noHBand="0" w:noVBand="1"/>
      </w:tblPr>
      <w:tblGrid>
        <w:gridCol w:w="6770"/>
        <w:gridCol w:w="6180"/>
      </w:tblGrid>
      <w:tr w:rsidR="005D0ACB" w:rsidRPr="000A5B27" w14:paraId="047E6BE4" w14:textId="77777777" w:rsidTr="008423C4">
        <w:tc>
          <w:tcPr>
            <w:tcW w:w="6770" w:type="dxa"/>
          </w:tcPr>
          <w:p w14:paraId="7511BCAD" w14:textId="67190316" w:rsidR="005D0ACB" w:rsidRPr="005D0ACB" w:rsidRDefault="005D0ACB" w:rsidP="008423C4">
            <w:pPr>
              <w:shd w:val="clear" w:color="auto" w:fill="FFFFFF"/>
              <w:spacing w:after="120"/>
              <w:rPr>
                <w:rFonts w:cstheme="minorHAnsi"/>
                <w:b/>
                <w:bCs/>
              </w:rPr>
            </w:pPr>
            <w:r w:rsidRPr="005D0ACB">
              <w:rPr>
                <w:rFonts w:cstheme="minorHAnsi"/>
                <w:b/>
                <w:bCs/>
              </w:rPr>
              <w:t xml:space="preserve">Examples of </w:t>
            </w:r>
            <w:r w:rsidR="00A42C3F">
              <w:rPr>
                <w:rFonts w:cstheme="minorHAnsi"/>
                <w:b/>
                <w:bCs/>
              </w:rPr>
              <w:t>Effective</w:t>
            </w:r>
            <w:r w:rsidRPr="005D0ACB">
              <w:rPr>
                <w:rFonts w:cstheme="minorHAnsi"/>
                <w:b/>
                <w:bCs/>
              </w:rPr>
              <w:t xml:space="preserve"> </w:t>
            </w:r>
            <w:r>
              <w:rPr>
                <w:rFonts w:cstheme="minorHAnsi"/>
                <w:b/>
                <w:bCs/>
              </w:rPr>
              <w:t>Task Descriptions and Deliverables</w:t>
            </w:r>
          </w:p>
        </w:tc>
        <w:tc>
          <w:tcPr>
            <w:tcW w:w="6180" w:type="dxa"/>
          </w:tcPr>
          <w:p w14:paraId="44802E56" w14:textId="0F296C3F" w:rsidR="005D0ACB" w:rsidRPr="005D0ACB" w:rsidRDefault="005D0ACB" w:rsidP="008423C4">
            <w:pPr>
              <w:shd w:val="clear" w:color="auto" w:fill="FFFFFF"/>
              <w:spacing w:after="120"/>
              <w:rPr>
                <w:rFonts w:cstheme="minorHAnsi"/>
                <w:b/>
                <w:bCs/>
              </w:rPr>
            </w:pPr>
            <w:r w:rsidRPr="005D0ACB">
              <w:rPr>
                <w:rFonts w:cstheme="minorHAnsi"/>
                <w:b/>
                <w:bCs/>
              </w:rPr>
              <w:t xml:space="preserve">Examples of </w:t>
            </w:r>
            <w:r w:rsidR="00A42C3F">
              <w:rPr>
                <w:rFonts w:cstheme="minorHAnsi"/>
                <w:b/>
                <w:bCs/>
              </w:rPr>
              <w:t>Ineffective</w:t>
            </w:r>
            <w:r w:rsidRPr="005D0ACB">
              <w:rPr>
                <w:rFonts w:cstheme="minorHAnsi"/>
                <w:b/>
                <w:bCs/>
              </w:rPr>
              <w:t xml:space="preserve"> </w:t>
            </w:r>
            <w:r>
              <w:rPr>
                <w:rFonts w:cstheme="minorHAnsi"/>
                <w:b/>
                <w:bCs/>
              </w:rPr>
              <w:t>Task Descriptions and Deliverables</w:t>
            </w:r>
          </w:p>
        </w:tc>
      </w:tr>
      <w:tr w:rsidR="005D0ACB" w:rsidRPr="000A5B27" w14:paraId="5708349F" w14:textId="77777777" w:rsidTr="008423C4">
        <w:trPr>
          <w:trHeight w:val="1205"/>
        </w:trPr>
        <w:tc>
          <w:tcPr>
            <w:tcW w:w="6770" w:type="dxa"/>
          </w:tcPr>
          <w:p w14:paraId="14ACFDEC" w14:textId="6BC25151" w:rsidR="008A65AE" w:rsidRPr="000F16DF" w:rsidRDefault="00A42C3F" w:rsidP="000F16DF">
            <w:pPr>
              <w:shd w:val="clear" w:color="auto" w:fill="FFFFFF"/>
              <w:spacing w:after="120"/>
              <w:rPr>
                <w:rFonts w:cstheme="minorHAnsi"/>
              </w:rPr>
            </w:pPr>
            <w:r>
              <w:rPr>
                <w:rFonts w:cstheme="minorHAnsi"/>
              </w:rPr>
              <w:t>Company ABC will a</w:t>
            </w:r>
            <w:r w:rsidR="005D0ACB" w:rsidRPr="000F16DF">
              <w:rPr>
                <w:rFonts w:cstheme="minorHAnsi"/>
              </w:rPr>
              <w:t xml:space="preserve">cquire </w:t>
            </w:r>
            <w:r w:rsidR="008A65AE" w:rsidRPr="000F16DF">
              <w:rPr>
                <w:rFonts w:cstheme="minorHAnsi"/>
              </w:rPr>
              <w:t xml:space="preserve">at least </w:t>
            </w:r>
            <w:r w:rsidR="005D0ACB" w:rsidRPr="000F16DF">
              <w:rPr>
                <w:rFonts w:cstheme="minorHAnsi"/>
              </w:rPr>
              <w:t xml:space="preserve">10 samples </w:t>
            </w:r>
            <w:r w:rsidR="008A65AE" w:rsidRPr="000F16DF">
              <w:rPr>
                <w:rFonts w:cstheme="minorHAnsi"/>
              </w:rPr>
              <w:t xml:space="preserve">of at least 1kg </w:t>
            </w:r>
            <w:r w:rsidR="005D0ACB" w:rsidRPr="000F16DF">
              <w:rPr>
                <w:rFonts w:cstheme="minorHAnsi"/>
              </w:rPr>
              <w:t xml:space="preserve">from at least </w:t>
            </w:r>
            <w:r w:rsidR="004B4B4C">
              <w:rPr>
                <w:rFonts w:cstheme="minorHAnsi"/>
              </w:rPr>
              <w:t>3</w:t>
            </w:r>
            <w:r w:rsidR="004B4B4C" w:rsidRPr="000F16DF">
              <w:rPr>
                <w:rFonts w:cstheme="minorHAnsi"/>
              </w:rPr>
              <w:t xml:space="preserve"> </w:t>
            </w:r>
            <w:r w:rsidR="005D0ACB" w:rsidRPr="000F16DF">
              <w:rPr>
                <w:rFonts w:cstheme="minorHAnsi"/>
              </w:rPr>
              <w:t>different locations</w:t>
            </w:r>
            <w:r w:rsidR="000F16DF" w:rsidRPr="000F16DF">
              <w:rPr>
                <w:rFonts w:cstheme="minorHAnsi"/>
              </w:rPr>
              <w:t xml:space="preserve">, and </w:t>
            </w:r>
            <w:r>
              <w:rPr>
                <w:rFonts w:cstheme="minorHAnsi"/>
              </w:rPr>
              <w:t xml:space="preserve">Laboratory XNL will </w:t>
            </w:r>
            <w:r w:rsidR="000F16DF" w:rsidRPr="000F16DF">
              <w:rPr>
                <w:rFonts w:cstheme="minorHAnsi"/>
              </w:rPr>
              <w:t xml:space="preserve">analyze these </w:t>
            </w:r>
            <w:r w:rsidR="008A65AE" w:rsidRPr="000F16DF">
              <w:rPr>
                <w:rFonts w:cstheme="minorHAnsi"/>
              </w:rPr>
              <w:t>samples using the following methods: [cite methods]</w:t>
            </w:r>
            <w:r w:rsidR="0017384B" w:rsidRPr="000F16DF">
              <w:rPr>
                <w:rFonts w:cstheme="minorHAnsi"/>
              </w:rPr>
              <w:t>.</w:t>
            </w:r>
          </w:p>
        </w:tc>
        <w:tc>
          <w:tcPr>
            <w:tcW w:w="6180" w:type="dxa"/>
          </w:tcPr>
          <w:p w14:paraId="4B96109D" w14:textId="333F24E3" w:rsidR="005D0ACB" w:rsidRPr="000A5B27" w:rsidRDefault="00F10505" w:rsidP="000F16DF">
            <w:pPr>
              <w:shd w:val="clear" w:color="auto" w:fill="FFFFFF"/>
              <w:spacing w:after="120"/>
              <w:rPr>
                <w:rFonts w:cstheme="minorHAnsi"/>
              </w:rPr>
            </w:pPr>
            <w:r>
              <w:rPr>
                <w:rFonts w:cstheme="minorHAnsi"/>
              </w:rPr>
              <w:t>The team will a</w:t>
            </w:r>
            <w:r w:rsidR="002F58DB">
              <w:rPr>
                <w:rFonts w:cstheme="minorHAnsi"/>
              </w:rPr>
              <w:t>nalyze</w:t>
            </w:r>
            <w:r w:rsidR="005D0ACB" w:rsidRPr="005D0ACB">
              <w:rPr>
                <w:rFonts w:cstheme="minorHAnsi"/>
              </w:rPr>
              <w:t xml:space="preserve"> </w:t>
            </w:r>
            <w:r w:rsidR="005D0ACB">
              <w:rPr>
                <w:rFonts w:cstheme="minorHAnsi"/>
              </w:rPr>
              <w:t xml:space="preserve">samples </w:t>
            </w:r>
            <w:r w:rsidR="005D0ACB" w:rsidRPr="005D0ACB">
              <w:rPr>
                <w:rFonts w:cstheme="minorHAnsi"/>
              </w:rPr>
              <w:t xml:space="preserve">obtained </w:t>
            </w:r>
            <w:r w:rsidR="005D0ACB">
              <w:rPr>
                <w:rFonts w:cstheme="minorHAnsi"/>
              </w:rPr>
              <w:t>from different sources.</w:t>
            </w:r>
          </w:p>
        </w:tc>
      </w:tr>
      <w:tr w:rsidR="005D0ACB" w:rsidRPr="000A5B27" w14:paraId="0461ED4F" w14:textId="77777777" w:rsidTr="008423C4">
        <w:tc>
          <w:tcPr>
            <w:tcW w:w="6770" w:type="dxa"/>
          </w:tcPr>
          <w:p w14:paraId="1E552F98" w14:textId="3D7AB6F5" w:rsidR="005D0ACB" w:rsidRPr="007B017C" w:rsidRDefault="007B017C" w:rsidP="007B017C">
            <w:r w:rsidRPr="009C3134">
              <w:t xml:space="preserve">All samples collected </w:t>
            </w:r>
            <w:r>
              <w:t xml:space="preserve">by Company </w:t>
            </w:r>
            <w:r w:rsidR="00391198">
              <w:t>ABC</w:t>
            </w:r>
            <w:r>
              <w:t xml:space="preserve"> [in previous task]</w:t>
            </w:r>
            <w:r w:rsidRPr="009C3134">
              <w:t xml:space="preserve"> will be characterized </w:t>
            </w:r>
            <w:r>
              <w:t xml:space="preserve">by Laboratory XNL. </w:t>
            </w:r>
            <w:r w:rsidR="000F16DF">
              <w:t>A</w:t>
            </w:r>
            <w:r w:rsidRPr="009C3134">
              <w:t xml:space="preserve">nalyses will include </w:t>
            </w:r>
            <w:r>
              <w:t>ultimate, proximate, HHV, and inorganic elemental analysis</w:t>
            </w:r>
            <w:r w:rsidR="000F16DF">
              <w:t xml:space="preserve"> using standard ASTM methods.</w:t>
            </w:r>
            <w:r>
              <w:t xml:space="preserve"> </w:t>
            </w:r>
          </w:p>
        </w:tc>
        <w:tc>
          <w:tcPr>
            <w:tcW w:w="6180" w:type="dxa"/>
          </w:tcPr>
          <w:p w14:paraId="450FA60C" w14:textId="18B67E20" w:rsidR="005D0ACB" w:rsidRPr="000A5B27" w:rsidRDefault="000C79D5" w:rsidP="008423C4">
            <w:pPr>
              <w:shd w:val="clear" w:color="auto" w:fill="FFFFFF"/>
              <w:spacing w:after="120"/>
              <w:rPr>
                <w:rFonts w:cstheme="minorHAnsi"/>
              </w:rPr>
            </w:pPr>
            <w:r w:rsidRPr="000C79D5">
              <w:rPr>
                <w:rFonts w:cstheme="minorHAnsi"/>
              </w:rPr>
              <w:t>Feedstocks will be converted using a batch reactor. A factorial design of experiment (DOE) approach will be used to understand how the effects of feedstock variability affect reactor conversion performance.</w:t>
            </w:r>
          </w:p>
        </w:tc>
      </w:tr>
    </w:tbl>
    <w:p w14:paraId="051540A1" w14:textId="77777777" w:rsidR="00F630DF" w:rsidRDefault="00F630DF" w:rsidP="007B017C">
      <w:pPr>
        <w:shd w:val="clear" w:color="auto" w:fill="FFFFFF"/>
        <w:spacing w:after="120" w:line="240" w:lineRule="auto"/>
        <w:rPr>
          <w:rFonts w:cstheme="minorHAnsi"/>
        </w:rPr>
      </w:pPr>
    </w:p>
    <w:p w14:paraId="7DC07BF1" w14:textId="2E516ED2" w:rsidR="000E1146" w:rsidRDefault="00F630DF" w:rsidP="00151F80">
      <w:pPr>
        <w:pStyle w:val="Heading2"/>
      </w:pPr>
      <w:r>
        <w:lastRenderedPageBreak/>
        <w:t>Risk Identification and Mitigation Strategies</w:t>
      </w:r>
    </w:p>
    <w:p w14:paraId="478704DF" w14:textId="0D9EFF70" w:rsidR="007B017C" w:rsidRDefault="007B017C" w:rsidP="007B017C">
      <w:pPr>
        <w:shd w:val="clear" w:color="auto" w:fill="FFFFFF"/>
        <w:spacing w:after="120" w:line="240" w:lineRule="auto"/>
        <w:rPr>
          <w:rFonts w:cstheme="minorHAnsi"/>
        </w:rPr>
      </w:pPr>
      <w:r>
        <w:rPr>
          <w:rFonts w:cstheme="minorHAnsi"/>
        </w:rPr>
        <w:t xml:space="preserve">The “Risk Identification and Mitigation Strategies” </w:t>
      </w:r>
      <w:r w:rsidR="00F630DF">
        <w:rPr>
          <w:rFonts w:cstheme="minorHAnsi"/>
        </w:rPr>
        <w:t xml:space="preserve">section </w:t>
      </w:r>
      <w:r>
        <w:rPr>
          <w:rFonts w:cstheme="minorHAnsi"/>
        </w:rPr>
        <w:t>should include specific risks associated with the project rather than general risks.</w:t>
      </w:r>
      <w:r w:rsidR="004B4B4C">
        <w:rPr>
          <w:rFonts w:cstheme="minorHAnsi"/>
        </w:rPr>
        <w:t xml:space="preserve"> Below are very brief examples of effective and ineffective responses.</w:t>
      </w:r>
    </w:p>
    <w:tbl>
      <w:tblPr>
        <w:tblStyle w:val="TableGrid"/>
        <w:tblW w:w="0" w:type="auto"/>
        <w:tblLook w:val="04A0" w:firstRow="1" w:lastRow="0" w:firstColumn="1" w:lastColumn="0" w:noHBand="0" w:noVBand="1"/>
      </w:tblPr>
      <w:tblGrid>
        <w:gridCol w:w="6770"/>
        <w:gridCol w:w="6180"/>
      </w:tblGrid>
      <w:tr w:rsidR="007B017C" w:rsidRPr="000A5B27" w14:paraId="6CB052F7" w14:textId="77777777" w:rsidTr="00660134">
        <w:tc>
          <w:tcPr>
            <w:tcW w:w="6770" w:type="dxa"/>
          </w:tcPr>
          <w:p w14:paraId="21D2A7C5" w14:textId="2C11421B" w:rsidR="007B017C" w:rsidRPr="005D0ACB" w:rsidRDefault="007B017C" w:rsidP="00660134">
            <w:pPr>
              <w:shd w:val="clear" w:color="auto" w:fill="FFFFFF"/>
              <w:spacing w:after="120"/>
              <w:rPr>
                <w:rFonts w:cstheme="minorHAnsi"/>
                <w:b/>
                <w:bCs/>
              </w:rPr>
            </w:pPr>
            <w:r w:rsidRPr="005D0ACB">
              <w:rPr>
                <w:rFonts w:cstheme="minorHAnsi"/>
                <w:b/>
                <w:bCs/>
              </w:rPr>
              <w:t xml:space="preserve">Example of </w:t>
            </w:r>
            <w:r w:rsidR="00A42C3F">
              <w:rPr>
                <w:rFonts w:cstheme="minorHAnsi"/>
                <w:b/>
                <w:bCs/>
              </w:rPr>
              <w:t>Effective</w:t>
            </w:r>
            <w:r w:rsidRPr="005D0ACB">
              <w:rPr>
                <w:rFonts w:cstheme="minorHAnsi"/>
                <w:b/>
                <w:bCs/>
              </w:rPr>
              <w:t xml:space="preserve"> </w:t>
            </w:r>
            <w:r>
              <w:rPr>
                <w:rFonts w:cstheme="minorHAnsi"/>
                <w:b/>
                <w:bCs/>
              </w:rPr>
              <w:t>Risk Description/Mitigations</w:t>
            </w:r>
          </w:p>
        </w:tc>
        <w:tc>
          <w:tcPr>
            <w:tcW w:w="6180" w:type="dxa"/>
          </w:tcPr>
          <w:p w14:paraId="297AF25B" w14:textId="2D21CD4B" w:rsidR="007B017C" w:rsidRPr="007B017C" w:rsidRDefault="007B017C" w:rsidP="00660134">
            <w:pPr>
              <w:shd w:val="clear" w:color="auto" w:fill="FFFFFF"/>
              <w:spacing w:after="120"/>
              <w:rPr>
                <w:rFonts w:cstheme="minorHAnsi"/>
              </w:rPr>
            </w:pPr>
            <w:r w:rsidRPr="005D0ACB">
              <w:rPr>
                <w:rFonts w:cstheme="minorHAnsi"/>
                <w:b/>
                <w:bCs/>
              </w:rPr>
              <w:t xml:space="preserve">Example of </w:t>
            </w:r>
            <w:r w:rsidR="00A42C3F">
              <w:rPr>
                <w:rFonts w:cstheme="minorHAnsi"/>
                <w:b/>
                <w:bCs/>
              </w:rPr>
              <w:t>Ineffective</w:t>
            </w:r>
            <w:r w:rsidRPr="005D0ACB">
              <w:rPr>
                <w:rFonts w:cstheme="minorHAnsi"/>
                <w:b/>
                <w:bCs/>
              </w:rPr>
              <w:t xml:space="preserve"> </w:t>
            </w:r>
            <w:r>
              <w:rPr>
                <w:rFonts w:cstheme="minorHAnsi"/>
                <w:b/>
                <w:bCs/>
              </w:rPr>
              <w:t>Risk Description/Mitigations</w:t>
            </w:r>
          </w:p>
        </w:tc>
      </w:tr>
      <w:tr w:rsidR="007B017C" w:rsidRPr="000A5B27" w14:paraId="244E9AE6" w14:textId="77777777" w:rsidTr="00660134">
        <w:trPr>
          <w:trHeight w:val="1205"/>
        </w:trPr>
        <w:tc>
          <w:tcPr>
            <w:tcW w:w="6770" w:type="dxa"/>
          </w:tcPr>
          <w:p w14:paraId="16BD1E8C" w14:textId="5D5A8C85" w:rsidR="007B017C" w:rsidRPr="007B017C" w:rsidRDefault="007B017C" w:rsidP="007B017C">
            <w:pPr>
              <w:shd w:val="clear" w:color="auto" w:fill="FFFFFF"/>
              <w:spacing w:after="120"/>
              <w:rPr>
                <w:rFonts w:cstheme="minorHAnsi"/>
              </w:rPr>
            </w:pPr>
            <w:r w:rsidRPr="007B017C">
              <w:rPr>
                <w:rFonts w:cstheme="minorHAnsi"/>
              </w:rPr>
              <w:t>Laboratory’s XNL pilot-scale reactor unavailable due to maintenance</w:t>
            </w:r>
            <w:r w:rsidR="009841DA">
              <w:rPr>
                <w:rFonts w:cstheme="minorHAnsi"/>
              </w:rPr>
              <w:t xml:space="preserve"> or unplanned downtime </w:t>
            </w:r>
            <w:r w:rsidRPr="007B017C">
              <w:rPr>
                <w:rFonts w:cstheme="minorHAnsi"/>
              </w:rPr>
              <w:t xml:space="preserve">/ XNL researchers will coordinate with XNL pilot plant manager to coordinate scheduling </w:t>
            </w:r>
            <w:r w:rsidR="009841DA">
              <w:rPr>
                <w:rFonts w:cstheme="minorHAnsi"/>
              </w:rPr>
              <w:t xml:space="preserve">around regularly </w:t>
            </w:r>
            <w:r w:rsidRPr="007B017C">
              <w:rPr>
                <w:rFonts w:cstheme="minorHAnsi"/>
              </w:rPr>
              <w:t>maintenance</w:t>
            </w:r>
            <w:r w:rsidR="009841DA">
              <w:rPr>
                <w:rFonts w:cstheme="minorHAnsi"/>
              </w:rPr>
              <w:t>; for unplanned downtime</w:t>
            </w:r>
            <w:r w:rsidRPr="007B017C">
              <w:rPr>
                <w:rFonts w:cstheme="minorHAnsi"/>
              </w:rPr>
              <w:t xml:space="preserve">, the researchers will </w:t>
            </w:r>
            <w:r w:rsidR="009841DA">
              <w:rPr>
                <w:rFonts w:cstheme="minorHAnsi"/>
              </w:rPr>
              <w:t xml:space="preserve">work </w:t>
            </w:r>
            <w:r w:rsidRPr="007B017C">
              <w:rPr>
                <w:rFonts w:cstheme="minorHAnsi"/>
              </w:rPr>
              <w:t>with XNL pilot plant manager to determine length of downtime</w:t>
            </w:r>
            <w:r w:rsidR="009841DA">
              <w:rPr>
                <w:rFonts w:cstheme="minorHAnsi"/>
              </w:rPr>
              <w:t xml:space="preserve"> and impacts on project schedule.</w:t>
            </w:r>
          </w:p>
        </w:tc>
        <w:tc>
          <w:tcPr>
            <w:tcW w:w="6180" w:type="dxa"/>
          </w:tcPr>
          <w:p w14:paraId="525F1251" w14:textId="567D9681" w:rsidR="007B017C" w:rsidRPr="000A5B27" w:rsidRDefault="009841DA" w:rsidP="00660134">
            <w:pPr>
              <w:shd w:val="clear" w:color="auto" w:fill="FFFFFF"/>
              <w:spacing w:after="120"/>
              <w:rPr>
                <w:rFonts w:cstheme="minorHAnsi"/>
              </w:rPr>
            </w:pPr>
            <w:r>
              <w:t xml:space="preserve">Company </w:t>
            </w:r>
            <w:r w:rsidR="00391198">
              <w:t>ABC</w:t>
            </w:r>
            <w:r>
              <w:t xml:space="preserve"> will not be able to provide biomass feedstock samples required in a timely fashion</w:t>
            </w:r>
            <w:r w:rsidR="000F16DF">
              <w:t xml:space="preserve">. </w:t>
            </w:r>
            <w:r>
              <w:t>/</w:t>
            </w:r>
            <w:r w:rsidR="00F10505">
              <w:t xml:space="preserve"> </w:t>
            </w:r>
            <w:r>
              <w:t xml:space="preserve">Company </w:t>
            </w:r>
            <w:r w:rsidR="00391198">
              <w:t>ABC</w:t>
            </w:r>
            <w:r>
              <w:t xml:space="preserve"> will make best efforts to acquire and supply these samples.</w:t>
            </w:r>
          </w:p>
        </w:tc>
      </w:tr>
    </w:tbl>
    <w:p w14:paraId="46E5B306" w14:textId="3CBAF372" w:rsidR="004B4B4C" w:rsidRDefault="004B4B4C" w:rsidP="00FE75E2">
      <w:pPr>
        <w:shd w:val="clear" w:color="auto" w:fill="FFFFFF"/>
        <w:spacing w:after="120" w:line="240" w:lineRule="auto"/>
        <w:rPr>
          <w:rFonts w:cstheme="minorHAnsi"/>
        </w:rPr>
      </w:pPr>
    </w:p>
    <w:p w14:paraId="34E0943A" w14:textId="04CD74AA" w:rsidR="00FE75E2" w:rsidRPr="00CE0B94" w:rsidRDefault="00FE75E2" w:rsidP="00151F80">
      <w:pPr>
        <w:pStyle w:val="Heading1"/>
      </w:pPr>
      <w:r w:rsidRPr="00CE0B94">
        <w:t>Potential for Impact</w:t>
      </w:r>
      <w:r w:rsidR="004B4B4C">
        <w:t xml:space="preserve"> (40%)</w:t>
      </w:r>
    </w:p>
    <w:p w14:paraId="2F5AD59B" w14:textId="2B03B53F" w:rsidR="000F16DF" w:rsidRDefault="00F3149D" w:rsidP="00FE75E2">
      <w:pPr>
        <w:shd w:val="clear" w:color="auto" w:fill="FFFFFF"/>
        <w:spacing w:after="120" w:line="240" w:lineRule="auto"/>
        <w:rPr>
          <w:rFonts w:cstheme="minorHAnsi"/>
        </w:rPr>
      </w:pPr>
      <w:r>
        <w:rPr>
          <w:rFonts w:cstheme="minorHAnsi"/>
        </w:rPr>
        <w:t>The key questions to answer in this section are</w:t>
      </w:r>
      <w:r w:rsidR="00F10505">
        <w:rPr>
          <w:rFonts w:cstheme="minorHAnsi"/>
        </w:rPr>
        <w:t>:</w:t>
      </w:r>
    </w:p>
    <w:p w14:paraId="230072F2" w14:textId="1703DAE5" w:rsidR="000F16DF" w:rsidRPr="00F630DF" w:rsidRDefault="00F3149D" w:rsidP="00151F80">
      <w:pPr>
        <w:pStyle w:val="ListParagraph"/>
        <w:numPr>
          <w:ilvl w:val="0"/>
          <w:numId w:val="11"/>
        </w:numPr>
        <w:shd w:val="clear" w:color="auto" w:fill="FFFFFF"/>
        <w:spacing w:after="120" w:line="240" w:lineRule="auto"/>
        <w:rPr>
          <w:rFonts w:cstheme="minorHAnsi"/>
        </w:rPr>
      </w:pPr>
      <w:r w:rsidRPr="00F630DF">
        <w:rPr>
          <w:rFonts w:cstheme="minorHAnsi"/>
        </w:rPr>
        <w:t>How will this increase the probability of success of the participant’s biorefinery project(s)</w:t>
      </w:r>
      <w:r w:rsidR="004B4B4C" w:rsidRPr="00F630DF">
        <w:rPr>
          <w:rFonts w:cstheme="minorHAnsi"/>
        </w:rPr>
        <w:t>?</w:t>
      </w:r>
    </w:p>
    <w:p w14:paraId="09A64B66" w14:textId="59015CFF" w:rsidR="000F16DF" w:rsidRPr="00F630DF" w:rsidRDefault="000F16DF" w:rsidP="00151F80">
      <w:pPr>
        <w:pStyle w:val="ListParagraph"/>
        <w:numPr>
          <w:ilvl w:val="0"/>
          <w:numId w:val="11"/>
        </w:numPr>
        <w:shd w:val="clear" w:color="auto" w:fill="FFFFFF"/>
        <w:spacing w:after="120" w:line="240" w:lineRule="auto"/>
        <w:rPr>
          <w:rFonts w:cstheme="minorHAnsi"/>
        </w:rPr>
      </w:pPr>
      <w:r w:rsidRPr="00F630DF">
        <w:rPr>
          <w:rFonts w:cstheme="minorHAnsi"/>
        </w:rPr>
        <w:t>H</w:t>
      </w:r>
      <w:r w:rsidR="00F3149D" w:rsidRPr="00F630DF">
        <w:rPr>
          <w:rFonts w:cstheme="minorHAnsi"/>
        </w:rPr>
        <w:t xml:space="preserve">ow is the proposed work consistent with the objectives </w:t>
      </w:r>
      <w:r w:rsidR="004B4B4C" w:rsidRPr="00F630DF">
        <w:rPr>
          <w:rFonts w:cstheme="minorHAnsi"/>
        </w:rPr>
        <w:t xml:space="preserve">in </w:t>
      </w:r>
      <w:r w:rsidR="00F3149D" w:rsidRPr="00F630DF">
        <w:rPr>
          <w:rFonts w:cstheme="minorHAnsi"/>
        </w:rPr>
        <w:t>BETO goals, targets, and metrics</w:t>
      </w:r>
      <w:r w:rsidR="004B4B4C" w:rsidRPr="00F630DF">
        <w:rPr>
          <w:rFonts w:cstheme="minorHAnsi"/>
        </w:rPr>
        <w:t>?</w:t>
      </w:r>
    </w:p>
    <w:p w14:paraId="3F2F48DB" w14:textId="2459882B" w:rsidR="00CE0B94" w:rsidRPr="00F630DF" w:rsidRDefault="000F16DF" w:rsidP="00151F80">
      <w:pPr>
        <w:pStyle w:val="ListParagraph"/>
        <w:numPr>
          <w:ilvl w:val="0"/>
          <w:numId w:val="11"/>
        </w:numPr>
        <w:shd w:val="clear" w:color="auto" w:fill="FFFFFF"/>
        <w:spacing w:after="120" w:line="240" w:lineRule="auto"/>
        <w:rPr>
          <w:rFonts w:cstheme="minorHAnsi"/>
        </w:rPr>
      </w:pPr>
      <w:r w:rsidRPr="00F630DF">
        <w:rPr>
          <w:rFonts w:cstheme="minorHAnsi"/>
        </w:rPr>
        <w:t>H</w:t>
      </w:r>
      <w:r w:rsidR="00F3149D" w:rsidRPr="00F630DF">
        <w:rPr>
          <w:rFonts w:cstheme="minorHAnsi"/>
        </w:rPr>
        <w:t xml:space="preserve">ow will the proposed public dissemination plan </w:t>
      </w:r>
      <w:bookmarkStart w:id="0" w:name="_Hlk173771281"/>
      <w:r w:rsidR="00F3149D" w:rsidRPr="00F630DF">
        <w:rPr>
          <w:rFonts w:cstheme="minorHAnsi"/>
        </w:rPr>
        <w:t>help the bioenergy community?</w:t>
      </w:r>
      <w:bookmarkEnd w:id="0"/>
      <w:r w:rsidRPr="00F630DF">
        <w:rPr>
          <w:rFonts w:cstheme="minorHAnsi"/>
        </w:rPr>
        <w:t xml:space="preserve"> </w:t>
      </w:r>
    </w:p>
    <w:p w14:paraId="4BDF31BD" w14:textId="6EDA8F5A" w:rsidR="00F10505" w:rsidRDefault="004B4B4C" w:rsidP="00F10505">
      <w:pPr>
        <w:shd w:val="clear" w:color="auto" w:fill="FFFFFF"/>
        <w:spacing w:after="120" w:line="240" w:lineRule="auto"/>
        <w:rPr>
          <w:rFonts w:cstheme="minorHAnsi"/>
        </w:rPr>
      </w:pPr>
      <w:r w:rsidRPr="004B4B4C">
        <w:rPr>
          <w:rFonts w:cstheme="minorHAnsi"/>
        </w:rPr>
        <w:t xml:space="preserve">Please address these questions separately with as much detail as possible. </w:t>
      </w:r>
      <w:r w:rsidR="00F10505">
        <w:rPr>
          <w:rFonts w:cstheme="minorHAnsi"/>
        </w:rPr>
        <w:t>The proposal template provides links to available resources on BETO goals, targets, and metrics. Please review this material before answering th</w:t>
      </w:r>
      <w:r>
        <w:rPr>
          <w:rFonts w:cstheme="minorHAnsi"/>
        </w:rPr>
        <w:t>ese</w:t>
      </w:r>
      <w:r w:rsidR="00F10505">
        <w:rPr>
          <w:rFonts w:cstheme="minorHAnsi"/>
        </w:rPr>
        <w:t xml:space="preserve"> question</w:t>
      </w:r>
      <w:r w:rsidR="00EF3314">
        <w:rPr>
          <w:rFonts w:cstheme="minorHAnsi"/>
        </w:rPr>
        <w:t>s</w:t>
      </w:r>
      <w:r w:rsidR="00F10505">
        <w:rPr>
          <w:rFonts w:cstheme="minorHAnsi"/>
        </w:rPr>
        <w:t>.</w:t>
      </w:r>
    </w:p>
    <w:p w14:paraId="0927EDB1" w14:textId="77777777" w:rsidR="00EF3314" w:rsidRPr="00F10505" w:rsidRDefault="00EF3314" w:rsidP="00F10505">
      <w:pPr>
        <w:shd w:val="clear" w:color="auto" w:fill="FFFFFF"/>
        <w:spacing w:after="120" w:line="240" w:lineRule="auto"/>
        <w:rPr>
          <w:rFonts w:cstheme="minorHAnsi"/>
        </w:rPr>
      </w:pPr>
    </w:p>
    <w:tbl>
      <w:tblPr>
        <w:tblStyle w:val="TableGrid"/>
        <w:tblW w:w="0" w:type="auto"/>
        <w:tblLook w:val="04A0" w:firstRow="1" w:lastRow="0" w:firstColumn="1" w:lastColumn="0" w:noHBand="0" w:noVBand="1"/>
      </w:tblPr>
      <w:tblGrid>
        <w:gridCol w:w="6770"/>
        <w:gridCol w:w="6180"/>
      </w:tblGrid>
      <w:tr w:rsidR="009205C1" w:rsidRPr="000A5B27" w14:paraId="322C847F" w14:textId="77777777" w:rsidTr="00660134">
        <w:tc>
          <w:tcPr>
            <w:tcW w:w="6770" w:type="dxa"/>
          </w:tcPr>
          <w:p w14:paraId="2E9CBE92" w14:textId="773E697D" w:rsidR="009205C1" w:rsidRPr="005D0ACB" w:rsidRDefault="009205C1" w:rsidP="009205C1">
            <w:pPr>
              <w:shd w:val="clear" w:color="auto" w:fill="FFFFFF"/>
              <w:spacing w:after="120"/>
              <w:rPr>
                <w:rFonts w:cstheme="minorHAnsi"/>
                <w:b/>
                <w:bCs/>
              </w:rPr>
            </w:pPr>
            <w:r w:rsidRPr="005D0ACB">
              <w:rPr>
                <w:rFonts w:cstheme="minorHAnsi"/>
                <w:b/>
                <w:bCs/>
              </w:rPr>
              <w:t xml:space="preserve">Example of </w:t>
            </w:r>
            <w:r w:rsidR="00A42C3F">
              <w:rPr>
                <w:rFonts w:cstheme="minorHAnsi"/>
                <w:b/>
                <w:bCs/>
              </w:rPr>
              <w:t>Effective</w:t>
            </w:r>
            <w:r>
              <w:rPr>
                <w:rFonts w:cstheme="minorHAnsi"/>
                <w:b/>
                <w:bCs/>
              </w:rPr>
              <w:t xml:space="preserve"> </w:t>
            </w:r>
            <w:r w:rsidR="00EF3314">
              <w:rPr>
                <w:rFonts w:cstheme="minorHAnsi"/>
                <w:b/>
                <w:bCs/>
              </w:rPr>
              <w:t xml:space="preserve">Potential for </w:t>
            </w:r>
            <w:r>
              <w:rPr>
                <w:rFonts w:cstheme="minorHAnsi"/>
                <w:b/>
                <w:bCs/>
              </w:rPr>
              <w:t xml:space="preserve">Impact (Questions 1 </w:t>
            </w:r>
            <w:r w:rsidR="00EF3314">
              <w:rPr>
                <w:rFonts w:cstheme="minorHAnsi"/>
                <w:b/>
                <w:bCs/>
              </w:rPr>
              <w:t>and</w:t>
            </w:r>
            <w:r>
              <w:rPr>
                <w:rFonts w:cstheme="minorHAnsi"/>
                <w:b/>
                <w:bCs/>
              </w:rPr>
              <w:t xml:space="preserve"> 3)</w:t>
            </w:r>
          </w:p>
        </w:tc>
        <w:tc>
          <w:tcPr>
            <w:tcW w:w="6180" w:type="dxa"/>
          </w:tcPr>
          <w:p w14:paraId="4E47C3BA" w14:textId="3B85B409" w:rsidR="009205C1" w:rsidRPr="007B017C" w:rsidRDefault="009205C1" w:rsidP="009205C1">
            <w:pPr>
              <w:shd w:val="clear" w:color="auto" w:fill="FFFFFF"/>
              <w:spacing w:after="120"/>
              <w:rPr>
                <w:rFonts w:cstheme="minorHAnsi"/>
              </w:rPr>
            </w:pPr>
            <w:r w:rsidRPr="005D0ACB">
              <w:rPr>
                <w:rFonts w:cstheme="minorHAnsi"/>
                <w:b/>
                <w:bCs/>
              </w:rPr>
              <w:t xml:space="preserve">Example of </w:t>
            </w:r>
            <w:r w:rsidR="00A42C3F">
              <w:rPr>
                <w:rFonts w:cstheme="minorHAnsi"/>
                <w:b/>
                <w:bCs/>
              </w:rPr>
              <w:t>Ineffective</w:t>
            </w:r>
            <w:r>
              <w:rPr>
                <w:rFonts w:cstheme="minorHAnsi"/>
                <w:b/>
                <w:bCs/>
              </w:rPr>
              <w:t xml:space="preserve"> </w:t>
            </w:r>
            <w:r w:rsidR="00EF3314">
              <w:rPr>
                <w:rFonts w:cstheme="minorHAnsi"/>
                <w:b/>
                <w:bCs/>
              </w:rPr>
              <w:t xml:space="preserve">Potential for </w:t>
            </w:r>
            <w:r>
              <w:rPr>
                <w:rFonts w:cstheme="minorHAnsi"/>
                <w:b/>
                <w:bCs/>
              </w:rPr>
              <w:t xml:space="preserve">Impact (Questions 1 </w:t>
            </w:r>
            <w:r w:rsidR="00EF3314">
              <w:rPr>
                <w:rFonts w:cstheme="minorHAnsi"/>
                <w:b/>
                <w:bCs/>
              </w:rPr>
              <w:t>and</w:t>
            </w:r>
            <w:r>
              <w:rPr>
                <w:rFonts w:cstheme="minorHAnsi"/>
                <w:b/>
                <w:bCs/>
              </w:rPr>
              <w:t xml:space="preserve"> 3)</w:t>
            </w:r>
          </w:p>
        </w:tc>
      </w:tr>
      <w:tr w:rsidR="009205C1" w:rsidRPr="000A5B27" w14:paraId="08034591" w14:textId="77777777" w:rsidTr="00151F80">
        <w:trPr>
          <w:trHeight w:val="710"/>
        </w:trPr>
        <w:tc>
          <w:tcPr>
            <w:tcW w:w="6770" w:type="dxa"/>
          </w:tcPr>
          <w:p w14:paraId="70E3D260" w14:textId="1358A3D9" w:rsidR="009205C1" w:rsidRPr="009205C1" w:rsidRDefault="009205C1" w:rsidP="009205C1">
            <w:r>
              <w:t xml:space="preserve">The proposed work will improve our company’s understanding of the impact of feedstock variability on a specific step in our overall process. It will substantially decrease the risk of this step by providing information of the impacts of variability that will allow us to take steps to mitigate these impacts. Since this process step is common to many different bioenergy stakeholders, our public dissemination plan (discussed below) </w:t>
            </w:r>
            <w:r>
              <w:lastRenderedPageBreak/>
              <w:t>will provide the bioenergy community with specific and actionable information on the impact of variability on this ubiquitous process step.</w:t>
            </w:r>
          </w:p>
        </w:tc>
        <w:tc>
          <w:tcPr>
            <w:tcW w:w="6180" w:type="dxa"/>
          </w:tcPr>
          <w:p w14:paraId="7D0B243C" w14:textId="1BCEC3E8" w:rsidR="009205C1" w:rsidRDefault="009205C1" w:rsidP="009205C1">
            <w:r w:rsidRPr="00A661BF">
              <w:lastRenderedPageBreak/>
              <w:t xml:space="preserve">The </w:t>
            </w:r>
            <w:r>
              <w:t xml:space="preserve">proposed work </w:t>
            </w:r>
            <w:r w:rsidRPr="00A661BF">
              <w:t>will provide growth opportunity for companies that develop and</w:t>
            </w:r>
            <w:r>
              <w:t xml:space="preserve"> </w:t>
            </w:r>
            <w:r w:rsidRPr="00A661BF">
              <w:t xml:space="preserve">manufacture technology to convert </w:t>
            </w:r>
            <w:r>
              <w:t xml:space="preserve">biomass feedstocks into fuels and chemicals. </w:t>
            </w:r>
            <w:r w:rsidRPr="00A661BF">
              <w:t>Gaining experience and learning new</w:t>
            </w:r>
            <w:r>
              <w:t xml:space="preserve"> </w:t>
            </w:r>
            <w:r w:rsidRPr="00A661BF">
              <w:t xml:space="preserve">information can lead to further development of </w:t>
            </w:r>
            <w:r>
              <w:t xml:space="preserve">preprocessing and conversion </w:t>
            </w:r>
            <w:r w:rsidRPr="00A661BF">
              <w:t>technologies</w:t>
            </w:r>
            <w:r w:rsidR="00EF3314">
              <w:t>.</w:t>
            </w:r>
          </w:p>
          <w:p w14:paraId="6F0AAFB2" w14:textId="4014E7BD" w:rsidR="009205C1" w:rsidRPr="000A5B27" w:rsidRDefault="009205C1" w:rsidP="00660134">
            <w:pPr>
              <w:shd w:val="clear" w:color="auto" w:fill="FFFFFF"/>
              <w:spacing w:after="120"/>
              <w:rPr>
                <w:rFonts w:cstheme="minorHAnsi"/>
              </w:rPr>
            </w:pPr>
          </w:p>
        </w:tc>
      </w:tr>
    </w:tbl>
    <w:p w14:paraId="2D4709E6" w14:textId="20E72746" w:rsidR="00EF3314" w:rsidRDefault="00EF3314" w:rsidP="00FE75E2">
      <w:pPr>
        <w:shd w:val="clear" w:color="auto" w:fill="FFFFFF"/>
        <w:spacing w:after="120" w:line="240" w:lineRule="auto"/>
        <w:rPr>
          <w:rFonts w:cstheme="minorHAnsi"/>
        </w:rPr>
      </w:pPr>
    </w:p>
    <w:p w14:paraId="26A34505" w14:textId="4A9288DC" w:rsidR="00FE75E2" w:rsidRPr="00CE0B94" w:rsidRDefault="00FE75E2" w:rsidP="00151F80">
      <w:pPr>
        <w:pStyle w:val="Heading1"/>
      </w:pPr>
      <w:r w:rsidRPr="00CE0B94">
        <w:t xml:space="preserve">Appropriateness of Government Resources </w:t>
      </w:r>
      <w:r w:rsidR="00EF3314">
        <w:t>(</w:t>
      </w:r>
      <w:r w:rsidRPr="00CE0B94">
        <w:t>10%</w:t>
      </w:r>
      <w:r w:rsidR="00EF3314">
        <w:t>)</w:t>
      </w:r>
      <w:r w:rsidRPr="00CE0B94">
        <w:t xml:space="preserve"> </w:t>
      </w:r>
    </w:p>
    <w:p w14:paraId="6A13C66F" w14:textId="72992F45" w:rsidR="00EF3314" w:rsidRDefault="00060C23" w:rsidP="00060C23">
      <w:pPr>
        <w:shd w:val="clear" w:color="auto" w:fill="FFFFFF"/>
        <w:spacing w:after="120" w:line="240" w:lineRule="auto"/>
        <w:rPr>
          <w:rFonts w:cstheme="minorHAnsi"/>
          <w:b/>
          <w:bCs/>
          <w:i/>
          <w:iCs/>
        </w:rPr>
      </w:pPr>
      <w:r>
        <w:rPr>
          <w:rFonts w:cstheme="minorHAnsi"/>
        </w:rPr>
        <w:t>Answer the two questions in this section as directly as possible</w:t>
      </w:r>
      <w:r w:rsidR="001A408B">
        <w:rPr>
          <w:rFonts w:cstheme="minorHAnsi"/>
        </w:rPr>
        <w:t>, using specific information and examples.</w:t>
      </w:r>
    </w:p>
    <w:p w14:paraId="11F8448D" w14:textId="79B7519D" w:rsidR="00F630DF" w:rsidRPr="002B0D04" w:rsidRDefault="00060C23" w:rsidP="00151F80">
      <w:pPr>
        <w:pStyle w:val="ListParagraph"/>
        <w:numPr>
          <w:ilvl w:val="0"/>
          <w:numId w:val="10"/>
        </w:numPr>
        <w:shd w:val="clear" w:color="auto" w:fill="FFFFFF"/>
        <w:spacing w:after="120" w:line="240" w:lineRule="auto"/>
        <w:rPr>
          <w:rFonts w:cstheme="minorHAnsi"/>
        </w:rPr>
      </w:pPr>
      <w:r w:rsidRPr="002B0D04">
        <w:rPr>
          <w:rFonts w:cstheme="minorHAnsi"/>
        </w:rPr>
        <w:t>Why is government investment required, and why can’t the participant independently perform this project?</w:t>
      </w:r>
      <w:r w:rsidRPr="002B0D04">
        <w:t xml:space="preserve"> </w:t>
      </w:r>
      <w:r w:rsidR="00F630DF" w:rsidRPr="002B0D04">
        <w:t>Avoid any generalities regarding the company’s capabilities and resources.</w:t>
      </w:r>
    </w:p>
    <w:p w14:paraId="3BDB52DD" w14:textId="30B2C339" w:rsidR="00060C23" w:rsidRPr="002B0D04" w:rsidRDefault="00EF3314" w:rsidP="00151F80">
      <w:pPr>
        <w:pStyle w:val="ListParagraph"/>
        <w:numPr>
          <w:ilvl w:val="1"/>
          <w:numId w:val="10"/>
        </w:numPr>
        <w:shd w:val="clear" w:color="auto" w:fill="FFFFFF"/>
        <w:spacing w:after="120" w:line="240" w:lineRule="auto"/>
        <w:rPr>
          <w:rFonts w:cstheme="minorHAnsi"/>
        </w:rPr>
      </w:pPr>
      <w:r w:rsidRPr="002B0D04">
        <w:rPr>
          <w:rFonts w:cstheme="minorHAnsi"/>
        </w:rPr>
        <w:t>Brief e</w:t>
      </w:r>
      <w:r w:rsidR="00F10505" w:rsidRPr="002B0D04">
        <w:rPr>
          <w:rFonts w:cstheme="minorHAnsi"/>
        </w:rPr>
        <w:t>xample of an effective response</w:t>
      </w:r>
      <w:r w:rsidRPr="002B0D04">
        <w:rPr>
          <w:rFonts w:cstheme="minorHAnsi"/>
        </w:rPr>
        <w:t>:</w:t>
      </w:r>
      <w:r w:rsidR="001A408B" w:rsidRPr="002B0D04">
        <w:rPr>
          <w:rFonts w:cstheme="minorHAnsi"/>
        </w:rPr>
        <w:t xml:space="preserve"> “</w:t>
      </w:r>
      <w:r w:rsidRPr="002B0D04">
        <w:rPr>
          <w:rFonts w:cstheme="minorHAnsi"/>
        </w:rPr>
        <w:t>T</w:t>
      </w:r>
      <w:r w:rsidR="00060C23" w:rsidRPr="002B0D04">
        <w:rPr>
          <w:rFonts w:cstheme="minorHAnsi"/>
        </w:rPr>
        <w:t xml:space="preserve">he variability and chemical complexity of the bio-intermediate produced by Company </w:t>
      </w:r>
      <w:r w:rsidR="00391198" w:rsidRPr="002B0D04">
        <w:rPr>
          <w:rFonts w:cstheme="minorHAnsi"/>
        </w:rPr>
        <w:t>ABC</w:t>
      </w:r>
      <w:r w:rsidR="00060C23" w:rsidRPr="002B0D04">
        <w:rPr>
          <w:rFonts w:cstheme="minorHAnsi"/>
        </w:rPr>
        <w:t xml:space="preserve"> presents significant challenges to its characterization and</w:t>
      </w:r>
      <w:r w:rsidR="001A408B" w:rsidRPr="002B0D04">
        <w:rPr>
          <w:rFonts w:cstheme="minorHAnsi"/>
        </w:rPr>
        <w:t xml:space="preserve"> therefore potential for subsequent</w:t>
      </w:r>
      <w:r w:rsidR="00060C23" w:rsidRPr="002B0D04">
        <w:rPr>
          <w:rFonts w:cstheme="minorHAnsi"/>
        </w:rPr>
        <w:t xml:space="preserve"> upgrading</w:t>
      </w:r>
      <w:r w:rsidR="001A408B" w:rsidRPr="002B0D04">
        <w:rPr>
          <w:rFonts w:cstheme="minorHAnsi"/>
        </w:rPr>
        <w:t>. We</w:t>
      </w:r>
      <w:r w:rsidR="00060C23" w:rsidRPr="002B0D04">
        <w:rPr>
          <w:rFonts w:cstheme="minorHAnsi"/>
        </w:rPr>
        <w:t xml:space="preserve"> do not have the analytical tools or expertise </w:t>
      </w:r>
      <w:r w:rsidR="001A408B" w:rsidRPr="002B0D04">
        <w:rPr>
          <w:rFonts w:cstheme="minorHAnsi"/>
        </w:rPr>
        <w:t xml:space="preserve">in-house </w:t>
      </w:r>
      <w:r w:rsidR="00060C23" w:rsidRPr="002B0D04">
        <w:rPr>
          <w:rFonts w:cstheme="minorHAnsi"/>
        </w:rPr>
        <w:t>to properly character</w:t>
      </w:r>
      <w:r w:rsidR="001A408B" w:rsidRPr="002B0D04">
        <w:rPr>
          <w:rFonts w:cstheme="minorHAnsi"/>
        </w:rPr>
        <w:t>ize</w:t>
      </w:r>
      <w:r w:rsidR="00060C23" w:rsidRPr="002B0D04">
        <w:rPr>
          <w:rFonts w:cstheme="minorHAnsi"/>
        </w:rPr>
        <w:t xml:space="preserve"> these bioproducts</w:t>
      </w:r>
      <w:r w:rsidR="001A408B" w:rsidRPr="002B0D04">
        <w:rPr>
          <w:rFonts w:cstheme="minorHAnsi"/>
        </w:rPr>
        <w:t xml:space="preserve">. Because we are currently focusing our resources on deploying our technology at the pilot/demonstration scale at location </w:t>
      </w:r>
      <w:r w:rsidR="00391198" w:rsidRPr="002B0D04">
        <w:rPr>
          <w:rFonts w:cstheme="minorHAnsi"/>
        </w:rPr>
        <w:t>ABC</w:t>
      </w:r>
      <w:r w:rsidR="00060C23" w:rsidRPr="002B0D04">
        <w:rPr>
          <w:rFonts w:cstheme="minorHAnsi"/>
        </w:rPr>
        <w:t xml:space="preserve">, </w:t>
      </w:r>
      <w:r w:rsidR="001A408B" w:rsidRPr="002B0D04">
        <w:rPr>
          <w:rFonts w:cstheme="minorHAnsi"/>
        </w:rPr>
        <w:t xml:space="preserve">we do not have </w:t>
      </w:r>
      <w:r w:rsidR="00060C23" w:rsidRPr="002B0D04">
        <w:rPr>
          <w:rFonts w:cstheme="minorHAnsi"/>
        </w:rPr>
        <w:t>the resources to fund the external development of these capabilities</w:t>
      </w:r>
      <w:r w:rsidR="001A408B" w:rsidRPr="002B0D04">
        <w:rPr>
          <w:rFonts w:cstheme="minorHAnsi"/>
        </w:rPr>
        <w:t>.”</w:t>
      </w:r>
      <w:r w:rsidR="00060C23" w:rsidRPr="002B0D04">
        <w:rPr>
          <w:rFonts w:cstheme="minorHAnsi"/>
        </w:rPr>
        <w:t xml:space="preserve"> </w:t>
      </w:r>
    </w:p>
    <w:p w14:paraId="6BA3E631" w14:textId="15E03025" w:rsidR="005F3633" w:rsidRPr="00151F80" w:rsidRDefault="00060C23" w:rsidP="00151F80">
      <w:pPr>
        <w:pStyle w:val="ListParagraph"/>
        <w:numPr>
          <w:ilvl w:val="0"/>
          <w:numId w:val="10"/>
        </w:numPr>
        <w:shd w:val="clear" w:color="auto" w:fill="FFFFFF"/>
        <w:spacing w:after="120" w:line="240" w:lineRule="auto"/>
        <w:rPr>
          <w:rFonts w:cstheme="minorHAnsi"/>
          <w:b/>
          <w:bCs/>
        </w:rPr>
      </w:pPr>
      <w:r w:rsidRPr="002B0D04">
        <w:rPr>
          <w:rFonts w:cstheme="minorHAnsi"/>
        </w:rPr>
        <w:t xml:space="preserve">Why are FCIC resources the best fit for this project? Indicate </w:t>
      </w:r>
      <w:r w:rsidR="00F630DF" w:rsidRPr="002B0D04">
        <w:rPr>
          <w:rFonts w:cstheme="minorHAnsi"/>
        </w:rPr>
        <w:t>specifically</w:t>
      </w:r>
      <w:r w:rsidR="00EF3314" w:rsidRPr="002B0D04">
        <w:rPr>
          <w:rFonts w:cstheme="minorHAnsi"/>
        </w:rPr>
        <w:t xml:space="preserve"> requested</w:t>
      </w:r>
      <w:r w:rsidRPr="002B0D04">
        <w:rPr>
          <w:rFonts w:cstheme="minorHAnsi"/>
        </w:rPr>
        <w:t xml:space="preserve"> capabilities </w:t>
      </w:r>
      <w:r w:rsidR="00EF3314" w:rsidRPr="002B0D04">
        <w:rPr>
          <w:rFonts w:cstheme="minorHAnsi"/>
        </w:rPr>
        <w:t>not generally available to the private sector</w:t>
      </w:r>
      <w:r w:rsidRPr="002B0D04">
        <w:rPr>
          <w:rFonts w:cstheme="minorHAnsi"/>
        </w:rPr>
        <w:t>.</w:t>
      </w:r>
    </w:p>
    <w:p w14:paraId="2D4D4BE8" w14:textId="683EFF19" w:rsidR="005F3633" w:rsidRPr="005F3633" w:rsidRDefault="00EF3314" w:rsidP="00151F80">
      <w:pPr>
        <w:pStyle w:val="ListParagraph"/>
        <w:numPr>
          <w:ilvl w:val="1"/>
          <w:numId w:val="10"/>
        </w:numPr>
        <w:shd w:val="clear" w:color="auto" w:fill="FFFFFF"/>
        <w:spacing w:after="120" w:line="240" w:lineRule="auto"/>
        <w:rPr>
          <w:rFonts w:cstheme="minorHAnsi"/>
        </w:rPr>
      </w:pPr>
      <w:r w:rsidRPr="00F630DF">
        <w:rPr>
          <w:rFonts w:cstheme="minorHAnsi"/>
        </w:rPr>
        <w:t xml:space="preserve">Brief </w:t>
      </w:r>
      <w:r w:rsidR="00F10505" w:rsidRPr="00F630DF">
        <w:rPr>
          <w:rFonts w:cstheme="minorHAnsi"/>
        </w:rPr>
        <w:t>example of an effective response</w:t>
      </w:r>
      <w:r w:rsidR="00F630DF" w:rsidRPr="00F630DF">
        <w:rPr>
          <w:rFonts w:cstheme="minorHAnsi"/>
        </w:rPr>
        <w:t>:</w:t>
      </w:r>
      <w:r w:rsidR="001A408B" w:rsidRPr="00F630DF">
        <w:rPr>
          <w:rFonts w:cstheme="minorHAnsi"/>
        </w:rPr>
        <w:t xml:space="preserve"> </w:t>
      </w:r>
      <w:r w:rsidR="00060C23" w:rsidRPr="00F630DF">
        <w:rPr>
          <w:rFonts w:cstheme="minorHAnsi"/>
        </w:rPr>
        <w:t xml:space="preserve">“Laboratory XNL has developed and </w:t>
      </w:r>
      <w:r w:rsidR="005F3633">
        <w:rPr>
          <w:rFonts w:cstheme="minorHAnsi"/>
        </w:rPr>
        <w:t>u</w:t>
      </w:r>
      <w:r w:rsidR="005F3633" w:rsidRPr="00F630DF">
        <w:rPr>
          <w:rFonts w:cstheme="minorHAnsi"/>
        </w:rPr>
        <w:t>tilized</w:t>
      </w:r>
      <w:r w:rsidR="00060C23" w:rsidRPr="00F630DF">
        <w:rPr>
          <w:rFonts w:cstheme="minorHAnsi"/>
        </w:rPr>
        <w:t xml:space="preserve"> a suite of advanced analytical techniques for the chemical characterization of bio-</w:t>
      </w:r>
      <w:r w:rsidR="001A408B" w:rsidRPr="00F630DF">
        <w:rPr>
          <w:rFonts w:cstheme="minorHAnsi"/>
        </w:rPr>
        <w:t xml:space="preserve">intermediates like those produced by Company </w:t>
      </w:r>
      <w:r w:rsidR="00391198" w:rsidRPr="00F630DF">
        <w:rPr>
          <w:rFonts w:cstheme="minorHAnsi"/>
        </w:rPr>
        <w:t>ABC</w:t>
      </w:r>
      <w:r w:rsidR="001A408B" w:rsidRPr="00F630DF">
        <w:rPr>
          <w:rFonts w:cstheme="minorHAnsi"/>
        </w:rPr>
        <w:t xml:space="preserve"> </w:t>
      </w:r>
      <w:r w:rsidR="00060C23" w:rsidRPr="00F630DF">
        <w:rPr>
          <w:rFonts w:cstheme="minorHAnsi"/>
        </w:rPr>
        <w:t xml:space="preserve">and have </w:t>
      </w:r>
      <w:r w:rsidR="00F10505" w:rsidRPr="00F630DF">
        <w:rPr>
          <w:rFonts w:cstheme="minorHAnsi"/>
        </w:rPr>
        <w:t xml:space="preserve">published research which establishes </w:t>
      </w:r>
      <w:r w:rsidR="001A408B" w:rsidRPr="00F630DF">
        <w:rPr>
          <w:rFonts w:cstheme="minorHAnsi"/>
        </w:rPr>
        <w:t xml:space="preserve">relationships between </w:t>
      </w:r>
      <w:r w:rsidR="00060C23" w:rsidRPr="00F630DF">
        <w:rPr>
          <w:rFonts w:cstheme="minorHAnsi"/>
        </w:rPr>
        <w:t xml:space="preserve">feedstocks </w:t>
      </w:r>
      <w:r w:rsidR="001A408B" w:rsidRPr="00F630DF">
        <w:rPr>
          <w:rFonts w:cstheme="minorHAnsi"/>
        </w:rPr>
        <w:t>properties and bio-intermediate properties.”</w:t>
      </w:r>
    </w:p>
    <w:p w14:paraId="5CF21049" w14:textId="53CD5E3D" w:rsidR="00FE75E2" w:rsidRPr="00CE0B94" w:rsidRDefault="00FE75E2" w:rsidP="00151F80">
      <w:pPr>
        <w:pStyle w:val="Heading1"/>
      </w:pPr>
      <w:r w:rsidRPr="00CE0B94">
        <w:t xml:space="preserve">Community Benefits, Engagement, and Outreach Plan </w:t>
      </w:r>
    </w:p>
    <w:p w14:paraId="6FB57362" w14:textId="2A0B4414" w:rsidR="00FE75E2" w:rsidRPr="00476132" w:rsidRDefault="009205C1" w:rsidP="00FE75E2">
      <w:pPr>
        <w:shd w:val="clear" w:color="auto" w:fill="FFFFFF"/>
        <w:spacing w:after="120" w:line="240" w:lineRule="auto"/>
        <w:rPr>
          <w:rFonts w:cstheme="minorHAnsi"/>
        </w:rPr>
      </w:pPr>
      <w:r w:rsidRPr="002B0D04">
        <w:rPr>
          <w:rFonts w:cstheme="minorHAnsi"/>
        </w:rPr>
        <w:t xml:space="preserve">How will the proposed project positively impact the US DOE’s Equity </w:t>
      </w:r>
      <w:r w:rsidR="000E1146" w:rsidRPr="002B0D04">
        <w:rPr>
          <w:rFonts w:cstheme="minorHAnsi"/>
        </w:rPr>
        <w:t>A</w:t>
      </w:r>
      <w:r w:rsidRPr="002B0D04">
        <w:rPr>
          <w:rFonts w:cstheme="minorHAnsi"/>
        </w:rPr>
        <w:t>ction Plan</w:t>
      </w:r>
      <w:r w:rsidR="00F630DF" w:rsidRPr="002B0D04">
        <w:rPr>
          <w:rFonts w:cstheme="minorHAnsi"/>
        </w:rPr>
        <w:t xml:space="preserve"> (EAP)</w:t>
      </w:r>
      <w:r w:rsidRPr="002B0D04">
        <w:rPr>
          <w:rFonts w:cstheme="minorHAnsi"/>
        </w:rPr>
        <w:t>? This</w:t>
      </w:r>
      <w:r>
        <w:rPr>
          <w:rFonts w:cstheme="minorHAnsi"/>
        </w:rPr>
        <w:t xml:space="preserve"> can include actions performed by either the participant, </w:t>
      </w:r>
      <w:r w:rsidR="00F630DF">
        <w:rPr>
          <w:rFonts w:cstheme="minorHAnsi"/>
        </w:rPr>
        <w:t>n</w:t>
      </w:r>
      <w:r>
        <w:rPr>
          <w:rFonts w:cstheme="minorHAnsi"/>
        </w:rPr>
        <w:t xml:space="preserve">ational </w:t>
      </w:r>
      <w:r w:rsidR="00F630DF">
        <w:rPr>
          <w:rFonts w:cstheme="minorHAnsi"/>
        </w:rPr>
        <w:t>l</w:t>
      </w:r>
      <w:r>
        <w:rPr>
          <w:rFonts w:cstheme="minorHAnsi"/>
        </w:rPr>
        <w:t xml:space="preserve">aboratory, or both. </w:t>
      </w:r>
      <w:r w:rsidR="000E1146">
        <w:rPr>
          <w:rFonts w:cstheme="minorHAnsi"/>
        </w:rPr>
        <w:t xml:space="preserve">Specific </w:t>
      </w:r>
      <w:r w:rsidR="00F630DF">
        <w:rPr>
          <w:rFonts w:cstheme="minorHAnsi"/>
        </w:rPr>
        <w:t xml:space="preserve">and effective </w:t>
      </w:r>
      <w:r w:rsidR="00F10505">
        <w:rPr>
          <w:rFonts w:cstheme="minorHAnsi"/>
        </w:rPr>
        <w:t xml:space="preserve">examples of </w:t>
      </w:r>
      <w:r w:rsidR="000E1146">
        <w:rPr>
          <w:rFonts w:cstheme="minorHAnsi"/>
        </w:rPr>
        <w:t xml:space="preserve">activities that can support </w:t>
      </w:r>
      <w:r w:rsidR="00F10505">
        <w:rPr>
          <w:rFonts w:cstheme="minorHAnsi"/>
        </w:rPr>
        <w:t xml:space="preserve">DOE’s </w:t>
      </w:r>
      <w:r w:rsidR="000E1146">
        <w:rPr>
          <w:rFonts w:cstheme="minorHAnsi"/>
        </w:rPr>
        <w:t xml:space="preserve">EAP might include (but are not limited to): </w:t>
      </w:r>
    </w:p>
    <w:p w14:paraId="4D1EF4F6" w14:textId="77777777" w:rsidR="000E1146" w:rsidRPr="000E1146" w:rsidRDefault="000E1146" w:rsidP="000E1146">
      <w:pPr>
        <w:pStyle w:val="ListParagraph"/>
        <w:numPr>
          <w:ilvl w:val="0"/>
          <w:numId w:val="7"/>
        </w:numPr>
        <w:rPr>
          <w:rFonts w:cstheme="minorHAnsi"/>
        </w:rPr>
      </w:pPr>
      <w:r w:rsidRPr="000E1146">
        <w:rPr>
          <w:rFonts w:cstheme="minorHAnsi"/>
        </w:rPr>
        <w:t>Laboratory XNL has existing outreach programs to local community colleges to encourage interest in STEM careers. XNL researchers on this project will engage with this program to connect students at these colleges with examples of “real world” applications of STEM.</w:t>
      </w:r>
    </w:p>
    <w:p w14:paraId="37A865C6" w14:textId="0049690A" w:rsidR="000E1146" w:rsidRPr="000E1146" w:rsidRDefault="000E1146" w:rsidP="000E1146">
      <w:pPr>
        <w:pStyle w:val="ListParagraph"/>
        <w:numPr>
          <w:ilvl w:val="0"/>
          <w:numId w:val="7"/>
        </w:numPr>
        <w:rPr>
          <w:rFonts w:cstheme="minorHAnsi"/>
        </w:rPr>
      </w:pPr>
      <w:r w:rsidRPr="000E1146">
        <w:rPr>
          <w:rFonts w:cstheme="minorHAnsi"/>
        </w:rPr>
        <w:t xml:space="preserve">Laboratory XNL has existing relationships with multiple Minority Serving Institutions (MSIs) and regularly host interns from MSIs </w:t>
      </w:r>
      <w:r w:rsidR="0015651D">
        <w:rPr>
          <w:rFonts w:cstheme="minorHAnsi"/>
        </w:rPr>
        <w:t>at</w:t>
      </w:r>
      <w:r w:rsidRPr="000E1146">
        <w:rPr>
          <w:rFonts w:cstheme="minorHAnsi"/>
        </w:rPr>
        <w:t xml:space="preserve"> </w:t>
      </w:r>
      <w:r w:rsidR="0015651D">
        <w:rPr>
          <w:rFonts w:cstheme="minorHAnsi"/>
        </w:rPr>
        <w:t>its</w:t>
      </w:r>
      <w:r w:rsidR="0015651D" w:rsidRPr="000E1146">
        <w:rPr>
          <w:rFonts w:cstheme="minorHAnsi"/>
        </w:rPr>
        <w:t xml:space="preserve"> </w:t>
      </w:r>
      <w:r w:rsidRPr="000E1146">
        <w:rPr>
          <w:rFonts w:cstheme="minorHAnsi"/>
        </w:rPr>
        <w:t xml:space="preserve">laboratories. </w:t>
      </w:r>
    </w:p>
    <w:p w14:paraId="4016BAD8" w14:textId="1B4F4A8D" w:rsidR="000A5B27" w:rsidRPr="000E1146" w:rsidRDefault="000E1146" w:rsidP="00E269B1">
      <w:pPr>
        <w:pStyle w:val="ListParagraph"/>
        <w:numPr>
          <w:ilvl w:val="0"/>
          <w:numId w:val="7"/>
        </w:numPr>
        <w:shd w:val="clear" w:color="auto" w:fill="FFFFFF"/>
        <w:spacing w:after="120" w:line="240" w:lineRule="auto"/>
        <w:rPr>
          <w:rFonts w:cstheme="minorHAnsi"/>
          <w:b/>
          <w:bCs/>
        </w:rPr>
      </w:pPr>
      <w:r w:rsidRPr="00F10505">
        <w:rPr>
          <w:rFonts w:cstheme="minorHAnsi"/>
        </w:rPr>
        <w:t xml:space="preserve">As part of our efforts to promote equity, Company </w:t>
      </w:r>
      <w:r w:rsidR="00391198" w:rsidRPr="00F10505">
        <w:rPr>
          <w:rFonts w:cstheme="minorHAnsi"/>
        </w:rPr>
        <w:t>ABC</w:t>
      </w:r>
      <w:r w:rsidRPr="00F10505">
        <w:rPr>
          <w:rFonts w:cstheme="minorHAnsi"/>
        </w:rPr>
        <w:t xml:space="preserve"> and Laboratory XNL will strive to publish our findings in trade and technical journals that provide </w:t>
      </w:r>
      <w:r w:rsidR="0015651D" w:rsidRPr="00F10505">
        <w:rPr>
          <w:rFonts w:cstheme="minorHAnsi"/>
        </w:rPr>
        <w:t>open access</w:t>
      </w:r>
      <w:r w:rsidRPr="00F10505">
        <w:rPr>
          <w:rFonts w:cstheme="minorHAnsi"/>
        </w:rPr>
        <w:t xml:space="preserve"> to all readers.</w:t>
      </w:r>
    </w:p>
    <w:sectPr w:rsidR="000A5B27" w:rsidRPr="000E1146" w:rsidSect="000A5B2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833"/>
    <w:multiLevelType w:val="hybridMultilevel"/>
    <w:tmpl w:val="8570B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450BC"/>
    <w:multiLevelType w:val="hybridMultilevel"/>
    <w:tmpl w:val="07908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3183A"/>
    <w:multiLevelType w:val="hybridMultilevel"/>
    <w:tmpl w:val="45C6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D6F67"/>
    <w:multiLevelType w:val="hybridMultilevel"/>
    <w:tmpl w:val="14BA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67ACC"/>
    <w:multiLevelType w:val="hybridMultilevel"/>
    <w:tmpl w:val="600E7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B91CD9"/>
    <w:multiLevelType w:val="hybridMultilevel"/>
    <w:tmpl w:val="C3EA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B4614"/>
    <w:multiLevelType w:val="hybridMultilevel"/>
    <w:tmpl w:val="406A9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B5294C"/>
    <w:multiLevelType w:val="hybridMultilevel"/>
    <w:tmpl w:val="FA16B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21E68"/>
    <w:multiLevelType w:val="hybridMultilevel"/>
    <w:tmpl w:val="4C48F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1527F"/>
    <w:multiLevelType w:val="hybridMultilevel"/>
    <w:tmpl w:val="14323312"/>
    <w:lvl w:ilvl="0" w:tplc="04090001">
      <w:start w:val="1"/>
      <w:numFmt w:val="bullet"/>
      <w:lvlText w:val=""/>
      <w:lvlJc w:val="left"/>
      <w:pPr>
        <w:ind w:left="360" w:hanging="360"/>
      </w:pPr>
      <w:rPr>
        <w:rFonts w:ascii="Symbol" w:hAnsi="Symbol" w:hint="default"/>
      </w:rPr>
    </w:lvl>
    <w:lvl w:ilvl="1" w:tplc="29FAC22A">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5F653E"/>
    <w:multiLevelType w:val="hybridMultilevel"/>
    <w:tmpl w:val="A3660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4355382">
    <w:abstractNumId w:val="3"/>
  </w:num>
  <w:num w:numId="2" w16cid:durableId="1711301703">
    <w:abstractNumId w:val="6"/>
  </w:num>
  <w:num w:numId="3" w16cid:durableId="1088690620">
    <w:abstractNumId w:val="10"/>
  </w:num>
  <w:num w:numId="4" w16cid:durableId="1931766675">
    <w:abstractNumId w:val="2"/>
  </w:num>
  <w:num w:numId="5" w16cid:durableId="1567644781">
    <w:abstractNumId w:val="0"/>
  </w:num>
  <w:num w:numId="6" w16cid:durableId="1313604791">
    <w:abstractNumId w:val="7"/>
  </w:num>
  <w:num w:numId="7" w16cid:durableId="1983846784">
    <w:abstractNumId w:val="9"/>
  </w:num>
  <w:num w:numId="8" w16cid:durableId="1582526195">
    <w:abstractNumId w:val="4"/>
  </w:num>
  <w:num w:numId="9" w16cid:durableId="1004474460">
    <w:abstractNumId w:val="5"/>
  </w:num>
  <w:num w:numId="10" w16cid:durableId="509761237">
    <w:abstractNumId w:val="8"/>
  </w:num>
  <w:num w:numId="11" w16cid:durableId="6588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E2"/>
    <w:rsid w:val="00060C23"/>
    <w:rsid w:val="000A5B27"/>
    <w:rsid w:val="000C79D5"/>
    <w:rsid w:val="000E1146"/>
    <w:rsid w:val="000F16DF"/>
    <w:rsid w:val="0014661D"/>
    <w:rsid w:val="00151F80"/>
    <w:rsid w:val="0015651D"/>
    <w:rsid w:val="0017384B"/>
    <w:rsid w:val="001A408B"/>
    <w:rsid w:val="002B0D04"/>
    <w:rsid w:val="002B7014"/>
    <w:rsid w:val="002F58DB"/>
    <w:rsid w:val="00391198"/>
    <w:rsid w:val="00403312"/>
    <w:rsid w:val="00434330"/>
    <w:rsid w:val="00447522"/>
    <w:rsid w:val="004B4B4C"/>
    <w:rsid w:val="004E6716"/>
    <w:rsid w:val="00534025"/>
    <w:rsid w:val="00557899"/>
    <w:rsid w:val="005A62EB"/>
    <w:rsid w:val="005B28C1"/>
    <w:rsid w:val="005D0ACB"/>
    <w:rsid w:val="005E54BF"/>
    <w:rsid w:val="005F0EBD"/>
    <w:rsid w:val="005F3633"/>
    <w:rsid w:val="00604AF3"/>
    <w:rsid w:val="00614155"/>
    <w:rsid w:val="0066610E"/>
    <w:rsid w:val="00743979"/>
    <w:rsid w:val="007A3BEE"/>
    <w:rsid w:val="007B017C"/>
    <w:rsid w:val="007F031C"/>
    <w:rsid w:val="00863D1E"/>
    <w:rsid w:val="008A65AE"/>
    <w:rsid w:val="009205C1"/>
    <w:rsid w:val="00932CDE"/>
    <w:rsid w:val="00977E0E"/>
    <w:rsid w:val="009841DA"/>
    <w:rsid w:val="009C5D4E"/>
    <w:rsid w:val="00A42C3F"/>
    <w:rsid w:val="00A66F8F"/>
    <w:rsid w:val="00B85EDE"/>
    <w:rsid w:val="00BB5203"/>
    <w:rsid w:val="00CB7C1C"/>
    <w:rsid w:val="00CE0B94"/>
    <w:rsid w:val="00CE1B68"/>
    <w:rsid w:val="00D72CD1"/>
    <w:rsid w:val="00D973E4"/>
    <w:rsid w:val="00E269B1"/>
    <w:rsid w:val="00E42A7B"/>
    <w:rsid w:val="00E94A76"/>
    <w:rsid w:val="00EC2AC1"/>
    <w:rsid w:val="00EF3314"/>
    <w:rsid w:val="00F10505"/>
    <w:rsid w:val="00F3149D"/>
    <w:rsid w:val="00F630DF"/>
    <w:rsid w:val="00FE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6ED6"/>
  <w15:chartTrackingRefBased/>
  <w15:docId w15:val="{5E15631D-40A9-4392-8AE2-810299C2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5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E75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75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75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75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7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5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E75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75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75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75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7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5E2"/>
    <w:rPr>
      <w:rFonts w:eastAsiaTheme="majorEastAsia" w:cstheme="majorBidi"/>
      <w:color w:val="272727" w:themeColor="text1" w:themeTint="D8"/>
    </w:rPr>
  </w:style>
  <w:style w:type="paragraph" w:styleId="Title">
    <w:name w:val="Title"/>
    <w:basedOn w:val="Normal"/>
    <w:next w:val="Normal"/>
    <w:link w:val="TitleChar"/>
    <w:uiPriority w:val="10"/>
    <w:qFormat/>
    <w:rsid w:val="00FE7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5E2"/>
    <w:pPr>
      <w:spacing w:before="160"/>
      <w:jc w:val="center"/>
    </w:pPr>
    <w:rPr>
      <w:i/>
      <w:iCs/>
      <w:color w:val="404040" w:themeColor="text1" w:themeTint="BF"/>
    </w:rPr>
  </w:style>
  <w:style w:type="character" w:customStyle="1" w:styleId="QuoteChar">
    <w:name w:val="Quote Char"/>
    <w:basedOn w:val="DefaultParagraphFont"/>
    <w:link w:val="Quote"/>
    <w:uiPriority w:val="29"/>
    <w:rsid w:val="00FE75E2"/>
    <w:rPr>
      <w:i/>
      <w:iCs/>
      <w:color w:val="404040" w:themeColor="text1" w:themeTint="BF"/>
    </w:rPr>
  </w:style>
  <w:style w:type="paragraph" w:styleId="ListParagraph">
    <w:name w:val="List Paragraph"/>
    <w:basedOn w:val="Normal"/>
    <w:uiPriority w:val="34"/>
    <w:qFormat/>
    <w:rsid w:val="00FE75E2"/>
    <w:pPr>
      <w:ind w:left="720"/>
      <w:contextualSpacing/>
    </w:pPr>
  </w:style>
  <w:style w:type="character" w:styleId="IntenseEmphasis">
    <w:name w:val="Intense Emphasis"/>
    <w:basedOn w:val="DefaultParagraphFont"/>
    <w:uiPriority w:val="21"/>
    <w:qFormat/>
    <w:rsid w:val="00FE75E2"/>
    <w:rPr>
      <w:i/>
      <w:iCs/>
      <w:color w:val="2F5496" w:themeColor="accent1" w:themeShade="BF"/>
    </w:rPr>
  </w:style>
  <w:style w:type="paragraph" w:styleId="IntenseQuote">
    <w:name w:val="Intense Quote"/>
    <w:basedOn w:val="Normal"/>
    <w:next w:val="Normal"/>
    <w:link w:val="IntenseQuoteChar"/>
    <w:uiPriority w:val="30"/>
    <w:qFormat/>
    <w:rsid w:val="00FE7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75E2"/>
    <w:rPr>
      <w:i/>
      <w:iCs/>
      <w:color w:val="2F5496" w:themeColor="accent1" w:themeShade="BF"/>
    </w:rPr>
  </w:style>
  <w:style w:type="character" w:styleId="IntenseReference">
    <w:name w:val="Intense Reference"/>
    <w:basedOn w:val="DefaultParagraphFont"/>
    <w:uiPriority w:val="32"/>
    <w:qFormat/>
    <w:rsid w:val="00FE75E2"/>
    <w:rPr>
      <w:b/>
      <w:bCs/>
      <w:smallCaps/>
      <w:color w:val="2F5496" w:themeColor="accent1" w:themeShade="BF"/>
      <w:spacing w:val="5"/>
    </w:rPr>
  </w:style>
  <w:style w:type="table" w:styleId="TableGrid">
    <w:name w:val="Table Grid"/>
    <w:basedOn w:val="TableNormal"/>
    <w:uiPriority w:val="39"/>
    <w:rsid w:val="000A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49D"/>
    <w:rPr>
      <w:color w:val="0563C1" w:themeColor="hyperlink"/>
      <w:u w:val="single"/>
    </w:rPr>
  </w:style>
  <w:style w:type="character" w:styleId="CommentReference">
    <w:name w:val="annotation reference"/>
    <w:basedOn w:val="DefaultParagraphFont"/>
    <w:uiPriority w:val="99"/>
    <w:semiHidden/>
    <w:unhideWhenUsed/>
    <w:rsid w:val="00E269B1"/>
    <w:rPr>
      <w:sz w:val="16"/>
      <w:szCs w:val="16"/>
    </w:rPr>
  </w:style>
  <w:style w:type="paragraph" w:styleId="CommentText">
    <w:name w:val="annotation text"/>
    <w:basedOn w:val="Normal"/>
    <w:link w:val="CommentTextChar"/>
    <w:uiPriority w:val="99"/>
    <w:unhideWhenUsed/>
    <w:rsid w:val="00E269B1"/>
    <w:pPr>
      <w:spacing w:line="240" w:lineRule="auto"/>
    </w:pPr>
    <w:rPr>
      <w:sz w:val="20"/>
      <w:szCs w:val="20"/>
    </w:rPr>
  </w:style>
  <w:style w:type="character" w:customStyle="1" w:styleId="CommentTextChar">
    <w:name w:val="Comment Text Char"/>
    <w:basedOn w:val="DefaultParagraphFont"/>
    <w:link w:val="CommentText"/>
    <w:uiPriority w:val="99"/>
    <w:rsid w:val="00E269B1"/>
    <w:rPr>
      <w:sz w:val="20"/>
      <w:szCs w:val="20"/>
    </w:rPr>
  </w:style>
  <w:style w:type="paragraph" w:styleId="CommentSubject">
    <w:name w:val="annotation subject"/>
    <w:basedOn w:val="CommentText"/>
    <w:next w:val="CommentText"/>
    <w:link w:val="CommentSubjectChar"/>
    <w:uiPriority w:val="99"/>
    <w:semiHidden/>
    <w:unhideWhenUsed/>
    <w:rsid w:val="00E269B1"/>
    <w:rPr>
      <w:b/>
      <w:bCs/>
    </w:rPr>
  </w:style>
  <w:style w:type="character" w:customStyle="1" w:styleId="CommentSubjectChar">
    <w:name w:val="Comment Subject Char"/>
    <w:basedOn w:val="CommentTextChar"/>
    <w:link w:val="CommentSubject"/>
    <w:uiPriority w:val="99"/>
    <w:semiHidden/>
    <w:rsid w:val="00E269B1"/>
    <w:rPr>
      <w:b/>
      <w:bCs/>
      <w:sz w:val="20"/>
      <w:szCs w:val="20"/>
    </w:rPr>
  </w:style>
  <w:style w:type="paragraph" w:styleId="Revision">
    <w:name w:val="Revision"/>
    <w:hidden/>
    <w:uiPriority w:val="99"/>
    <w:semiHidden/>
    <w:rsid w:val="00D97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1695</Words>
  <Characters>9664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Wolfrum, Ed</dc:creator>
  <cp:keywords/>
  <dc:description/>
  <cp:lastModifiedBy>Nixon, Anna</cp:lastModifiedBy>
  <cp:revision>2</cp:revision>
  <dcterms:created xsi:type="dcterms:W3CDTF">2024-11-19T22:46:00Z</dcterms:created>
  <dcterms:modified xsi:type="dcterms:W3CDTF">2024-11-19T22:46:00Z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2024-08-18T20:31:38Z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a277be48-42e8-4705-90bf-e11bfdb1ba8a</vt:lpwstr>
  </property>
  <property fmtid="{D5CDD505-2E9C-101B-9397-08002B2CF9AE}" pid="8" name="MSIP_Label_95965d95-ecc0-4720-b759-1f33c42ed7da_ContentBits">
    <vt:lpwstr>0</vt:lpwstr>
  </property>
</Properties>
</file>