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502B" w14:textId="41F7DDBD" w:rsidR="007064BC" w:rsidRPr="00DB34C2" w:rsidRDefault="00DC6880" w:rsidP="00DB34C2">
      <w:pPr>
        <w:jc w:val="center"/>
        <w:rPr>
          <w:b/>
          <w:bCs/>
          <w:sz w:val="24"/>
          <w:szCs w:val="24"/>
        </w:rPr>
      </w:pPr>
      <w:r w:rsidRPr="00DB34C2">
        <w:rPr>
          <w:b/>
          <w:bCs/>
          <w:sz w:val="24"/>
          <w:szCs w:val="24"/>
        </w:rPr>
        <w:t>Transmission and Distribution Plan Template</w:t>
      </w:r>
    </w:p>
    <w:p w14:paraId="75691498" w14:textId="34794AEC" w:rsidR="00220DAC" w:rsidRPr="006C75F6" w:rsidRDefault="00DC6880" w:rsidP="00DC68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template is meant to serve as a </w:t>
      </w:r>
      <w:r w:rsidR="009B4D74">
        <w:rPr>
          <w:sz w:val="24"/>
          <w:szCs w:val="24"/>
        </w:rPr>
        <w:t>resource</w:t>
      </w:r>
      <w:r>
        <w:rPr>
          <w:sz w:val="24"/>
          <w:szCs w:val="24"/>
        </w:rPr>
        <w:t xml:space="preserve"> for states to complete a </w:t>
      </w:r>
      <w:r w:rsidR="00B2106B">
        <w:rPr>
          <w:sz w:val="24"/>
          <w:szCs w:val="24"/>
        </w:rPr>
        <w:t>transmission and distribution (</w:t>
      </w:r>
      <w:r>
        <w:rPr>
          <w:sz w:val="24"/>
          <w:szCs w:val="24"/>
        </w:rPr>
        <w:t>T&amp;D</w:t>
      </w:r>
      <w:r w:rsidR="00B2106B">
        <w:rPr>
          <w:sz w:val="24"/>
          <w:szCs w:val="24"/>
        </w:rPr>
        <w:t>)</w:t>
      </w:r>
      <w:r>
        <w:rPr>
          <w:sz w:val="24"/>
          <w:szCs w:val="24"/>
        </w:rPr>
        <w:t xml:space="preserve"> plan that meets the mandatory</w:t>
      </w:r>
      <w:r w:rsidR="00220DAC" w:rsidRPr="00391F9F">
        <w:rPr>
          <w:sz w:val="24"/>
          <w:szCs w:val="24"/>
        </w:rPr>
        <w:t xml:space="preserve"> conduct of activities to support </w:t>
      </w:r>
      <w:r w:rsidR="00202F11">
        <w:rPr>
          <w:sz w:val="24"/>
          <w:szCs w:val="24"/>
        </w:rPr>
        <w:t>T&amp;D</w:t>
      </w:r>
      <w:r w:rsidR="00220DAC" w:rsidRPr="00391F9F">
        <w:rPr>
          <w:sz w:val="24"/>
          <w:szCs w:val="24"/>
        </w:rPr>
        <w:t xml:space="preserve"> planning</w:t>
      </w:r>
      <w:r w:rsidR="006C75F6">
        <w:rPr>
          <w:sz w:val="24"/>
          <w:szCs w:val="24"/>
        </w:rPr>
        <w:t xml:space="preserve">, as stated by the State Energy Program regulations </w:t>
      </w:r>
      <w:r w:rsidR="006C75F6" w:rsidRPr="006C75F6">
        <w:rPr>
          <w:sz w:val="24"/>
          <w:szCs w:val="24"/>
        </w:rPr>
        <w:t>(</w:t>
      </w:r>
      <w:r w:rsidR="007C04EA">
        <w:rPr>
          <w:sz w:val="24"/>
          <w:szCs w:val="24"/>
        </w:rPr>
        <w:t xml:space="preserve">as described in </w:t>
      </w:r>
      <w:r w:rsidR="00D9628E">
        <w:rPr>
          <w:sz w:val="24"/>
          <w:szCs w:val="24"/>
        </w:rPr>
        <w:t>C.F.R. Part</w:t>
      </w:r>
      <w:r w:rsidR="006C75F6" w:rsidRPr="007724CD">
        <w:rPr>
          <w:sz w:val="24"/>
          <w:szCs w:val="24"/>
        </w:rPr>
        <w:t xml:space="preserve"> 420.15 </w:t>
      </w:r>
      <w:r w:rsidR="007724CD">
        <w:rPr>
          <w:sz w:val="24"/>
          <w:szCs w:val="24"/>
        </w:rPr>
        <w:t>m</w:t>
      </w:r>
      <w:r w:rsidR="006C75F6" w:rsidRPr="007724CD">
        <w:rPr>
          <w:sz w:val="24"/>
          <w:szCs w:val="24"/>
        </w:rPr>
        <w:t>inimum criteria for required program activities for plans)</w:t>
      </w:r>
      <w:r w:rsidR="006C75F6">
        <w:rPr>
          <w:sz w:val="24"/>
          <w:szCs w:val="24"/>
        </w:rPr>
        <w:t xml:space="preserve"> </w:t>
      </w:r>
      <w:r w:rsidR="00220DAC" w:rsidRPr="006C75F6">
        <w:rPr>
          <w:sz w:val="24"/>
          <w:szCs w:val="24"/>
        </w:rPr>
        <w:t>including:</w:t>
      </w:r>
    </w:p>
    <w:p w14:paraId="02B74EEE" w14:textId="77777777" w:rsidR="008126C7" w:rsidRPr="00391F9F" w:rsidRDefault="008126C7" w:rsidP="00DC6880">
      <w:pPr>
        <w:pStyle w:val="NoSpacing"/>
        <w:rPr>
          <w:sz w:val="24"/>
          <w:szCs w:val="24"/>
        </w:rPr>
      </w:pPr>
    </w:p>
    <w:p w14:paraId="5B48007B" w14:textId="77777777" w:rsidR="00220DAC" w:rsidRDefault="00220DAC" w:rsidP="007724C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91F9F">
        <w:rPr>
          <w:sz w:val="24"/>
          <w:szCs w:val="24"/>
        </w:rPr>
        <w:t>support for local governments and Indian Tribes</w:t>
      </w:r>
      <w:r>
        <w:rPr>
          <w:sz w:val="24"/>
          <w:szCs w:val="24"/>
        </w:rPr>
        <w:t>.</w:t>
      </w:r>
    </w:p>
    <w:p w14:paraId="744752DC" w14:textId="77777777" w:rsidR="00220DAC" w:rsidRDefault="00220DAC" w:rsidP="007724C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91F9F">
        <w:rPr>
          <w:sz w:val="24"/>
          <w:szCs w:val="24"/>
        </w:rPr>
        <w:t>feasibility studies for transmission line routes and alternatives</w:t>
      </w:r>
      <w:r>
        <w:rPr>
          <w:sz w:val="24"/>
          <w:szCs w:val="24"/>
        </w:rPr>
        <w:t>.</w:t>
      </w:r>
    </w:p>
    <w:p w14:paraId="6F42BC81" w14:textId="77777777" w:rsidR="00220DAC" w:rsidRDefault="00220DAC" w:rsidP="007724C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91F9F">
        <w:rPr>
          <w:sz w:val="24"/>
          <w:szCs w:val="24"/>
        </w:rPr>
        <w:t>preparation of necessary project design and permits</w:t>
      </w:r>
      <w:r>
        <w:rPr>
          <w:sz w:val="24"/>
          <w:szCs w:val="24"/>
        </w:rPr>
        <w:t>.</w:t>
      </w:r>
    </w:p>
    <w:p w14:paraId="6E4680FE" w14:textId="29D71479" w:rsidR="00220DAC" w:rsidRDefault="00220DAC" w:rsidP="007724C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91F9F">
        <w:rPr>
          <w:sz w:val="24"/>
          <w:szCs w:val="24"/>
        </w:rPr>
        <w:t>outreach to affected stakeholders.</w:t>
      </w:r>
    </w:p>
    <w:p w14:paraId="426DEE43" w14:textId="77777777" w:rsidR="00C47F56" w:rsidRPr="00690534" w:rsidRDefault="00C47F56" w:rsidP="006F34DB">
      <w:pPr>
        <w:pStyle w:val="NoSpacing"/>
        <w:rPr>
          <w:sz w:val="24"/>
          <w:szCs w:val="24"/>
        </w:rPr>
      </w:pPr>
    </w:p>
    <w:p w14:paraId="246E6670" w14:textId="7B061458" w:rsidR="00DC6880" w:rsidRPr="006F34DB" w:rsidRDefault="00C47F56" w:rsidP="007724C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F34DB">
        <w:rPr>
          <w:sz w:val="24"/>
          <w:szCs w:val="24"/>
        </w:rPr>
        <w:t>Support for local governments and Indian Tribes</w:t>
      </w:r>
      <w:r w:rsidR="004F58EA">
        <w:rPr>
          <w:sz w:val="24"/>
          <w:szCs w:val="24"/>
        </w:rPr>
        <w:t>:</w:t>
      </w:r>
    </w:p>
    <w:p w14:paraId="06F592D6" w14:textId="77777777" w:rsidR="007724CD" w:rsidRPr="006F34DB" w:rsidRDefault="007724CD" w:rsidP="00E97C5B">
      <w:pPr>
        <w:spacing w:after="0"/>
        <w:ind w:left="360"/>
        <w:rPr>
          <w:sz w:val="24"/>
          <w:szCs w:val="24"/>
        </w:rPr>
      </w:pPr>
    </w:p>
    <w:p w14:paraId="3A070F09" w14:textId="109032B2" w:rsidR="00D62F94" w:rsidRPr="004F58EA" w:rsidRDefault="00C47F56" w:rsidP="00E97C5B">
      <w:pPr>
        <w:spacing w:after="0"/>
        <w:ind w:left="360"/>
        <w:rPr>
          <w:i/>
          <w:iCs/>
          <w:sz w:val="24"/>
          <w:szCs w:val="24"/>
        </w:rPr>
      </w:pPr>
      <w:r w:rsidRPr="004F58EA">
        <w:rPr>
          <w:i/>
          <w:iCs/>
          <w:sz w:val="24"/>
          <w:szCs w:val="24"/>
        </w:rPr>
        <w:t xml:space="preserve">State X plans to meet this requirement by </w:t>
      </w:r>
      <w:r w:rsidR="00487F0B" w:rsidRPr="004F58EA">
        <w:rPr>
          <w:i/>
          <w:iCs/>
          <w:sz w:val="24"/>
          <w:szCs w:val="24"/>
        </w:rPr>
        <w:t xml:space="preserve">participating in </w:t>
      </w:r>
      <w:r w:rsidRPr="004F58EA">
        <w:rPr>
          <w:i/>
          <w:iCs/>
          <w:sz w:val="24"/>
          <w:szCs w:val="24"/>
        </w:rPr>
        <w:t xml:space="preserve">regional </w:t>
      </w:r>
      <w:r w:rsidR="00306171" w:rsidRPr="004F58EA">
        <w:rPr>
          <w:i/>
          <w:iCs/>
          <w:sz w:val="24"/>
          <w:szCs w:val="24"/>
        </w:rPr>
        <w:t xml:space="preserve">planning </w:t>
      </w:r>
      <w:r w:rsidR="00527506" w:rsidRPr="004F58EA">
        <w:rPr>
          <w:i/>
          <w:iCs/>
          <w:sz w:val="24"/>
          <w:szCs w:val="24"/>
        </w:rPr>
        <w:t>proces</w:t>
      </w:r>
      <w:r w:rsidR="00306171" w:rsidRPr="004F58EA">
        <w:rPr>
          <w:i/>
          <w:iCs/>
          <w:sz w:val="24"/>
          <w:szCs w:val="24"/>
        </w:rPr>
        <w:t>s</w:t>
      </w:r>
      <w:r w:rsidR="00B61067" w:rsidRPr="004F58EA">
        <w:rPr>
          <w:i/>
          <w:iCs/>
          <w:sz w:val="24"/>
          <w:szCs w:val="24"/>
        </w:rPr>
        <w:t>es</w:t>
      </w:r>
      <w:r w:rsidR="00306171" w:rsidRPr="004F58EA">
        <w:rPr>
          <w:i/>
          <w:iCs/>
          <w:sz w:val="24"/>
          <w:szCs w:val="24"/>
        </w:rPr>
        <w:t xml:space="preserve"> conducted</w:t>
      </w:r>
      <w:r w:rsidR="00527506" w:rsidRPr="004F58EA">
        <w:rPr>
          <w:i/>
          <w:iCs/>
          <w:sz w:val="24"/>
          <w:szCs w:val="24"/>
        </w:rPr>
        <w:t xml:space="preserve"> through a Regional Transmission Organization</w:t>
      </w:r>
      <w:r w:rsidR="00B61067" w:rsidRPr="004F58EA">
        <w:rPr>
          <w:i/>
          <w:iCs/>
          <w:sz w:val="24"/>
          <w:szCs w:val="24"/>
        </w:rPr>
        <w:t>, utilities</w:t>
      </w:r>
      <w:r w:rsidR="008079E5" w:rsidRPr="004F58EA">
        <w:rPr>
          <w:i/>
          <w:iCs/>
          <w:sz w:val="24"/>
          <w:szCs w:val="24"/>
        </w:rPr>
        <w:t>, or other organizations</w:t>
      </w:r>
      <w:r w:rsidR="00B903BC" w:rsidRPr="004F58EA">
        <w:rPr>
          <w:i/>
          <w:iCs/>
          <w:sz w:val="24"/>
          <w:szCs w:val="24"/>
        </w:rPr>
        <w:t xml:space="preserve">. </w:t>
      </w:r>
    </w:p>
    <w:p w14:paraId="35B29F20" w14:textId="77777777" w:rsidR="00E97C5B" w:rsidRPr="004F58EA" w:rsidRDefault="00E97C5B" w:rsidP="007724CD">
      <w:pPr>
        <w:spacing w:after="0"/>
        <w:ind w:left="360"/>
        <w:rPr>
          <w:i/>
          <w:iCs/>
          <w:sz w:val="24"/>
          <w:szCs w:val="24"/>
        </w:rPr>
      </w:pPr>
    </w:p>
    <w:p w14:paraId="3665A8E6" w14:textId="277D82ED" w:rsidR="00E97C5B" w:rsidRPr="004F58EA" w:rsidRDefault="001F0162" w:rsidP="007724CD">
      <w:pPr>
        <w:spacing w:after="0"/>
        <w:ind w:left="360"/>
        <w:rPr>
          <w:i/>
          <w:iCs/>
          <w:sz w:val="24"/>
          <w:szCs w:val="24"/>
        </w:rPr>
      </w:pPr>
      <w:r w:rsidRPr="004F58EA">
        <w:rPr>
          <w:i/>
          <w:iCs/>
          <w:sz w:val="24"/>
          <w:szCs w:val="24"/>
        </w:rPr>
        <w:t xml:space="preserve">State </w:t>
      </w:r>
      <w:r w:rsidR="00D62F94" w:rsidRPr="004F58EA">
        <w:rPr>
          <w:i/>
          <w:iCs/>
          <w:sz w:val="24"/>
          <w:szCs w:val="24"/>
        </w:rPr>
        <w:t xml:space="preserve">Z </w:t>
      </w:r>
      <w:r w:rsidRPr="004F58EA">
        <w:rPr>
          <w:i/>
          <w:iCs/>
          <w:sz w:val="24"/>
          <w:szCs w:val="24"/>
        </w:rPr>
        <w:t>w</w:t>
      </w:r>
      <w:r w:rsidR="002A152D" w:rsidRPr="004F58EA">
        <w:rPr>
          <w:i/>
          <w:iCs/>
          <w:sz w:val="24"/>
          <w:szCs w:val="24"/>
        </w:rPr>
        <w:t xml:space="preserve">ill </w:t>
      </w:r>
      <w:r w:rsidR="008079E5" w:rsidRPr="004F58EA">
        <w:rPr>
          <w:i/>
          <w:iCs/>
          <w:sz w:val="24"/>
          <w:szCs w:val="24"/>
        </w:rPr>
        <w:t xml:space="preserve">meet this requirement by ensuring </w:t>
      </w:r>
      <w:r w:rsidR="00D62F94" w:rsidRPr="004F58EA">
        <w:rPr>
          <w:i/>
          <w:iCs/>
          <w:sz w:val="24"/>
          <w:szCs w:val="24"/>
        </w:rPr>
        <w:t>T&amp;D</w:t>
      </w:r>
      <w:r w:rsidR="008079E5" w:rsidRPr="004F58EA">
        <w:rPr>
          <w:i/>
          <w:iCs/>
          <w:sz w:val="24"/>
          <w:szCs w:val="24"/>
        </w:rPr>
        <w:t xml:space="preserve"> topics are discussed within the state’s existing</w:t>
      </w:r>
      <w:r w:rsidR="008126C7" w:rsidRPr="004F58EA">
        <w:rPr>
          <w:i/>
          <w:iCs/>
          <w:sz w:val="24"/>
          <w:szCs w:val="24"/>
        </w:rPr>
        <w:t xml:space="preserve"> energy planning </w:t>
      </w:r>
      <w:r w:rsidR="008079E5" w:rsidRPr="004F58EA">
        <w:rPr>
          <w:i/>
          <w:iCs/>
          <w:sz w:val="24"/>
          <w:szCs w:val="24"/>
        </w:rPr>
        <w:t>process</w:t>
      </w:r>
      <w:r w:rsidR="008126C7" w:rsidRPr="004F58EA">
        <w:rPr>
          <w:i/>
          <w:iCs/>
          <w:sz w:val="24"/>
          <w:szCs w:val="24"/>
        </w:rPr>
        <w:t xml:space="preserve">. </w:t>
      </w:r>
    </w:p>
    <w:p w14:paraId="25DEAAE9" w14:textId="77777777" w:rsidR="00E97C5B" w:rsidRPr="006F34DB" w:rsidRDefault="00E97C5B" w:rsidP="007724CD">
      <w:pPr>
        <w:spacing w:after="0"/>
        <w:ind w:left="360"/>
        <w:rPr>
          <w:sz w:val="24"/>
          <w:szCs w:val="24"/>
        </w:rPr>
      </w:pPr>
    </w:p>
    <w:p w14:paraId="50904A17" w14:textId="57322E74" w:rsidR="00E97C5B" w:rsidRPr="006F34DB" w:rsidRDefault="00C47F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34DB">
        <w:rPr>
          <w:sz w:val="24"/>
          <w:szCs w:val="24"/>
        </w:rPr>
        <w:t>Feasibility studies for transmission line routes and alternatives</w:t>
      </w:r>
      <w:r w:rsidR="004F58EA">
        <w:rPr>
          <w:sz w:val="24"/>
          <w:szCs w:val="24"/>
        </w:rPr>
        <w:t>:</w:t>
      </w:r>
    </w:p>
    <w:p w14:paraId="505E9275" w14:textId="77777777" w:rsidR="007724CD" w:rsidRPr="006F34DB" w:rsidRDefault="007724CD" w:rsidP="00B903BC">
      <w:pPr>
        <w:pStyle w:val="ListParagraph"/>
        <w:ind w:left="360"/>
        <w:rPr>
          <w:sz w:val="24"/>
          <w:szCs w:val="24"/>
        </w:rPr>
      </w:pPr>
    </w:p>
    <w:p w14:paraId="3E74DFF3" w14:textId="34DF3590" w:rsidR="00306171" w:rsidRPr="00AC3AD2" w:rsidRDefault="00B903BC" w:rsidP="00B903BC">
      <w:pPr>
        <w:pStyle w:val="ListParagraph"/>
        <w:ind w:left="360"/>
        <w:rPr>
          <w:i/>
          <w:iCs/>
          <w:sz w:val="24"/>
          <w:szCs w:val="24"/>
        </w:rPr>
      </w:pPr>
      <w:r w:rsidRPr="00AC3AD2">
        <w:rPr>
          <w:i/>
          <w:iCs/>
          <w:sz w:val="24"/>
          <w:szCs w:val="24"/>
        </w:rPr>
        <w:t>State X plans to meet this requirement</w:t>
      </w:r>
      <w:r w:rsidR="00DA4A09" w:rsidRPr="00AC3AD2">
        <w:rPr>
          <w:i/>
          <w:iCs/>
          <w:sz w:val="24"/>
          <w:szCs w:val="24"/>
        </w:rPr>
        <w:t xml:space="preserve"> by</w:t>
      </w:r>
      <w:r w:rsidRPr="00AC3AD2">
        <w:rPr>
          <w:i/>
          <w:iCs/>
          <w:sz w:val="24"/>
          <w:szCs w:val="24"/>
        </w:rPr>
        <w:t xml:space="preserve"> </w:t>
      </w:r>
      <w:r w:rsidR="00306171" w:rsidRPr="00AC3AD2">
        <w:rPr>
          <w:i/>
          <w:iCs/>
          <w:sz w:val="24"/>
          <w:szCs w:val="24"/>
        </w:rPr>
        <w:t xml:space="preserve">hiring new </w:t>
      </w:r>
      <w:r w:rsidR="0014185F" w:rsidRPr="00AC3AD2">
        <w:rPr>
          <w:i/>
          <w:iCs/>
          <w:sz w:val="24"/>
          <w:szCs w:val="24"/>
        </w:rPr>
        <w:t xml:space="preserve">staff </w:t>
      </w:r>
      <w:r w:rsidR="00306171" w:rsidRPr="00AC3AD2">
        <w:rPr>
          <w:i/>
          <w:iCs/>
          <w:sz w:val="24"/>
          <w:szCs w:val="24"/>
        </w:rPr>
        <w:t xml:space="preserve">or dedicating existing </w:t>
      </w:r>
      <w:r w:rsidR="00E54CD9" w:rsidRPr="00AC3AD2">
        <w:rPr>
          <w:i/>
          <w:iCs/>
          <w:sz w:val="24"/>
          <w:szCs w:val="24"/>
        </w:rPr>
        <w:t xml:space="preserve">staff time </w:t>
      </w:r>
      <w:r w:rsidR="00487F0B" w:rsidRPr="00AC3AD2">
        <w:rPr>
          <w:i/>
          <w:iCs/>
          <w:sz w:val="24"/>
          <w:szCs w:val="24"/>
        </w:rPr>
        <w:t>to support T&amp;D feasibility studies for generation or interconnection</w:t>
      </w:r>
      <w:r w:rsidR="00306171" w:rsidRPr="00AC3AD2">
        <w:rPr>
          <w:i/>
          <w:iCs/>
          <w:sz w:val="24"/>
          <w:szCs w:val="24"/>
        </w:rPr>
        <w:t>.</w:t>
      </w:r>
    </w:p>
    <w:p w14:paraId="00A8ADBD" w14:textId="77777777" w:rsidR="00306171" w:rsidRPr="00AC3AD2" w:rsidRDefault="00306171" w:rsidP="00B903BC">
      <w:pPr>
        <w:pStyle w:val="ListParagraph"/>
        <w:ind w:left="360"/>
        <w:rPr>
          <w:i/>
          <w:iCs/>
          <w:sz w:val="24"/>
          <w:szCs w:val="24"/>
        </w:rPr>
      </w:pPr>
    </w:p>
    <w:p w14:paraId="7AD44E7B" w14:textId="1FDEEC0B" w:rsidR="00B903BC" w:rsidRPr="00AC3AD2" w:rsidRDefault="00306171">
      <w:pPr>
        <w:pStyle w:val="ListParagraph"/>
        <w:ind w:left="360"/>
        <w:rPr>
          <w:i/>
          <w:iCs/>
          <w:sz w:val="24"/>
          <w:szCs w:val="24"/>
        </w:rPr>
      </w:pPr>
      <w:r w:rsidRPr="00AC3AD2">
        <w:rPr>
          <w:i/>
          <w:iCs/>
          <w:sz w:val="24"/>
          <w:szCs w:val="24"/>
        </w:rPr>
        <w:t xml:space="preserve">State Y </w:t>
      </w:r>
      <w:r w:rsidR="002C5BEB" w:rsidRPr="00AC3AD2">
        <w:rPr>
          <w:i/>
          <w:iCs/>
          <w:sz w:val="24"/>
          <w:szCs w:val="24"/>
        </w:rPr>
        <w:t>is already meeting this</w:t>
      </w:r>
      <w:r w:rsidR="0014185F" w:rsidRPr="00AC3AD2">
        <w:rPr>
          <w:i/>
          <w:iCs/>
          <w:sz w:val="24"/>
          <w:szCs w:val="24"/>
        </w:rPr>
        <w:t xml:space="preserve"> requirement by ensuring existing T&amp;D feasibility studies account for impacts in communities </w:t>
      </w:r>
      <w:r w:rsidR="008079E5" w:rsidRPr="00AC3AD2">
        <w:rPr>
          <w:i/>
          <w:iCs/>
          <w:sz w:val="24"/>
          <w:szCs w:val="24"/>
        </w:rPr>
        <w:t>defined by the state</w:t>
      </w:r>
      <w:r w:rsidR="00976AF6" w:rsidRPr="00AC3AD2">
        <w:rPr>
          <w:i/>
          <w:iCs/>
          <w:sz w:val="24"/>
          <w:szCs w:val="24"/>
        </w:rPr>
        <w:t xml:space="preserve"> as disadvantaged</w:t>
      </w:r>
      <w:r w:rsidR="00E54CD9" w:rsidRPr="00AC3AD2">
        <w:rPr>
          <w:i/>
          <w:iCs/>
          <w:sz w:val="24"/>
          <w:szCs w:val="24"/>
        </w:rPr>
        <w:t>.</w:t>
      </w:r>
      <w:r w:rsidR="002C5BEB" w:rsidRPr="00AC3AD2">
        <w:rPr>
          <w:i/>
          <w:iCs/>
          <w:sz w:val="24"/>
          <w:szCs w:val="24"/>
        </w:rPr>
        <w:t xml:space="preserve"> </w:t>
      </w:r>
    </w:p>
    <w:p w14:paraId="05140A6A" w14:textId="3E332D32" w:rsidR="4D469988" w:rsidRPr="00AC3AD2" w:rsidRDefault="4D469988" w:rsidP="4D469988">
      <w:pPr>
        <w:pStyle w:val="ListParagraph"/>
        <w:ind w:left="360"/>
        <w:rPr>
          <w:i/>
          <w:iCs/>
          <w:sz w:val="24"/>
          <w:szCs w:val="24"/>
        </w:rPr>
      </w:pPr>
    </w:p>
    <w:p w14:paraId="3FF2297E" w14:textId="58C4CFBD" w:rsidR="4D469988" w:rsidRPr="00AC3AD2" w:rsidRDefault="4D469988" w:rsidP="4D469988">
      <w:pPr>
        <w:pStyle w:val="ListParagraph"/>
        <w:ind w:left="360"/>
        <w:rPr>
          <w:i/>
          <w:iCs/>
          <w:sz w:val="24"/>
          <w:szCs w:val="24"/>
        </w:rPr>
      </w:pPr>
      <w:r w:rsidRPr="00AC3AD2">
        <w:rPr>
          <w:i/>
          <w:iCs/>
          <w:sz w:val="24"/>
          <w:szCs w:val="24"/>
        </w:rPr>
        <w:t>State Z plans to meet this requirement by commissioning, or working with an organization to commission, T&amp;D feasibility studies identifying routes and alternatives.</w:t>
      </w:r>
    </w:p>
    <w:p w14:paraId="56E7D0E5" w14:textId="1645B6EA" w:rsidR="00976AF6" w:rsidRPr="006F34DB" w:rsidRDefault="00976AF6" w:rsidP="00B903BC">
      <w:pPr>
        <w:pStyle w:val="ListParagraph"/>
        <w:ind w:left="360"/>
        <w:rPr>
          <w:sz w:val="24"/>
          <w:szCs w:val="24"/>
        </w:rPr>
      </w:pPr>
    </w:p>
    <w:p w14:paraId="5F2ECBBA" w14:textId="307F50FF" w:rsidR="00C47F56" w:rsidRPr="006F34DB" w:rsidRDefault="00C47F56" w:rsidP="007724C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F34DB">
        <w:rPr>
          <w:sz w:val="24"/>
          <w:szCs w:val="24"/>
        </w:rPr>
        <w:t>Preparation of necessary project design and permits</w:t>
      </w:r>
      <w:r w:rsidR="00AC3AD2">
        <w:rPr>
          <w:sz w:val="24"/>
          <w:szCs w:val="24"/>
        </w:rPr>
        <w:t>:</w:t>
      </w:r>
      <w:r w:rsidRPr="006F34DB">
        <w:rPr>
          <w:sz w:val="24"/>
          <w:szCs w:val="24"/>
        </w:rPr>
        <w:t xml:space="preserve"> </w:t>
      </w:r>
    </w:p>
    <w:p w14:paraId="50C028E4" w14:textId="77777777" w:rsidR="007724CD" w:rsidRPr="006F34DB" w:rsidRDefault="007724CD" w:rsidP="007724CD">
      <w:pPr>
        <w:pStyle w:val="ListParagraph"/>
        <w:spacing w:after="0"/>
        <w:ind w:left="360"/>
        <w:rPr>
          <w:sz w:val="24"/>
          <w:szCs w:val="24"/>
        </w:rPr>
      </w:pPr>
    </w:p>
    <w:p w14:paraId="7E8CDBC7" w14:textId="76C1F9E3" w:rsidR="002A13DA" w:rsidRPr="00AC3AD2" w:rsidRDefault="002A13DA" w:rsidP="007724CD">
      <w:pPr>
        <w:pStyle w:val="ListParagraph"/>
        <w:spacing w:after="0"/>
        <w:ind w:left="360"/>
        <w:rPr>
          <w:i/>
          <w:iCs/>
          <w:sz w:val="24"/>
          <w:szCs w:val="24"/>
        </w:rPr>
      </w:pPr>
      <w:r w:rsidRPr="00AC3AD2">
        <w:rPr>
          <w:i/>
          <w:iCs/>
          <w:sz w:val="24"/>
          <w:szCs w:val="24"/>
        </w:rPr>
        <w:t xml:space="preserve">State X </w:t>
      </w:r>
      <w:r w:rsidR="00DD1AFD" w:rsidRPr="00AC3AD2">
        <w:rPr>
          <w:i/>
          <w:iCs/>
          <w:sz w:val="24"/>
          <w:szCs w:val="24"/>
        </w:rPr>
        <w:t xml:space="preserve">is already meeting this requirement. Last year State X secured </w:t>
      </w:r>
      <w:r w:rsidR="0014185F" w:rsidRPr="00AC3AD2">
        <w:rPr>
          <w:i/>
          <w:iCs/>
          <w:sz w:val="24"/>
          <w:szCs w:val="24"/>
        </w:rPr>
        <w:t xml:space="preserve">the necessary </w:t>
      </w:r>
      <w:r w:rsidR="00DD1AFD" w:rsidRPr="00AC3AD2">
        <w:rPr>
          <w:i/>
          <w:iCs/>
          <w:sz w:val="24"/>
          <w:szCs w:val="24"/>
        </w:rPr>
        <w:t xml:space="preserve">permits resulting in </w:t>
      </w:r>
      <w:r w:rsidR="002C5BEB" w:rsidRPr="00AC3AD2">
        <w:rPr>
          <w:i/>
          <w:iCs/>
          <w:sz w:val="24"/>
          <w:szCs w:val="24"/>
        </w:rPr>
        <w:t>interconnection of two</w:t>
      </w:r>
      <w:r w:rsidR="00DD1AFD" w:rsidRPr="00AC3AD2">
        <w:rPr>
          <w:i/>
          <w:iCs/>
          <w:sz w:val="24"/>
          <w:szCs w:val="24"/>
        </w:rPr>
        <w:t xml:space="preserve"> new </w:t>
      </w:r>
      <w:r w:rsidR="008126C7" w:rsidRPr="00AC3AD2">
        <w:rPr>
          <w:i/>
          <w:iCs/>
          <w:sz w:val="24"/>
          <w:szCs w:val="24"/>
        </w:rPr>
        <w:t xml:space="preserve">energy </w:t>
      </w:r>
      <w:r w:rsidR="00DD1AFD" w:rsidRPr="00AC3AD2">
        <w:rPr>
          <w:i/>
          <w:iCs/>
          <w:sz w:val="24"/>
          <w:szCs w:val="24"/>
        </w:rPr>
        <w:t>projects</w:t>
      </w:r>
      <w:r w:rsidR="002C5BEB" w:rsidRPr="00AC3AD2">
        <w:rPr>
          <w:i/>
          <w:iCs/>
          <w:sz w:val="24"/>
          <w:szCs w:val="24"/>
        </w:rPr>
        <w:t>,</w:t>
      </w:r>
      <w:r w:rsidR="008079E5" w:rsidRPr="00AC3AD2">
        <w:rPr>
          <w:i/>
          <w:iCs/>
          <w:sz w:val="24"/>
          <w:szCs w:val="24"/>
        </w:rPr>
        <w:t xml:space="preserve"> and in doing so, ensured</w:t>
      </w:r>
      <w:r w:rsidR="002C5BEB" w:rsidRPr="00AC3AD2">
        <w:rPr>
          <w:i/>
          <w:iCs/>
          <w:sz w:val="24"/>
          <w:szCs w:val="24"/>
        </w:rPr>
        <w:t xml:space="preserve"> </w:t>
      </w:r>
      <w:r w:rsidR="0014185F" w:rsidRPr="00AC3AD2">
        <w:rPr>
          <w:i/>
          <w:iCs/>
          <w:sz w:val="24"/>
          <w:szCs w:val="24"/>
        </w:rPr>
        <w:t>engagement of communit</w:t>
      </w:r>
      <w:r w:rsidR="002C5BEB" w:rsidRPr="00AC3AD2">
        <w:rPr>
          <w:i/>
          <w:iCs/>
          <w:sz w:val="24"/>
          <w:szCs w:val="24"/>
        </w:rPr>
        <w:t xml:space="preserve">y-based organizations </w:t>
      </w:r>
      <w:r w:rsidR="0014185F" w:rsidRPr="00AC3AD2">
        <w:rPr>
          <w:i/>
          <w:iCs/>
          <w:sz w:val="24"/>
          <w:szCs w:val="24"/>
        </w:rPr>
        <w:t xml:space="preserve">historically </w:t>
      </w:r>
      <w:r w:rsidR="002C5BEB" w:rsidRPr="00AC3AD2">
        <w:rPr>
          <w:i/>
          <w:iCs/>
          <w:sz w:val="24"/>
          <w:szCs w:val="24"/>
        </w:rPr>
        <w:t>underrepresented in T&amp;D planning processes</w:t>
      </w:r>
      <w:r w:rsidR="00014F90" w:rsidRPr="00AC3AD2">
        <w:rPr>
          <w:i/>
          <w:iCs/>
          <w:sz w:val="24"/>
          <w:szCs w:val="24"/>
        </w:rPr>
        <w:t>.</w:t>
      </w:r>
      <w:r w:rsidR="00E97C5B" w:rsidRPr="00AC3AD2">
        <w:rPr>
          <w:rStyle w:val="FootnoteReference"/>
          <w:i/>
          <w:iCs/>
          <w:sz w:val="24"/>
          <w:szCs w:val="24"/>
        </w:rPr>
        <w:footnoteReference w:id="1"/>
      </w:r>
      <w:r w:rsidR="00014F90" w:rsidRPr="00AC3AD2">
        <w:rPr>
          <w:i/>
          <w:iCs/>
          <w:sz w:val="24"/>
          <w:szCs w:val="24"/>
        </w:rPr>
        <w:t xml:space="preserve"> </w:t>
      </w:r>
    </w:p>
    <w:p w14:paraId="55451DE1" w14:textId="77777777" w:rsidR="008079E5" w:rsidRPr="00AC3AD2" w:rsidRDefault="008079E5" w:rsidP="007724CD">
      <w:pPr>
        <w:pStyle w:val="ListParagraph"/>
        <w:spacing w:after="0"/>
        <w:ind w:left="360"/>
        <w:rPr>
          <w:i/>
          <w:iCs/>
          <w:sz w:val="24"/>
          <w:szCs w:val="24"/>
        </w:rPr>
      </w:pPr>
    </w:p>
    <w:p w14:paraId="3E8762F7" w14:textId="77777777" w:rsidR="00E97C5B" w:rsidRPr="00AC3AD2" w:rsidRDefault="00E97C5B" w:rsidP="007724CD">
      <w:pPr>
        <w:spacing w:after="0"/>
        <w:ind w:left="360"/>
        <w:rPr>
          <w:i/>
          <w:iCs/>
          <w:sz w:val="24"/>
          <w:szCs w:val="24"/>
        </w:rPr>
      </w:pPr>
      <w:r w:rsidRPr="00AC3AD2">
        <w:rPr>
          <w:i/>
          <w:iCs/>
          <w:sz w:val="24"/>
          <w:szCs w:val="24"/>
        </w:rPr>
        <w:t xml:space="preserve">State Y will leverage no-cost DOE tools or resources to support local government needs around permitting, planning/zoning, environmental review, and other barriers related to T&amp;D. </w:t>
      </w:r>
    </w:p>
    <w:p w14:paraId="79A72BDE" w14:textId="40C7E97D" w:rsidR="4D469988" w:rsidRPr="00AC3AD2" w:rsidRDefault="4D469988" w:rsidP="4D469988">
      <w:pPr>
        <w:spacing w:after="0"/>
        <w:ind w:left="360"/>
        <w:rPr>
          <w:i/>
          <w:iCs/>
          <w:sz w:val="24"/>
          <w:szCs w:val="24"/>
        </w:rPr>
      </w:pPr>
    </w:p>
    <w:p w14:paraId="2D9C67D2" w14:textId="2A703D85" w:rsidR="4D469988" w:rsidRPr="00AC3AD2" w:rsidRDefault="4D469988" w:rsidP="4D469988">
      <w:pPr>
        <w:spacing w:after="0"/>
        <w:ind w:left="360"/>
        <w:rPr>
          <w:i/>
          <w:iCs/>
          <w:sz w:val="24"/>
          <w:szCs w:val="24"/>
        </w:rPr>
      </w:pPr>
      <w:r w:rsidRPr="00AC3AD2">
        <w:rPr>
          <w:i/>
          <w:iCs/>
          <w:sz w:val="24"/>
          <w:szCs w:val="24"/>
        </w:rPr>
        <w:t xml:space="preserve">State Z will hire additional staff, or contract out to support the necessary permitting work for </w:t>
      </w:r>
      <w:r w:rsidR="00202F11">
        <w:rPr>
          <w:i/>
          <w:iCs/>
          <w:sz w:val="24"/>
          <w:szCs w:val="24"/>
        </w:rPr>
        <w:t>T&amp;D</w:t>
      </w:r>
      <w:r w:rsidRPr="00AC3AD2">
        <w:rPr>
          <w:i/>
          <w:iCs/>
          <w:sz w:val="24"/>
          <w:szCs w:val="24"/>
        </w:rPr>
        <w:t xml:space="preserve"> applications. This additional staffing will be aimed </w:t>
      </w:r>
      <w:r w:rsidR="00202F11">
        <w:rPr>
          <w:i/>
          <w:iCs/>
          <w:sz w:val="24"/>
          <w:szCs w:val="24"/>
        </w:rPr>
        <w:t xml:space="preserve">at </w:t>
      </w:r>
      <w:r w:rsidRPr="00AC3AD2">
        <w:rPr>
          <w:i/>
          <w:iCs/>
          <w:sz w:val="24"/>
          <w:szCs w:val="24"/>
        </w:rPr>
        <w:t xml:space="preserve">carrying out the necessary work required for permitting in a timely manner.  </w:t>
      </w:r>
    </w:p>
    <w:p w14:paraId="26795734" w14:textId="77777777" w:rsidR="00DD1AFD" w:rsidRPr="006F34DB" w:rsidRDefault="00DD1AFD" w:rsidP="007724CD">
      <w:pPr>
        <w:pStyle w:val="ListParagraph"/>
        <w:spacing w:after="0"/>
        <w:ind w:left="360"/>
        <w:rPr>
          <w:sz w:val="24"/>
          <w:szCs w:val="24"/>
        </w:rPr>
      </w:pPr>
    </w:p>
    <w:p w14:paraId="228D3AB2" w14:textId="3BD2ECA8" w:rsidR="00C47F56" w:rsidRPr="006F34DB" w:rsidRDefault="00C47F56" w:rsidP="00C47F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34DB">
        <w:rPr>
          <w:sz w:val="24"/>
          <w:szCs w:val="24"/>
        </w:rPr>
        <w:t>Outreach to affected stakeholders</w:t>
      </w:r>
      <w:r w:rsidR="001E52B5">
        <w:rPr>
          <w:sz w:val="24"/>
          <w:szCs w:val="24"/>
        </w:rPr>
        <w:t>:</w:t>
      </w:r>
    </w:p>
    <w:p w14:paraId="1425D7AE" w14:textId="77777777" w:rsidR="007724CD" w:rsidRPr="006F34DB" w:rsidRDefault="007724CD" w:rsidP="002A13DA">
      <w:pPr>
        <w:pStyle w:val="ListParagraph"/>
        <w:ind w:left="360"/>
        <w:rPr>
          <w:sz w:val="24"/>
          <w:szCs w:val="24"/>
        </w:rPr>
      </w:pPr>
    </w:p>
    <w:p w14:paraId="731CB80F" w14:textId="76ED997A" w:rsidR="002A13DA" w:rsidRPr="00AC3AD2" w:rsidRDefault="002A13DA" w:rsidP="002A13DA">
      <w:pPr>
        <w:pStyle w:val="ListParagraph"/>
        <w:ind w:left="360"/>
        <w:rPr>
          <w:i/>
          <w:iCs/>
          <w:sz w:val="24"/>
          <w:szCs w:val="24"/>
        </w:rPr>
      </w:pPr>
      <w:r w:rsidRPr="00AC3AD2">
        <w:rPr>
          <w:i/>
          <w:iCs/>
          <w:sz w:val="24"/>
          <w:szCs w:val="24"/>
        </w:rPr>
        <w:t xml:space="preserve">State X </w:t>
      </w:r>
      <w:r w:rsidR="00E97C5B" w:rsidRPr="00AC3AD2">
        <w:rPr>
          <w:i/>
          <w:iCs/>
          <w:sz w:val="24"/>
          <w:szCs w:val="24"/>
        </w:rPr>
        <w:t xml:space="preserve">is meeting this requirement by </w:t>
      </w:r>
      <w:r w:rsidRPr="00AC3AD2">
        <w:rPr>
          <w:i/>
          <w:iCs/>
          <w:sz w:val="24"/>
          <w:szCs w:val="24"/>
        </w:rPr>
        <w:t>conduct</w:t>
      </w:r>
      <w:r w:rsidR="00E97C5B" w:rsidRPr="00AC3AD2">
        <w:rPr>
          <w:i/>
          <w:iCs/>
          <w:sz w:val="24"/>
          <w:szCs w:val="24"/>
        </w:rPr>
        <w:t>ing</w:t>
      </w:r>
      <w:r w:rsidRPr="00AC3AD2">
        <w:rPr>
          <w:i/>
          <w:iCs/>
          <w:sz w:val="24"/>
          <w:szCs w:val="24"/>
        </w:rPr>
        <w:t xml:space="preserve"> community engagement meetings with vulnerable communi</w:t>
      </w:r>
      <w:r w:rsidR="00E97C5B" w:rsidRPr="00AC3AD2">
        <w:rPr>
          <w:i/>
          <w:iCs/>
          <w:sz w:val="24"/>
          <w:szCs w:val="24"/>
        </w:rPr>
        <w:t>ties</w:t>
      </w:r>
      <w:r w:rsidRPr="00AC3AD2">
        <w:rPr>
          <w:i/>
          <w:iCs/>
          <w:sz w:val="24"/>
          <w:szCs w:val="24"/>
        </w:rPr>
        <w:t xml:space="preserve"> </w:t>
      </w:r>
      <w:r w:rsidR="00E97C5B" w:rsidRPr="00AC3AD2">
        <w:rPr>
          <w:i/>
          <w:iCs/>
          <w:sz w:val="24"/>
          <w:szCs w:val="24"/>
        </w:rPr>
        <w:t xml:space="preserve">as part of the state’s energy planning process. </w:t>
      </w:r>
    </w:p>
    <w:p w14:paraId="7D604CBE" w14:textId="171F4322" w:rsidR="4D469988" w:rsidRPr="00AC3AD2" w:rsidRDefault="4D469988" w:rsidP="4D469988">
      <w:pPr>
        <w:pStyle w:val="ListParagraph"/>
        <w:ind w:left="360"/>
        <w:rPr>
          <w:i/>
          <w:iCs/>
          <w:sz w:val="24"/>
          <w:szCs w:val="24"/>
        </w:rPr>
      </w:pPr>
    </w:p>
    <w:p w14:paraId="6C06899D" w14:textId="51E55B96" w:rsidR="4D469988" w:rsidRPr="00AC3AD2" w:rsidRDefault="4D469988" w:rsidP="4D469988">
      <w:pPr>
        <w:pStyle w:val="ListParagraph"/>
        <w:ind w:left="360"/>
        <w:rPr>
          <w:i/>
          <w:iCs/>
          <w:sz w:val="24"/>
          <w:szCs w:val="24"/>
        </w:rPr>
      </w:pPr>
      <w:r w:rsidRPr="00AC3AD2">
        <w:rPr>
          <w:i/>
          <w:iCs/>
          <w:sz w:val="24"/>
          <w:szCs w:val="24"/>
        </w:rPr>
        <w:t xml:space="preserve">State Y is meeting this requirement through </w:t>
      </w:r>
      <w:r w:rsidR="00202F11">
        <w:rPr>
          <w:i/>
          <w:iCs/>
          <w:sz w:val="24"/>
          <w:szCs w:val="24"/>
        </w:rPr>
        <w:t>its</w:t>
      </w:r>
      <w:r w:rsidRPr="00AC3AD2">
        <w:rPr>
          <w:i/>
          <w:iCs/>
          <w:sz w:val="24"/>
          <w:szCs w:val="24"/>
        </w:rPr>
        <w:t xml:space="preserve"> regional planning organization or other planning entity stakeholder outreach process.</w:t>
      </w:r>
    </w:p>
    <w:p w14:paraId="5A57A892" w14:textId="1D49EC18" w:rsidR="00C47F56" w:rsidRPr="006F34DB" w:rsidRDefault="00B61067" w:rsidP="4D469988">
      <w:pPr>
        <w:rPr>
          <w:sz w:val="24"/>
          <w:szCs w:val="24"/>
        </w:rPr>
      </w:pPr>
      <w:r w:rsidRPr="006F34DB">
        <w:rPr>
          <w:sz w:val="24"/>
          <w:szCs w:val="24"/>
        </w:rPr>
        <w:t>State</w:t>
      </w:r>
      <w:r w:rsidR="00202F11">
        <w:rPr>
          <w:sz w:val="24"/>
          <w:szCs w:val="24"/>
        </w:rPr>
        <w:t>s</w:t>
      </w:r>
      <w:r w:rsidRPr="006F34DB">
        <w:rPr>
          <w:sz w:val="24"/>
          <w:szCs w:val="24"/>
        </w:rPr>
        <w:t xml:space="preserve"> are encouraged to submit </w:t>
      </w:r>
      <w:r w:rsidR="008079E5" w:rsidRPr="006F34DB">
        <w:rPr>
          <w:sz w:val="24"/>
          <w:szCs w:val="24"/>
        </w:rPr>
        <w:t xml:space="preserve">T&amp;D </w:t>
      </w:r>
      <w:r w:rsidRPr="006F34DB">
        <w:rPr>
          <w:sz w:val="24"/>
          <w:szCs w:val="24"/>
        </w:rPr>
        <w:t xml:space="preserve">plans to SEP that: 1) define new or enhanced activities and 2) clearly document how state priorities are aligned with T&amp;D planning efforts in the state or geographical region. </w:t>
      </w:r>
      <w:r w:rsidR="008079E5" w:rsidRPr="006F34DB">
        <w:rPr>
          <w:sz w:val="24"/>
          <w:szCs w:val="24"/>
        </w:rPr>
        <w:t>The examples above are for illustrative purposes</w:t>
      </w:r>
      <w:r w:rsidR="00DA4A09" w:rsidRPr="006F34DB">
        <w:rPr>
          <w:sz w:val="24"/>
          <w:szCs w:val="24"/>
        </w:rPr>
        <w:t xml:space="preserve"> and the use of this template is optional.</w:t>
      </w:r>
      <w:r w:rsidR="008079E5" w:rsidRPr="006F34DB">
        <w:rPr>
          <w:sz w:val="24"/>
          <w:szCs w:val="24"/>
        </w:rPr>
        <w:t xml:space="preserve"> </w:t>
      </w:r>
      <w:r w:rsidR="00DA4A09" w:rsidRPr="006F34DB">
        <w:rPr>
          <w:sz w:val="24"/>
          <w:szCs w:val="24"/>
        </w:rPr>
        <w:t>S</w:t>
      </w:r>
      <w:r w:rsidR="008079E5" w:rsidRPr="006F34DB">
        <w:rPr>
          <w:sz w:val="24"/>
          <w:szCs w:val="24"/>
        </w:rPr>
        <w:t xml:space="preserve">tates should work with their project officers and/or </w:t>
      </w:r>
      <w:r w:rsidR="00202F11">
        <w:rPr>
          <w:sz w:val="24"/>
          <w:szCs w:val="24"/>
        </w:rPr>
        <w:t xml:space="preserve">other </w:t>
      </w:r>
      <w:r w:rsidR="008079E5" w:rsidRPr="006F34DB">
        <w:rPr>
          <w:sz w:val="24"/>
          <w:szCs w:val="24"/>
        </w:rPr>
        <w:t xml:space="preserve">DOE </w:t>
      </w:r>
      <w:r w:rsidR="00202F11">
        <w:rPr>
          <w:sz w:val="24"/>
          <w:szCs w:val="24"/>
        </w:rPr>
        <w:t xml:space="preserve">staff </w:t>
      </w:r>
      <w:r w:rsidR="008079E5" w:rsidRPr="006F34DB">
        <w:rPr>
          <w:sz w:val="24"/>
          <w:szCs w:val="24"/>
        </w:rPr>
        <w:t>to address any questions or concerns prior to submission</w:t>
      </w:r>
      <w:r w:rsidR="00A146A4" w:rsidRPr="006F34DB">
        <w:rPr>
          <w:sz w:val="24"/>
          <w:szCs w:val="24"/>
        </w:rPr>
        <w:t xml:space="preserve"> of a T&amp;D plan</w:t>
      </w:r>
      <w:r w:rsidR="00DA4A09" w:rsidRPr="006F34DB">
        <w:rPr>
          <w:sz w:val="24"/>
          <w:szCs w:val="24"/>
        </w:rPr>
        <w:t>, including requests for technical assistance</w:t>
      </w:r>
      <w:r w:rsidR="00A146A4" w:rsidRPr="006F34DB">
        <w:rPr>
          <w:sz w:val="24"/>
          <w:szCs w:val="24"/>
        </w:rPr>
        <w:t>.</w:t>
      </w:r>
    </w:p>
    <w:p w14:paraId="7BCBE192" w14:textId="7C60D8F6" w:rsidR="4D469988" w:rsidRDefault="4D469988" w:rsidP="4D469988">
      <w:r w:rsidRPr="006F34DB">
        <w:rPr>
          <w:sz w:val="24"/>
          <w:szCs w:val="24"/>
        </w:rPr>
        <w:t xml:space="preserve">The changing landscape of </w:t>
      </w:r>
      <w:r w:rsidR="00202F11">
        <w:rPr>
          <w:sz w:val="24"/>
          <w:szCs w:val="24"/>
        </w:rPr>
        <w:t>T&amp;D</w:t>
      </w:r>
      <w:r w:rsidRPr="006F34DB">
        <w:rPr>
          <w:sz w:val="24"/>
          <w:szCs w:val="24"/>
        </w:rPr>
        <w:t xml:space="preserve"> due to weather events and climate policies is putting a renewed emphasis on the need for </w:t>
      </w:r>
      <w:r w:rsidR="00202F11">
        <w:rPr>
          <w:sz w:val="24"/>
          <w:szCs w:val="24"/>
        </w:rPr>
        <w:t>T&amp;D</w:t>
      </w:r>
      <w:r w:rsidRPr="006F34DB">
        <w:rPr>
          <w:sz w:val="24"/>
          <w:szCs w:val="24"/>
        </w:rPr>
        <w:t xml:space="preserve"> planning. It is understandable that each state is at a different place in this process given the resiliency needs and climate goals. DOE would like to understand where there is a need to help states in this planning process. Please provide areas where DOE could help provide financial and analytical assistance for state </w:t>
      </w:r>
      <w:r w:rsidR="00202F11">
        <w:rPr>
          <w:sz w:val="24"/>
          <w:szCs w:val="24"/>
        </w:rPr>
        <w:t xml:space="preserve">T&amp;D </w:t>
      </w:r>
      <w:r w:rsidRPr="006F34DB">
        <w:rPr>
          <w:sz w:val="24"/>
          <w:szCs w:val="24"/>
        </w:rPr>
        <w:t>planning, with an emphasis in multi-state planning activities.</w:t>
      </w:r>
      <w:r w:rsidRPr="5D8E5840">
        <w:t xml:space="preserve"> </w:t>
      </w:r>
    </w:p>
    <w:sectPr w:rsidR="4D469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0004" w14:textId="77777777" w:rsidR="00EB202C" w:rsidRDefault="00EB202C" w:rsidP="00DC6880">
      <w:pPr>
        <w:spacing w:after="0" w:line="240" w:lineRule="auto"/>
      </w:pPr>
      <w:r>
        <w:separator/>
      </w:r>
    </w:p>
  </w:endnote>
  <w:endnote w:type="continuationSeparator" w:id="0">
    <w:p w14:paraId="3762EBD5" w14:textId="77777777" w:rsidR="00EB202C" w:rsidRDefault="00EB202C" w:rsidP="00DC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6109" w14:textId="77777777" w:rsidR="00EB202C" w:rsidRDefault="00EB202C" w:rsidP="00DC6880">
      <w:pPr>
        <w:spacing w:after="0" w:line="240" w:lineRule="auto"/>
      </w:pPr>
      <w:r>
        <w:separator/>
      </w:r>
    </w:p>
  </w:footnote>
  <w:footnote w:type="continuationSeparator" w:id="0">
    <w:p w14:paraId="1080672C" w14:textId="77777777" w:rsidR="00EB202C" w:rsidRDefault="00EB202C" w:rsidP="00DC6880">
      <w:pPr>
        <w:spacing w:after="0" w:line="240" w:lineRule="auto"/>
      </w:pPr>
      <w:r>
        <w:continuationSeparator/>
      </w:r>
    </w:p>
  </w:footnote>
  <w:footnote w:id="1">
    <w:p w14:paraId="172A74BF" w14:textId="66A4FB49" w:rsidR="00E97C5B" w:rsidRPr="007724CD" w:rsidRDefault="00E97C5B" w:rsidP="00E97C5B">
      <w:pPr>
        <w:pStyle w:val="FootnoteText"/>
        <w:rPr>
          <w:rFonts w:cstheme="minorHAnsi"/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7724CD">
        <w:rPr>
          <w:rFonts w:cstheme="minorHAnsi"/>
          <w:i/>
          <w:iCs/>
        </w:rPr>
        <w:t>States are encouraged to include T&amp;D-related activities including those in support of the Justice40 Initiative</w:t>
      </w:r>
      <w:r w:rsidRPr="007724CD">
        <w:rPr>
          <w:rStyle w:val="FootnoteReference"/>
          <w:rFonts w:cstheme="minorHAnsi"/>
          <w:i/>
          <w:iCs/>
        </w:rPr>
        <w:footnoteRef/>
      </w:r>
      <w:r w:rsidRPr="007724CD">
        <w:rPr>
          <w:rFonts w:cstheme="minorHAnsi"/>
          <w:i/>
          <w:iCs/>
        </w:rPr>
        <w:t xml:space="preserve"> which establishes a goal that 40% of the </w:t>
      </w:r>
      <w:r w:rsidR="003E2EB2">
        <w:rPr>
          <w:rFonts w:cstheme="minorHAnsi"/>
          <w:i/>
          <w:iCs/>
        </w:rPr>
        <w:t xml:space="preserve">overall </w:t>
      </w:r>
      <w:r w:rsidRPr="007724CD">
        <w:rPr>
          <w:rFonts w:cstheme="minorHAnsi"/>
          <w:i/>
          <w:iCs/>
        </w:rPr>
        <w:t xml:space="preserve">benefits of </w:t>
      </w:r>
      <w:r w:rsidR="003E2EB2">
        <w:rPr>
          <w:rFonts w:cstheme="minorHAnsi"/>
          <w:i/>
          <w:iCs/>
        </w:rPr>
        <w:t xml:space="preserve">certain </w:t>
      </w:r>
      <w:r w:rsidRPr="007724CD">
        <w:rPr>
          <w:rFonts w:cstheme="minorHAnsi"/>
          <w:i/>
          <w:iCs/>
        </w:rPr>
        <w:t xml:space="preserve">federal investments in climate and clean energy infrastructure </w:t>
      </w:r>
      <w:r w:rsidR="003E2EB2">
        <w:rPr>
          <w:rFonts w:cstheme="minorHAnsi"/>
          <w:i/>
          <w:iCs/>
        </w:rPr>
        <w:t>flow</w:t>
      </w:r>
      <w:r w:rsidRPr="007724CD">
        <w:rPr>
          <w:rFonts w:cstheme="minorHAnsi"/>
          <w:i/>
          <w:iCs/>
        </w:rPr>
        <w:t xml:space="preserve"> to disadvantaged communities. </w:t>
      </w:r>
      <w:r w:rsidRPr="007724CD">
        <w:rPr>
          <w:rStyle w:val="Emphasis"/>
          <w:rFonts w:cstheme="minorHAnsi"/>
          <w:color w:val="333333"/>
          <w:shd w:val="clear" w:color="auto" w:fill="FFFFFF"/>
        </w:rPr>
        <w:t xml:space="preserve">The Justice40 initiative was created by E.O. 14008, which directed the Office of Management and Budget to publish, in coordination with other federal agencies, recommendations for how 40% of the overall benefits of certain federal investments flow to disadvantaged communities. OMB subsequently issued interim guidance that includes examples of benefits and indicators for identifying disadvantaged communities (see </w:t>
      </w:r>
      <w:hyperlink r:id="rId1" w:tgtFrame="_blank" w:tooltip="https://www.whitehouse.gov/wp-content/uploads/2021/07/M-21-28.pdf" w:history="1">
        <w:r w:rsidRPr="007724CD">
          <w:rPr>
            <w:rStyle w:val="Hyperlink"/>
            <w:rFonts w:cstheme="minorHAnsi"/>
            <w:i/>
            <w:iCs/>
            <w:color w:val="0000EE"/>
            <w:shd w:val="clear" w:color="auto" w:fill="FFFFFF"/>
          </w:rPr>
          <w:t>https://www.whitehouse.gov/wp-content/uploads/2021/07/M-21-28.pdf</w:t>
        </w:r>
      </w:hyperlink>
      <w:r w:rsidRPr="007724CD">
        <w:rPr>
          <w:rStyle w:val="Emphasis"/>
          <w:rFonts w:cstheme="minorHAnsi"/>
          <w:color w:val="333333"/>
          <w:shd w:val="clear" w:color="auto" w:fill="FFFFFF"/>
        </w:rPr>
        <w:t>)."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AA5"/>
    <w:multiLevelType w:val="multilevel"/>
    <w:tmpl w:val="F942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971F0"/>
    <w:multiLevelType w:val="multilevel"/>
    <w:tmpl w:val="8734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4269F"/>
    <w:multiLevelType w:val="hybridMultilevel"/>
    <w:tmpl w:val="94F883E8"/>
    <w:lvl w:ilvl="0" w:tplc="817860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A35D9"/>
    <w:multiLevelType w:val="hybridMultilevel"/>
    <w:tmpl w:val="CD56E70E"/>
    <w:lvl w:ilvl="0" w:tplc="817860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0B690A"/>
    <w:multiLevelType w:val="hybridMultilevel"/>
    <w:tmpl w:val="DCFC45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E797D"/>
    <w:multiLevelType w:val="hybridMultilevel"/>
    <w:tmpl w:val="3BA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22976"/>
    <w:multiLevelType w:val="multilevel"/>
    <w:tmpl w:val="AD98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5650B1"/>
    <w:multiLevelType w:val="hybridMultilevel"/>
    <w:tmpl w:val="26D881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2968172">
    <w:abstractNumId w:val="5"/>
  </w:num>
  <w:num w:numId="2" w16cid:durableId="492572647">
    <w:abstractNumId w:val="2"/>
  </w:num>
  <w:num w:numId="3" w16cid:durableId="759377891">
    <w:abstractNumId w:val="3"/>
  </w:num>
  <w:num w:numId="4" w16cid:durableId="556401714">
    <w:abstractNumId w:val="4"/>
  </w:num>
  <w:num w:numId="5" w16cid:durableId="1805272549">
    <w:abstractNumId w:val="7"/>
  </w:num>
  <w:num w:numId="6" w16cid:durableId="1877620483">
    <w:abstractNumId w:val="6"/>
  </w:num>
  <w:num w:numId="7" w16cid:durableId="1797917324">
    <w:abstractNumId w:val="0"/>
  </w:num>
  <w:num w:numId="8" w16cid:durableId="168486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BC"/>
    <w:rsid w:val="00014F90"/>
    <w:rsid w:val="000B6F60"/>
    <w:rsid w:val="0014185F"/>
    <w:rsid w:val="00151A19"/>
    <w:rsid w:val="0019722C"/>
    <w:rsid w:val="001D7863"/>
    <w:rsid w:val="001E52B5"/>
    <w:rsid w:val="001F0162"/>
    <w:rsid w:val="00202F11"/>
    <w:rsid w:val="00215353"/>
    <w:rsid w:val="00220DAC"/>
    <w:rsid w:val="00251FDF"/>
    <w:rsid w:val="002A13DA"/>
    <w:rsid w:val="002A152D"/>
    <w:rsid w:val="002C5BEB"/>
    <w:rsid w:val="00306171"/>
    <w:rsid w:val="00384E81"/>
    <w:rsid w:val="003E2EB2"/>
    <w:rsid w:val="00435329"/>
    <w:rsid w:val="00454D89"/>
    <w:rsid w:val="00487F0B"/>
    <w:rsid w:val="004F58EA"/>
    <w:rsid w:val="00521060"/>
    <w:rsid w:val="00527506"/>
    <w:rsid w:val="005C0D29"/>
    <w:rsid w:val="006C75F6"/>
    <w:rsid w:val="006F34DB"/>
    <w:rsid w:val="007064BC"/>
    <w:rsid w:val="007724CD"/>
    <w:rsid w:val="007C04EA"/>
    <w:rsid w:val="007C0781"/>
    <w:rsid w:val="008079E5"/>
    <w:rsid w:val="008126C7"/>
    <w:rsid w:val="008A3619"/>
    <w:rsid w:val="00976AF6"/>
    <w:rsid w:val="009B4D74"/>
    <w:rsid w:val="00A146A4"/>
    <w:rsid w:val="00AC3AD2"/>
    <w:rsid w:val="00B2106B"/>
    <w:rsid w:val="00B61067"/>
    <w:rsid w:val="00B903BC"/>
    <w:rsid w:val="00BC6886"/>
    <w:rsid w:val="00C47F56"/>
    <w:rsid w:val="00C57608"/>
    <w:rsid w:val="00CB74F1"/>
    <w:rsid w:val="00D2212E"/>
    <w:rsid w:val="00D62F94"/>
    <w:rsid w:val="00D9628E"/>
    <w:rsid w:val="00DA4A09"/>
    <w:rsid w:val="00DB34C2"/>
    <w:rsid w:val="00DC6880"/>
    <w:rsid w:val="00DD1AFD"/>
    <w:rsid w:val="00E54CD9"/>
    <w:rsid w:val="00E97C5B"/>
    <w:rsid w:val="00EB202C"/>
    <w:rsid w:val="00EC7885"/>
    <w:rsid w:val="00F15C08"/>
    <w:rsid w:val="00FA3B24"/>
    <w:rsid w:val="033EFE26"/>
    <w:rsid w:val="03EEF91A"/>
    <w:rsid w:val="115C6133"/>
    <w:rsid w:val="18BF65AA"/>
    <w:rsid w:val="1FEFDCF9"/>
    <w:rsid w:val="25B7110F"/>
    <w:rsid w:val="297D96E2"/>
    <w:rsid w:val="3B1E5036"/>
    <w:rsid w:val="3B621835"/>
    <w:rsid w:val="40358958"/>
    <w:rsid w:val="41294C4B"/>
    <w:rsid w:val="43865277"/>
    <w:rsid w:val="4460ED0D"/>
    <w:rsid w:val="4508FA7B"/>
    <w:rsid w:val="476DEE2D"/>
    <w:rsid w:val="4D469988"/>
    <w:rsid w:val="4DC40754"/>
    <w:rsid w:val="507E3A4A"/>
    <w:rsid w:val="54220E01"/>
    <w:rsid w:val="562C0995"/>
    <w:rsid w:val="5D321DB0"/>
    <w:rsid w:val="5D8E5840"/>
    <w:rsid w:val="6567CF37"/>
    <w:rsid w:val="67B39A8C"/>
    <w:rsid w:val="715A7CD2"/>
    <w:rsid w:val="72351768"/>
    <w:rsid w:val="7708888B"/>
    <w:rsid w:val="78BD8149"/>
    <w:rsid w:val="7B015F18"/>
    <w:rsid w:val="7BDBF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83CD"/>
  <w15:chartTrackingRefBased/>
  <w15:docId w15:val="{E2BB9244-7BE8-4B43-A277-F743C825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DA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68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8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68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7F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3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2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2750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27506"/>
    <w:rPr>
      <w:color w:val="0000FF"/>
      <w:u w:val="single"/>
    </w:rPr>
  </w:style>
  <w:style w:type="paragraph" w:customStyle="1" w:styleId="paragraph">
    <w:name w:val="paragraph"/>
    <w:basedOn w:val="Normal"/>
    <w:rsid w:val="0081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26C7"/>
  </w:style>
  <w:style w:type="character" w:customStyle="1" w:styleId="eop">
    <w:name w:val="eop"/>
    <w:basedOn w:val="DefaultParagraphFont"/>
    <w:rsid w:val="008126C7"/>
  </w:style>
  <w:style w:type="character" w:styleId="FollowedHyperlink">
    <w:name w:val="FollowedHyperlink"/>
    <w:basedOn w:val="DefaultParagraphFont"/>
    <w:uiPriority w:val="99"/>
    <w:semiHidden/>
    <w:unhideWhenUsed/>
    <w:rsid w:val="00C5760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F3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itehouse.gov/wp-content/uploads/2021/07/M-21-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650ADD58ACE4499DFBA20ACD885D0" ma:contentTypeVersion="11" ma:contentTypeDescription="Create a new document." ma:contentTypeScope="" ma:versionID="a505f5fd69cffc884d68f3772b03bb61">
  <xsd:schema xmlns:xsd="http://www.w3.org/2001/XMLSchema" xmlns:xs="http://www.w3.org/2001/XMLSchema" xmlns:p="http://schemas.microsoft.com/office/2006/metadata/properties" xmlns:ns2="e6589248-e022-4dad-bde5-77d911c09628" xmlns:ns3="5cbd31e9-f193-4050-8107-758e601fbb4b" xmlns:ns4="0a20205c-0631-4ff0-81c6-46eee12fe7e9" targetNamespace="http://schemas.microsoft.com/office/2006/metadata/properties" ma:root="true" ma:fieldsID="63686363f9b27f82afda32ba509dae86" ns2:_="" ns3:_="" ns4:_="">
    <xsd:import namespace="e6589248-e022-4dad-bde5-77d911c09628"/>
    <xsd:import namespace="5cbd31e9-f193-4050-8107-758e601fbb4b"/>
    <xsd:import namespace="0a20205c-0631-4ff0-81c6-46eee12fe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89248-e022-4dad-bde5-77d911c09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6d46bd7-4a58-4bc0-a217-7245e6e7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31e9-f193-4050-8107-758e601fb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0205c-0631-4ff0-81c6-46eee12fe7e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11dfe7a-925c-4ac4-aec8-53094a4e96fc}" ma:internalName="TaxCatchAll" ma:showField="CatchAllData" ma:web="5cbd31e9-f193-4050-8107-758e601fb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bd31e9-f193-4050-8107-758e601fbb4b">
      <UserInfo>
        <DisplayName>Garcia, Annamaria</DisplayName>
        <AccountId>151</AccountId>
        <AccountType/>
      </UserInfo>
      <UserInfo>
        <DisplayName>Kidd, Amy</DisplayName>
        <AccountId>245</AccountId>
        <AccountType/>
      </UserInfo>
      <UserInfo>
        <DisplayName>Baumann, Jeremiah</DisplayName>
        <AccountId>478</AccountId>
        <AccountType/>
      </UserInfo>
      <UserInfo>
        <DisplayName>Zetterberg, Johanna</DisplayName>
        <AccountId>30</AccountId>
        <AccountType/>
      </UserInfo>
      <UserInfo>
        <DisplayName>Neukomm, Monica</DisplayName>
        <AccountId>192</AccountId>
        <AccountType/>
      </UserInfo>
      <UserInfo>
        <DisplayName>Castro, Christopher D.</DisplayName>
        <AccountId>942</AccountId>
        <AccountType/>
      </UserInfo>
      <UserInfo>
        <DisplayName>Mckoy, Henry C</DisplayName>
        <AccountId>943</AccountId>
        <AccountType/>
      </UserInfo>
      <UserInfo>
        <DisplayName>Goldberg-Lewis, Julius</DisplayName>
        <AccountId>730</AccountId>
        <AccountType/>
      </UserInfo>
    </SharedWithUsers>
    <lcf76f155ced4ddcb4097134ff3c332f xmlns="e6589248-e022-4dad-bde5-77d911c09628">
      <Terms xmlns="http://schemas.microsoft.com/office/infopath/2007/PartnerControls"/>
    </lcf76f155ced4ddcb4097134ff3c332f>
    <TaxCatchAll xmlns="0a20205c-0631-4ff0-81c6-46eee12fe7e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0FB74-5A89-4E34-A23C-BB45E3444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89248-e022-4dad-bde5-77d911c09628"/>
    <ds:schemaRef ds:uri="5cbd31e9-f193-4050-8107-758e601fbb4b"/>
    <ds:schemaRef ds:uri="0a20205c-0631-4ff0-81c6-46eee12fe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C557B-5383-4675-8F44-19C7B86E20CC}">
  <ds:schemaRefs>
    <ds:schemaRef ds:uri="0a20205c-0631-4ff0-81c6-46eee12fe7e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cbd31e9-f193-4050-8107-758e601fbb4b"/>
    <ds:schemaRef ds:uri="e6589248-e022-4dad-bde5-77d911c096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9BE3A6-9495-41A8-9025-C46FDC41A4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720786-C376-446C-9644-13CC741788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Royden-Bloom, Amy</dc:creator>
  <cp:keywords/>
  <dc:description/>
  <cp:lastModifiedBy>Kidd, Amy</cp:lastModifiedBy>
  <cp:revision>3</cp:revision>
  <dcterms:created xsi:type="dcterms:W3CDTF">2022-08-22T22:53:00Z</dcterms:created>
  <dcterms:modified xsi:type="dcterms:W3CDTF">2022-08-22T22:54:00Z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0x010100FFA650ADD58ACE4499DFBA20ACD885D0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