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EC0A2" w14:textId="32FFF0A2" w:rsidR="00205E75" w:rsidRPr="008A3A5D" w:rsidRDefault="00205E75" w:rsidP="005A1D54">
      <w:pPr>
        <w:rPr>
          <w:rFonts w:ascii="Core Sans D 35 Regular" w:hAnsi="Core Sans D 35 Regular" w:cstheme="minorHAnsi"/>
          <w:b/>
          <w:bCs/>
          <w:sz w:val="22"/>
          <w:szCs w:val="22"/>
          <w:u w:val="single"/>
        </w:rPr>
      </w:pPr>
      <w:r w:rsidRPr="008A3A5D">
        <w:rPr>
          <w:rFonts w:ascii="Core Sans D 35 Regular" w:hAnsi="Core Sans D 35 Regular" w:cstheme="minorHAnsi"/>
          <w:b/>
          <w:bCs/>
          <w:sz w:val="22"/>
          <w:szCs w:val="22"/>
          <w:u w:val="single"/>
        </w:rPr>
        <w:t>Energy Sector: Cyber Risk &amp; Resilience Framework Outline</w:t>
      </w:r>
    </w:p>
    <w:p w14:paraId="7E89B9F8" w14:textId="1FBF41B5" w:rsidR="00205E75" w:rsidRPr="008A3A5D" w:rsidRDefault="00205E75" w:rsidP="00B4337F">
      <w:pPr>
        <w:rPr>
          <w:rFonts w:ascii="Core Sans D 35 Regular" w:hAnsi="Core Sans D 35 Regular" w:cstheme="minorHAnsi"/>
          <w:b/>
          <w:bCs/>
          <w:sz w:val="22"/>
          <w:szCs w:val="22"/>
          <w:u w:val="single"/>
        </w:rPr>
      </w:pPr>
    </w:p>
    <w:p w14:paraId="074881D7" w14:textId="1F0732A4" w:rsidR="00205E75" w:rsidRPr="008A3A5D" w:rsidRDefault="00205E75" w:rsidP="00B4337F">
      <w:pPr>
        <w:rPr>
          <w:rFonts w:ascii="Core Sans D 35 Regular" w:hAnsi="Core Sans D 35 Regular" w:cstheme="minorHAnsi"/>
          <w:b/>
          <w:bCs/>
          <w:sz w:val="22"/>
          <w:szCs w:val="22"/>
          <w:u w:val="single"/>
        </w:rPr>
      </w:pPr>
      <w:r w:rsidRPr="008A3A5D">
        <w:rPr>
          <w:rFonts w:ascii="Core Sans D 35 Regular" w:hAnsi="Core Sans D 35 Regular" w:cstheme="minorHAnsi"/>
          <w:b/>
          <w:bCs/>
          <w:sz w:val="22"/>
          <w:szCs w:val="22"/>
          <w:u w:val="single"/>
        </w:rPr>
        <w:t>Executive Summary:</w:t>
      </w:r>
    </w:p>
    <w:p w14:paraId="1B46DF56" w14:textId="5D891CAF" w:rsidR="008E1326" w:rsidRPr="008A3A5D" w:rsidRDefault="00205E75" w:rsidP="00B4337F">
      <w:pPr>
        <w:ind w:firstLine="720"/>
        <w:rPr>
          <w:rFonts w:ascii="Core Sans D 35 Regular" w:hAnsi="Core Sans D 35 Regular"/>
          <w:sz w:val="22"/>
          <w:szCs w:val="22"/>
        </w:rPr>
      </w:pPr>
      <w:r w:rsidRPr="008A3A5D">
        <w:rPr>
          <w:rFonts w:ascii="Core Sans D 35 Regular" w:hAnsi="Core Sans D 35 Regular"/>
          <w:b/>
          <w:bCs/>
          <w:sz w:val="22"/>
          <w:szCs w:val="22"/>
        </w:rPr>
        <w:t>Due to current system innovations and the scope of services the</w:t>
      </w:r>
      <w:r w:rsidR="00B21DB3">
        <w:rPr>
          <w:rFonts w:ascii="Core Sans D 35 Regular" w:hAnsi="Core Sans D 35 Regular"/>
          <w:b/>
          <w:bCs/>
          <w:sz w:val="22"/>
          <w:szCs w:val="22"/>
        </w:rPr>
        <w:t xml:space="preserve"> Electric Sector</w:t>
      </w:r>
      <w:r w:rsidRPr="008A3A5D">
        <w:rPr>
          <w:rFonts w:ascii="Core Sans D 35 Regular" w:hAnsi="Core Sans D 35 Regular"/>
          <w:b/>
          <w:bCs/>
          <w:sz w:val="22"/>
          <w:szCs w:val="22"/>
        </w:rPr>
        <w:t xml:space="preserve"> provide</w:t>
      </w:r>
      <w:r w:rsidR="00B21DB3">
        <w:rPr>
          <w:rFonts w:ascii="Core Sans D 35 Regular" w:hAnsi="Core Sans D 35 Regular"/>
          <w:b/>
          <w:bCs/>
          <w:sz w:val="22"/>
          <w:szCs w:val="22"/>
        </w:rPr>
        <w:t>s</w:t>
      </w:r>
      <w:r w:rsidRPr="008A3A5D">
        <w:rPr>
          <w:rFonts w:ascii="Core Sans D 35 Regular" w:hAnsi="Core Sans D 35 Regular"/>
          <w:b/>
          <w:bCs/>
          <w:sz w:val="22"/>
          <w:szCs w:val="22"/>
        </w:rPr>
        <w:t>, the E</w:t>
      </w:r>
      <w:r w:rsidR="00B215B1">
        <w:rPr>
          <w:rFonts w:ascii="Core Sans D 35 Regular" w:hAnsi="Core Sans D 35 Regular"/>
          <w:b/>
          <w:bCs/>
          <w:sz w:val="22"/>
          <w:szCs w:val="22"/>
        </w:rPr>
        <w:t>lectric</w:t>
      </w:r>
      <w:r w:rsidRPr="008A3A5D">
        <w:rPr>
          <w:rFonts w:ascii="Core Sans D 35 Regular" w:hAnsi="Core Sans D 35 Regular"/>
          <w:b/>
          <w:bCs/>
          <w:sz w:val="22"/>
          <w:szCs w:val="22"/>
        </w:rPr>
        <w:t xml:space="preserve"> Sector and its architectures face significant cyber threat</w:t>
      </w:r>
      <w:r w:rsidR="00B3108D" w:rsidRPr="008A3A5D">
        <w:rPr>
          <w:rFonts w:ascii="Core Sans D 35 Regular" w:hAnsi="Core Sans D 35 Regular"/>
          <w:b/>
          <w:bCs/>
          <w:sz w:val="22"/>
          <w:szCs w:val="22"/>
        </w:rPr>
        <w:t>s</w:t>
      </w:r>
      <w:r w:rsidRPr="008A3A5D">
        <w:rPr>
          <w:rFonts w:ascii="Core Sans D 35 Regular" w:hAnsi="Core Sans D 35 Regular"/>
          <w:b/>
          <w:bCs/>
          <w:sz w:val="22"/>
          <w:szCs w:val="22"/>
        </w:rPr>
        <w:t xml:space="preserve"> from a broad range of highly sophisticated actors. </w:t>
      </w:r>
      <w:r w:rsidRPr="008A3A5D">
        <w:rPr>
          <w:rFonts w:ascii="Core Sans D 35 Regular" w:hAnsi="Core Sans D 35 Regular"/>
          <w:sz w:val="22"/>
          <w:szCs w:val="22"/>
        </w:rPr>
        <w:t>The E</w:t>
      </w:r>
      <w:r w:rsidR="00F85195">
        <w:rPr>
          <w:rFonts w:ascii="Core Sans D 35 Regular" w:hAnsi="Core Sans D 35 Regular"/>
          <w:sz w:val="22"/>
          <w:szCs w:val="22"/>
        </w:rPr>
        <w:t>lectric</w:t>
      </w:r>
      <w:r w:rsidRPr="008A3A5D">
        <w:rPr>
          <w:rFonts w:ascii="Core Sans D 35 Regular" w:hAnsi="Core Sans D 35 Regular"/>
          <w:sz w:val="22"/>
          <w:szCs w:val="22"/>
        </w:rPr>
        <w:t xml:space="preserve"> Sector entities vary in size</w:t>
      </w:r>
      <w:r w:rsidR="6D30AF6B" w:rsidRPr="008A3A5D">
        <w:rPr>
          <w:rFonts w:ascii="Core Sans D 35 Regular" w:hAnsi="Core Sans D 35 Regular"/>
          <w:sz w:val="22"/>
          <w:szCs w:val="22"/>
        </w:rPr>
        <w:t>,</w:t>
      </w:r>
      <w:r w:rsidRPr="008A3A5D">
        <w:rPr>
          <w:rFonts w:ascii="Core Sans D 35 Regular" w:hAnsi="Core Sans D 35 Regular"/>
          <w:sz w:val="22"/>
          <w:szCs w:val="22"/>
        </w:rPr>
        <w:t xml:space="preserve"> which can cause inequities in technological and financial resources, creating disparities in staff expertise and funding.</w:t>
      </w:r>
      <w:r w:rsidR="00B21DB3">
        <w:rPr>
          <w:rFonts w:ascii="Core Sans D 35 Regular" w:hAnsi="Core Sans D 35 Regular"/>
          <w:sz w:val="22"/>
          <w:szCs w:val="22"/>
        </w:rPr>
        <w:t xml:space="preserve"> </w:t>
      </w:r>
      <w:r w:rsidR="00B21DB3" w:rsidRPr="00B21DB3">
        <w:rPr>
          <w:rFonts w:ascii="Core Sans D 35 Regular" w:hAnsi="Core Sans D 35 Regular"/>
          <w:sz w:val="22"/>
          <w:szCs w:val="22"/>
        </w:rPr>
        <w:t>Current best practices to identify cybersecurity vulnerabilities and gaps and implement best practices are understandably NIST Framework, ISSO, C2M2, CMMC and compliance based, which are foundational but not sufficient.</w:t>
      </w:r>
      <w:r w:rsidR="00B21DB3">
        <w:rPr>
          <w:rFonts w:ascii="Core Sans D 35 Regular" w:hAnsi="Core Sans D 35 Regular"/>
          <w:sz w:val="22"/>
          <w:szCs w:val="22"/>
        </w:rPr>
        <w:t xml:space="preserve"> </w:t>
      </w:r>
      <w:r w:rsidR="00B21DB3" w:rsidRPr="00B21DB3">
        <w:rPr>
          <w:rFonts w:ascii="Core Sans D 35 Regular" w:hAnsi="Core Sans D 35 Regular"/>
          <w:sz w:val="22"/>
          <w:szCs w:val="22"/>
        </w:rPr>
        <w:t>While Electric Sector entities are cognizant of current cyber threat actors and methods, many do not know how to expeditiously identify, prioritize</w:t>
      </w:r>
      <w:r w:rsidR="009257DB">
        <w:rPr>
          <w:rFonts w:ascii="Core Sans D 35 Regular" w:hAnsi="Core Sans D 35 Regular"/>
          <w:sz w:val="22"/>
          <w:szCs w:val="22"/>
        </w:rPr>
        <w:t>,</w:t>
      </w:r>
      <w:r w:rsidR="00B21DB3" w:rsidRPr="00B21DB3">
        <w:rPr>
          <w:rFonts w:ascii="Core Sans D 35 Regular" w:hAnsi="Core Sans D 35 Regular"/>
          <w:sz w:val="22"/>
          <w:szCs w:val="22"/>
        </w:rPr>
        <w:t xml:space="preserve"> and effectively mitigate their top cyber risks versus primarily responding to standards-based audits.</w:t>
      </w:r>
    </w:p>
    <w:p w14:paraId="45934997" w14:textId="77777777" w:rsidR="009257DB" w:rsidRPr="008A3A5D" w:rsidDel="00B21DB3" w:rsidRDefault="009257DB" w:rsidP="00B4337F">
      <w:pPr>
        <w:ind w:firstLine="720"/>
        <w:rPr>
          <w:rFonts w:ascii="Core Sans D 35 Regular" w:hAnsi="Core Sans D 35 Regular" w:cstheme="minorHAnsi"/>
          <w:sz w:val="22"/>
          <w:szCs w:val="22"/>
        </w:rPr>
      </w:pPr>
    </w:p>
    <w:p w14:paraId="5207AA2F" w14:textId="2BA8EC71" w:rsidR="00BF6E7D" w:rsidRPr="008A3A5D" w:rsidRDefault="00205E75" w:rsidP="00B4337F">
      <w:pPr>
        <w:ind w:firstLine="720"/>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With the advent of and access to broad network &amp; </w:t>
      </w:r>
      <w:r w:rsidR="00B3108D" w:rsidRPr="008A3A5D">
        <w:rPr>
          <w:rFonts w:ascii="Core Sans D 35 Regular" w:hAnsi="Core Sans D 35 Regular" w:cstheme="minorHAnsi"/>
          <w:sz w:val="22"/>
          <w:szCs w:val="22"/>
        </w:rPr>
        <w:t>Industrial Control Systems (</w:t>
      </w:r>
      <w:r w:rsidRPr="008A3A5D">
        <w:rPr>
          <w:rFonts w:ascii="Core Sans D 35 Regular" w:hAnsi="Core Sans D 35 Regular" w:cstheme="minorHAnsi"/>
          <w:sz w:val="22"/>
          <w:szCs w:val="22"/>
        </w:rPr>
        <w:t>ICS</w:t>
      </w:r>
      <w:r w:rsidR="00B3108D" w:rsidRPr="008A3A5D">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data sets, </w:t>
      </w:r>
      <w:r w:rsidR="00D76A5C" w:rsidRPr="008A3A5D">
        <w:rPr>
          <w:rFonts w:ascii="Core Sans D 35 Regular" w:hAnsi="Core Sans D 35 Regular" w:cstheme="minorHAnsi"/>
          <w:sz w:val="22"/>
          <w:szCs w:val="22"/>
        </w:rPr>
        <w:t>Artificial Intelligence (</w:t>
      </w:r>
      <w:r w:rsidRPr="008A3A5D">
        <w:rPr>
          <w:rFonts w:ascii="Core Sans D 35 Regular" w:hAnsi="Core Sans D 35 Regular" w:cstheme="minorHAnsi"/>
          <w:sz w:val="22"/>
          <w:szCs w:val="22"/>
        </w:rPr>
        <w:t>AI</w:t>
      </w:r>
      <w:r w:rsidR="00D76A5C" w:rsidRPr="008A3A5D">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driven analytics, and instrumentation, there are now commercial grade IT, </w:t>
      </w:r>
      <w:r w:rsidR="00B3108D" w:rsidRPr="008A3A5D">
        <w:rPr>
          <w:rFonts w:ascii="Core Sans D 35 Regular" w:hAnsi="Core Sans D 35 Regular" w:cstheme="minorHAnsi"/>
          <w:sz w:val="22"/>
          <w:szCs w:val="22"/>
        </w:rPr>
        <w:t>Operational Technology (</w:t>
      </w:r>
      <w:r w:rsidRPr="008A3A5D">
        <w:rPr>
          <w:rFonts w:ascii="Core Sans D 35 Regular" w:hAnsi="Core Sans D 35 Regular" w:cstheme="minorHAnsi"/>
          <w:sz w:val="22"/>
          <w:szCs w:val="22"/>
        </w:rPr>
        <w:t>OT</w:t>
      </w:r>
      <w:r w:rsidR="00B3108D" w:rsidRPr="008A3A5D">
        <w:rPr>
          <w:rFonts w:ascii="Core Sans D 35 Regular" w:hAnsi="Core Sans D 35 Regular" w:cstheme="minorHAnsi"/>
          <w:sz w:val="22"/>
          <w:szCs w:val="22"/>
        </w:rPr>
        <w:t>)</w:t>
      </w:r>
      <w:r w:rsidR="00B21DB3">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and ICS risk rating capabilities that can be leveraged externally and internally, providing effective transparency, risk monitoring</w:t>
      </w:r>
      <w:r w:rsidR="00B21DB3">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w:t>
      </w:r>
      <w:r w:rsidR="00B3108D" w:rsidRPr="008A3A5D">
        <w:rPr>
          <w:rFonts w:ascii="Core Sans D 35 Regular" w:hAnsi="Core Sans D 35 Regular" w:cstheme="minorHAnsi"/>
          <w:sz w:val="22"/>
          <w:szCs w:val="22"/>
        </w:rPr>
        <w:t>and</w:t>
      </w:r>
      <w:r w:rsidRPr="008A3A5D">
        <w:rPr>
          <w:rFonts w:ascii="Core Sans D 35 Regular" w:hAnsi="Core Sans D 35 Regular" w:cstheme="minorHAnsi"/>
          <w:sz w:val="22"/>
          <w:szCs w:val="22"/>
        </w:rPr>
        <w:t xml:space="preserve"> mitigation. By providing affordable access to best</w:t>
      </w:r>
      <w:r w:rsidR="00945EC7" w:rsidRPr="008A3A5D">
        <w:rPr>
          <w:rFonts w:ascii="Core Sans D 35 Regular" w:hAnsi="Core Sans D 35 Regular" w:cstheme="minorHAnsi"/>
          <w:sz w:val="22"/>
          <w:szCs w:val="22"/>
        </w:rPr>
        <w:t>-</w:t>
      </w:r>
      <w:r w:rsidRPr="008A3A5D">
        <w:rPr>
          <w:rFonts w:ascii="Core Sans D 35 Regular" w:hAnsi="Core Sans D 35 Regular" w:cstheme="minorHAnsi"/>
          <w:sz w:val="22"/>
          <w:szCs w:val="22"/>
        </w:rPr>
        <w:t>of</w:t>
      </w:r>
      <w:r w:rsidR="00945EC7" w:rsidRPr="008A3A5D">
        <w:rPr>
          <w:rFonts w:ascii="Core Sans D 35 Regular" w:hAnsi="Core Sans D 35 Regular" w:cstheme="minorHAnsi"/>
          <w:sz w:val="22"/>
          <w:szCs w:val="22"/>
        </w:rPr>
        <w:t>-</w:t>
      </w:r>
      <w:r w:rsidRPr="008A3A5D">
        <w:rPr>
          <w:rFonts w:ascii="Core Sans D 35 Regular" w:hAnsi="Core Sans D 35 Regular" w:cstheme="minorHAnsi"/>
          <w:sz w:val="22"/>
          <w:szCs w:val="22"/>
        </w:rPr>
        <w:t>breed continuous risk monitoring, prioritization</w:t>
      </w:r>
      <w:r w:rsidR="00B21DB3">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and mitigation services </w:t>
      </w:r>
      <w:r w:rsidR="00964155">
        <w:rPr>
          <w:rFonts w:ascii="Core Sans D 35 Regular" w:hAnsi="Core Sans D 35 Regular" w:cstheme="minorHAnsi"/>
          <w:sz w:val="22"/>
          <w:szCs w:val="22"/>
        </w:rPr>
        <w:t xml:space="preserve">Electric </w:t>
      </w:r>
      <w:r w:rsidRPr="008A3A5D">
        <w:rPr>
          <w:rFonts w:ascii="Core Sans D 35 Regular" w:hAnsi="Core Sans D 35 Regular" w:cstheme="minorHAnsi"/>
          <w:sz w:val="22"/>
          <w:szCs w:val="22"/>
        </w:rPr>
        <w:t>Sector</w:t>
      </w:r>
      <w:r w:rsidR="00B21DB3">
        <w:rPr>
          <w:rFonts w:ascii="Core Sans D 35 Regular" w:hAnsi="Core Sans D 35 Regular" w:cstheme="minorHAnsi"/>
          <w:sz w:val="22"/>
          <w:szCs w:val="22"/>
        </w:rPr>
        <w:t>-</w:t>
      </w:r>
      <w:r w:rsidRPr="008A3A5D">
        <w:rPr>
          <w:rFonts w:ascii="Core Sans D 35 Regular" w:hAnsi="Core Sans D 35 Regular" w:cstheme="minorHAnsi"/>
          <w:sz w:val="22"/>
          <w:szCs w:val="22"/>
        </w:rPr>
        <w:t>wide, a majority of risks can be affordably identified and addressed.</w:t>
      </w:r>
    </w:p>
    <w:p w14:paraId="43C0FA04" w14:textId="77777777" w:rsidR="00BF6E7D" w:rsidRPr="008A3A5D" w:rsidRDefault="00BF6E7D" w:rsidP="00B4337F">
      <w:pPr>
        <w:rPr>
          <w:rFonts w:ascii="Core Sans D 35 Regular" w:hAnsi="Core Sans D 35 Regular" w:cstheme="minorHAnsi"/>
          <w:sz w:val="22"/>
          <w:szCs w:val="22"/>
        </w:rPr>
      </w:pPr>
    </w:p>
    <w:p w14:paraId="33A61735" w14:textId="77777777" w:rsidR="00B33D97" w:rsidRPr="008A3A5D" w:rsidRDefault="00B33D97" w:rsidP="00B33D97">
      <w:pPr>
        <w:spacing w:after="360"/>
        <w:ind w:left="-446"/>
        <w:contextualSpacing/>
        <w:textAlignment w:val="baseline"/>
        <w:rPr>
          <w:rFonts w:ascii="Core Sans D 35 Regular" w:hAnsi="Core Sans D 35 Regular"/>
          <w:color w:val="333333"/>
          <w:sz w:val="22"/>
          <w:szCs w:val="22"/>
        </w:rPr>
      </w:pPr>
      <w:r w:rsidRPr="008A3A5D">
        <w:rPr>
          <w:rFonts w:ascii="Core Sans D 35 Regular" w:eastAsia="Times New Roman" w:hAnsi="Core Sans D 35 Regular" w:cs="Times New Roman"/>
          <w:b/>
          <w:bCs/>
          <w:color w:val="333333"/>
          <w:sz w:val="22"/>
          <w:szCs w:val="22"/>
        </w:rPr>
        <w:t>A1.</w:t>
      </w:r>
      <w:r w:rsidRPr="008A3A5D">
        <w:rPr>
          <w:rFonts w:ascii="Core Sans D 35 Regular" w:eastAsia="Times New Roman" w:hAnsi="Core Sans D 35 Regular" w:cs="Times New Roman"/>
          <w:color w:val="333333"/>
          <w:sz w:val="22"/>
          <w:szCs w:val="22"/>
        </w:rPr>
        <w:t xml:space="preserve"> </w:t>
      </w:r>
      <w:r w:rsidRPr="008A3A5D">
        <w:rPr>
          <w:rFonts w:ascii="Core Sans D 35 Regular" w:hAnsi="Core Sans D 35 Regular"/>
          <w:color w:val="333333"/>
          <w:sz w:val="22"/>
          <w:szCs w:val="22"/>
        </w:rPr>
        <w:t xml:space="preserve">What technical assistance would States, Indian Tribes, or units of local government need to enhance their security efforts relative to the electric system?  </w:t>
      </w:r>
    </w:p>
    <w:p w14:paraId="59EA3D81" w14:textId="77777777" w:rsidR="00B33D97" w:rsidRPr="008A3A5D" w:rsidRDefault="00B33D97" w:rsidP="00B33D97">
      <w:pPr>
        <w:spacing w:after="360"/>
        <w:ind w:left="-446"/>
        <w:contextualSpacing/>
        <w:textAlignment w:val="baseline"/>
        <w:rPr>
          <w:rFonts w:ascii="Core Sans D 35 Regular" w:hAnsi="Core Sans D 35 Regular"/>
          <w:color w:val="333333"/>
          <w:sz w:val="22"/>
          <w:szCs w:val="22"/>
        </w:rPr>
      </w:pPr>
    </w:p>
    <w:p w14:paraId="252ECF92" w14:textId="0DD38DA4" w:rsidR="00B33D97" w:rsidRPr="008A3A5D" w:rsidRDefault="00B33D97" w:rsidP="00B33D97">
      <w:pPr>
        <w:spacing w:after="360"/>
        <w:ind w:left="-446"/>
        <w:contextualSpacing/>
        <w:textAlignment w:val="baseline"/>
        <w:rPr>
          <w:rFonts w:ascii="Core Sans D 35 Regular" w:hAnsi="Core Sans D 35 Regular"/>
          <w:color w:val="333333"/>
          <w:sz w:val="22"/>
          <w:szCs w:val="22"/>
        </w:rPr>
      </w:pPr>
      <w:r w:rsidRPr="008A3A5D">
        <w:rPr>
          <w:rFonts w:ascii="Core Sans D 35 Regular" w:hAnsi="Core Sans D 35 Regular"/>
          <w:color w:val="333333"/>
          <w:sz w:val="22"/>
          <w:szCs w:val="22"/>
        </w:rPr>
        <w:t>States, Local, and Tribal units of government can be enabled and supported by Cyber Risk Platforms as a Service being made available from the Federal level. Having developed such a commercial platform</w:t>
      </w:r>
      <w:r w:rsidR="00B21DB3">
        <w:rPr>
          <w:rFonts w:ascii="Core Sans D 35 Regular" w:hAnsi="Core Sans D 35 Regular"/>
          <w:color w:val="333333"/>
          <w:sz w:val="22"/>
          <w:szCs w:val="22"/>
        </w:rPr>
        <w:t xml:space="preserve"> (</w:t>
      </w:r>
      <w:r w:rsidRPr="008A3A5D">
        <w:rPr>
          <w:rFonts w:ascii="Core Sans D 35 Regular" w:hAnsi="Core Sans D 35 Regular"/>
          <w:color w:val="333333"/>
          <w:sz w:val="22"/>
          <w:szCs w:val="22"/>
        </w:rPr>
        <w:t xml:space="preserve"> </w:t>
      </w:r>
      <w:hyperlink r:id="rId8" w:history="1">
        <w:r w:rsidRPr="008A3A5D">
          <w:rPr>
            <w:rStyle w:val="Hyperlink"/>
            <w:rFonts w:ascii="Core Sans D 35 Regular" w:hAnsi="Core Sans D 35 Regular"/>
            <w:sz w:val="22"/>
            <w:szCs w:val="22"/>
          </w:rPr>
          <w:t>https://www.whitehawk.com/cyber-risk-paas</w:t>
        </w:r>
      </w:hyperlink>
      <w:r w:rsidR="00B21DB3">
        <w:rPr>
          <w:rStyle w:val="Hyperlink"/>
          <w:rFonts w:ascii="Core Sans D 35 Regular" w:hAnsi="Core Sans D 35 Regular"/>
          <w:sz w:val="22"/>
          <w:szCs w:val="22"/>
        </w:rPr>
        <w:t>)</w:t>
      </w:r>
      <w:r w:rsidRPr="008A3A5D">
        <w:rPr>
          <w:rFonts w:ascii="Core Sans D 35 Regular" w:hAnsi="Core Sans D 35 Regular"/>
          <w:color w:val="333333"/>
          <w:sz w:val="22"/>
          <w:szCs w:val="22"/>
        </w:rPr>
        <w:t xml:space="preserve"> and being the lead developer for the </w:t>
      </w:r>
      <w:r w:rsidRPr="008A3A5D">
        <w:rPr>
          <w:rFonts w:ascii="Core Sans D 35 Regular" w:hAnsi="Core Sans D 35 Regular"/>
          <w:sz w:val="22"/>
          <w:szCs w:val="22"/>
        </w:rPr>
        <w:t>DHS CISA QSMO Cybersecurity Marketplace program</w:t>
      </w:r>
      <w:r w:rsidR="00B21DB3">
        <w:rPr>
          <w:rFonts w:ascii="Core Sans D 35 Regular" w:hAnsi="Core Sans D 35 Regular"/>
          <w:i/>
          <w:iCs/>
          <w:sz w:val="22"/>
          <w:szCs w:val="22"/>
          <w:u w:val="single"/>
        </w:rPr>
        <w:t>(</w:t>
      </w:r>
      <w:r w:rsidRPr="008A3A5D">
        <w:rPr>
          <w:rFonts w:ascii="Core Sans D 35 Regular" w:hAnsi="Core Sans D 35 Regular"/>
          <w:i/>
          <w:iCs/>
          <w:sz w:val="22"/>
          <w:szCs w:val="22"/>
          <w:u w:val="single"/>
        </w:rPr>
        <w:t xml:space="preserve"> </w:t>
      </w:r>
      <w:hyperlink r:id="rId9" w:history="1">
        <w:r w:rsidRPr="008A3A5D">
          <w:rPr>
            <w:rStyle w:val="Hyperlink"/>
            <w:rFonts w:ascii="Core Sans D 35 Regular" w:hAnsi="Core Sans D 35 Regular"/>
            <w:i/>
            <w:iCs/>
            <w:sz w:val="22"/>
            <w:szCs w:val="22"/>
          </w:rPr>
          <w:t>https://www.cisa.gov/cyber-qsmo-services</w:t>
        </w:r>
      </w:hyperlink>
      <w:r w:rsidR="00B21DB3">
        <w:rPr>
          <w:rStyle w:val="Hyperlink"/>
          <w:rFonts w:ascii="Core Sans D 35 Regular" w:hAnsi="Core Sans D 35 Regular"/>
          <w:i/>
          <w:iCs/>
          <w:sz w:val="22"/>
          <w:szCs w:val="22"/>
        </w:rPr>
        <w:t>)</w:t>
      </w:r>
      <w:r w:rsidRPr="008A3A5D">
        <w:rPr>
          <w:rFonts w:ascii="Core Sans D 35 Regular" w:hAnsi="Core Sans D 35 Regular"/>
          <w:i/>
          <w:iCs/>
          <w:sz w:val="22"/>
          <w:szCs w:val="22"/>
          <w:u w:val="single"/>
        </w:rPr>
        <w:t xml:space="preserve">, </w:t>
      </w:r>
      <w:proofErr w:type="spellStart"/>
      <w:r w:rsidR="00B21DB3">
        <w:rPr>
          <w:rFonts w:ascii="Core Sans D 35 Regular" w:hAnsi="Core Sans D 35 Regular"/>
          <w:sz w:val="22"/>
          <w:szCs w:val="22"/>
        </w:rPr>
        <w:t>WhiteHawk</w:t>
      </w:r>
      <w:proofErr w:type="spellEnd"/>
      <w:r w:rsidRPr="008A3A5D">
        <w:rPr>
          <w:rFonts w:ascii="Core Sans D 35 Regular" w:hAnsi="Core Sans D 35 Regular"/>
          <w:sz w:val="22"/>
          <w:szCs w:val="22"/>
        </w:rPr>
        <w:t xml:space="preserve"> know</w:t>
      </w:r>
      <w:r w:rsidR="00B21DB3">
        <w:rPr>
          <w:rFonts w:ascii="Core Sans D 35 Regular" w:hAnsi="Core Sans D 35 Regular"/>
          <w:sz w:val="22"/>
          <w:szCs w:val="22"/>
        </w:rPr>
        <w:t>s</w:t>
      </w:r>
      <w:r w:rsidRPr="008A3A5D">
        <w:rPr>
          <w:rFonts w:ascii="Core Sans D 35 Regular" w:hAnsi="Core Sans D 35 Regular"/>
          <w:sz w:val="22"/>
          <w:szCs w:val="22"/>
        </w:rPr>
        <w:t xml:space="preserve"> first-hand the impact of making a cyber risk ecosystem available and accessible</w:t>
      </w:r>
      <w:r w:rsidR="00B21DB3">
        <w:rPr>
          <w:rFonts w:ascii="Core Sans D 35 Regular" w:hAnsi="Core Sans D 35 Regular"/>
          <w:sz w:val="22"/>
          <w:szCs w:val="22"/>
        </w:rPr>
        <w:t>. We do this</w:t>
      </w:r>
      <w:r w:rsidRPr="008A3A5D">
        <w:rPr>
          <w:rFonts w:ascii="Core Sans D 35 Regular" w:hAnsi="Core Sans D 35 Regular"/>
          <w:sz w:val="22"/>
          <w:szCs w:val="22"/>
        </w:rPr>
        <w:t xml:space="preserve"> across a Critical Infrastructure Sector in near real time, to include</w:t>
      </w:r>
      <w:r w:rsidR="00B21DB3">
        <w:rPr>
          <w:rFonts w:ascii="Core Sans D 35 Regular" w:hAnsi="Core Sans D 35 Regular"/>
          <w:sz w:val="22"/>
          <w:szCs w:val="22"/>
        </w:rPr>
        <w:t xml:space="preserve"> </w:t>
      </w:r>
      <w:r w:rsidRPr="008A3A5D">
        <w:rPr>
          <w:rFonts w:ascii="Core Sans D 35 Regular" w:hAnsi="Core Sans D 35 Regular"/>
          <w:sz w:val="22"/>
          <w:szCs w:val="22"/>
        </w:rPr>
        <w:t>risk monitoring, maturity, risk prioritization</w:t>
      </w:r>
      <w:r w:rsidR="00964155">
        <w:rPr>
          <w:rFonts w:ascii="Core Sans D 35 Regular" w:hAnsi="Core Sans D 35 Regular"/>
          <w:sz w:val="22"/>
          <w:szCs w:val="22"/>
        </w:rPr>
        <w:t>,</w:t>
      </w:r>
      <w:r w:rsidRPr="008A3A5D">
        <w:rPr>
          <w:rFonts w:ascii="Core Sans D 35 Regular" w:hAnsi="Core Sans D 35 Regular"/>
          <w:sz w:val="22"/>
          <w:szCs w:val="22"/>
        </w:rPr>
        <w:t xml:space="preserve"> and Blue Teaming with mapping to vetted and proven solution options. </w:t>
      </w:r>
      <w:r w:rsidR="00B21DB3">
        <w:rPr>
          <w:rFonts w:ascii="Core Sans D 35 Regular" w:hAnsi="Core Sans D 35 Regular"/>
          <w:sz w:val="22"/>
          <w:szCs w:val="22"/>
        </w:rPr>
        <w:t>Using our</w:t>
      </w:r>
      <w:r w:rsidRPr="008A3A5D">
        <w:rPr>
          <w:rFonts w:ascii="Core Sans D 35 Regular" w:hAnsi="Core Sans D 35 Regular"/>
          <w:sz w:val="22"/>
          <w:szCs w:val="22"/>
        </w:rPr>
        <w:t xml:space="preserve"> approach</w:t>
      </w:r>
      <w:r w:rsidR="00B21DB3">
        <w:rPr>
          <w:rFonts w:ascii="Core Sans D 35 Regular" w:hAnsi="Core Sans D 35 Regular"/>
          <w:sz w:val="22"/>
          <w:szCs w:val="22"/>
        </w:rPr>
        <w:t>,</w:t>
      </w:r>
      <w:r w:rsidRPr="008A3A5D">
        <w:rPr>
          <w:rFonts w:ascii="Core Sans D 35 Regular" w:hAnsi="Core Sans D 35 Regular"/>
          <w:sz w:val="22"/>
          <w:szCs w:val="22"/>
        </w:rPr>
        <w:t xml:space="preserve"> all IT/Cyber Suppliers/Vendors/Contractors are vetted and enabled to be CMMC compliant, and all software solutions are vetted, </w:t>
      </w:r>
      <w:r w:rsidR="00F52A55" w:rsidRPr="008A3A5D">
        <w:rPr>
          <w:rFonts w:ascii="Core Sans D 35 Regular" w:hAnsi="Core Sans D 35 Regular"/>
          <w:sz w:val="22"/>
          <w:szCs w:val="22"/>
        </w:rPr>
        <w:t>tested,</w:t>
      </w:r>
      <w:r w:rsidRPr="008A3A5D">
        <w:rPr>
          <w:rFonts w:ascii="Core Sans D 35 Regular" w:hAnsi="Core Sans D 35 Regular"/>
          <w:sz w:val="22"/>
          <w:szCs w:val="22"/>
        </w:rPr>
        <w:t xml:space="preserve"> and monitored continuously, providing secure software and hardware asset management and resilience at scale. </w:t>
      </w:r>
      <w:r w:rsidR="00B21DB3">
        <w:rPr>
          <w:rFonts w:ascii="Core Sans D 35 Regular" w:hAnsi="Core Sans D 35 Regular"/>
          <w:sz w:val="22"/>
          <w:szCs w:val="22"/>
        </w:rPr>
        <w:t>Our solution</w:t>
      </w:r>
      <w:r w:rsidRPr="008A3A5D">
        <w:rPr>
          <w:rFonts w:ascii="Core Sans D 35 Regular" w:hAnsi="Core Sans D 35 Regular"/>
          <w:sz w:val="22"/>
          <w:szCs w:val="22"/>
        </w:rPr>
        <w:t xml:space="preserve"> drives the State, Local</w:t>
      </w:r>
      <w:r w:rsidR="00B21DB3">
        <w:rPr>
          <w:rFonts w:ascii="Core Sans D 35 Regular" w:hAnsi="Core Sans D 35 Regular"/>
          <w:sz w:val="22"/>
          <w:szCs w:val="22"/>
        </w:rPr>
        <w:t>,</w:t>
      </w:r>
      <w:r w:rsidRPr="008A3A5D">
        <w:rPr>
          <w:rFonts w:ascii="Core Sans D 35 Regular" w:hAnsi="Core Sans D 35 Regular"/>
          <w:sz w:val="22"/>
          <w:szCs w:val="22"/>
        </w:rPr>
        <w:t xml:space="preserve"> and Tribal Energy Entities beyond A</w:t>
      </w:r>
      <w:r w:rsidR="00B21DB3">
        <w:rPr>
          <w:rFonts w:ascii="Core Sans D 35 Regular" w:hAnsi="Core Sans D 35 Regular"/>
          <w:sz w:val="22"/>
          <w:szCs w:val="22"/>
        </w:rPr>
        <w:t>uthority to Operate (</w:t>
      </w:r>
      <w:r w:rsidR="007A142C">
        <w:rPr>
          <w:rFonts w:ascii="Core Sans D 35 Regular" w:hAnsi="Core Sans D 35 Regular"/>
          <w:sz w:val="22"/>
          <w:szCs w:val="22"/>
        </w:rPr>
        <w:t>A</w:t>
      </w:r>
      <w:r w:rsidRPr="008A3A5D">
        <w:rPr>
          <w:rFonts w:ascii="Core Sans D 35 Regular" w:hAnsi="Core Sans D 35 Regular"/>
          <w:sz w:val="22"/>
          <w:szCs w:val="22"/>
        </w:rPr>
        <w:t>TO</w:t>
      </w:r>
      <w:r w:rsidR="007A142C">
        <w:rPr>
          <w:rFonts w:ascii="Core Sans D 35 Regular" w:hAnsi="Core Sans D 35 Regular"/>
          <w:sz w:val="22"/>
          <w:szCs w:val="22"/>
        </w:rPr>
        <w:t>)</w:t>
      </w:r>
      <w:r w:rsidRPr="008A3A5D">
        <w:rPr>
          <w:rFonts w:ascii="Core Sans D 35 Regular" w:hAnsi="Core Sans D 35 Regular"/>
          <w:sz w:val="22"/>
          <w:szCs w:val="22"/>
        </w:rPr>
        <w:t>/</w:t>
      </w:r>
      <w:r w:rsidR="007A142C">
        <w:rPr>
          <w:rFonts w:ascii="Core Sans D 35 Regular" w:hAnsi="Core Sans D 35 Regular"/>
          <w:sz w:val="22"/>
          <w:szCs w:val="22"/>
        </w:rPr>
        <w:t>Authority to Proceed (</w:t>
      </w:r>
      <w:r w:rsidRPr="008A3A5D">
        <w:rPr>
          <w:rFonts w:ascii="Core Sans D 35 Regular" w:hAnsi="Core Sans D 35 Regular"/>
          <w:sz w:val="22"/>
          <w:szCs w:val="22"/>
        </w:rPr>
        <w:t>ATP</w:t>
      </w:r>
      <w:r w:rsidR="007A142C">
        <w:rPr>
          <w:rFonts w:ascii="Core Sans D 35 Regular" w:hAnsi="Core Sans D 35 Regular"/>
          <w:sz w:val="22"/>
          <w:szCs w:val="22"/>
        </w:rPr>
        <w:t>)</w:t>
      </w:r>
      <w:r w:rsidRPr="008A3A5D">
        <w:rPr>
          <w:rFonts w:ascii="Core Sans D 35 Regular" w:hAnsi="Core Sans D 35 Regular"/>
          <w:sz w:val="22"/>
          <w:szCs w:val="22"/>
        </w:rPr>
        <w:t xml:space="preserve"> and incorporates </w:t>
      </w:r>
      <w:r w:rsidR="007A142C">
        <w:rPr>
          <w:rFonts w:ascii="Core Sans D 35 Regular" w:hAnsi="Core Sans D 35 Regular"/>
          <w:sz w:val="22"/>
          <w:szCs w:val="22"/>
        </w:rPr>
        <w:t>Cyber Supply Chain Risk Management (</w:t>
      </w:r>
      <w:r w:rsidRPr="008A3A5D">
        <w:rPr>
          <w:rFonts w:ascii="Core Sans D 35 Regular" w:hAnsi="Core Sans D 35 Regular"/>
          <w:sz w:val="22"/>
          <w:szCs w:val="22"/>
        </w:rPr>
        <w:t>C</w:t>
      </w:r>
      <w:r w:rsidR="007A142C">
        <w:rPr>
          <w:rFonts w:ascii="Core Sans D 35 Regular" w:hAnsi="Core Sans D 35 Regular"/>
          <w:sz w:val="22"/>
          <w:szCs w:val="22"/>
        </w:rPr>
        <w:t>-</w:t>
      </w:r>
      <w:r w:rsidRPr="008A3A5D">
        <w:rPr>
          <w:rFonts w:ascii="Core Sans D 35 Regular" w:hAnsi="Core Sans D 35 Regular"/>
          <w:sz w:val="22"/>
          <w:szCs w:val="22"/>
        </w:rPr>
        <w:t>SCRM</w:t>
      </w:r>
      <w:r w:rsidR="007A142C">
        <w:rPr>
          <w:rFonts w:ascii="Core Sans D 35 Regular" w:hAnsi="Core Sans D 35 Regular"/>
          <w:sz w:val="22"/>
          <w:szCs w:val="22"/>
        </w:rPr>
        <w:t>)</w:t>
      </w:r>
      <w:r w:rsidRPr="008A3A5D">
        <w:rPr>
          <w:rFonts w:ascii="Core Sans D 35 Regular" w:hAnsi="Core Sans D 35 Regular"/>
          <w:sz w:val="22"/>
          <w:szCs w:val="22"/>
        </w:rPr>
        <w:t>.</w:t>
      </w:r>
    </w:p>
    <w:p w14:paraId="7885A27E" w14:textId="77777777" w:rsidR="00B33D97" w:rsidRPr="008A3A5D" w:rsidRDefault="00B33D97" w:rsidP="00B4337F">
      <w:pPr>
        <w:spacing w:after="360"/>
        <w:ind w:left="-446"/>
        <w:contextualSpacing/>
        <w:textAlignment w:val="baseline"/>
        <w:rPr>
          <w:rFonts w:ascii="Core Sans D 35 Regular" w:eastAsia="Times New Roman" w:hAnsi="Core Sans D 35 Regular" w:cs="Times New Roman"/>
          <w:color w:val="333333"/>
          <w:sz w:val="22"/>
          <w:szCs w:val="22"/>
        </w:rPr>
      </w:pPr>
    </w:p>
    <w:p w14:paraId="3AF485E5" w14:textId="14B4D615" w:rsidR="002E43A6" w:rsidRPr="008A3A5D" w:rsidRDefault="00BF6E7D" w:rsidP="00B4337F">
      <w:pPr>
        <w:spacing w:after="360"/>
        <w:ind w:left="-446"/>
        <w:contextualSpacing/>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b/>
          <w:bCs/>
          <w:color w:val="333333"/>
          <w:sz w:val="22"/>
          <w:szCs w:val="22"/>
        </w:rPr>
        <w:t>A</w:t>
      </w:r>
      <w:r w:rsidR="001B1A84" w:rsidRPr="008A3A5D">
        <w:rPr>
          <w:rFonts w:ascii="Core Sans D 35 Regular" w:eastAsia="Times New Roman" w:hAnsi="Core Sans D 35 Regular" w:cs="Times New Roman"/>
          <w:b/>
          <w:bCs/>
          <w:color w:val="333333"/>
          <w:sz w:val="22"/>
          <w:szCs w:val="22"/>
        </w:rPr>
        <w:t>2.</w:t>
      </w:r>
      <w:r w:rsidR="001B1A84" w:rsidRPr="008A3A5D">
        <w:rPr>
          <w:rFonts w:ascii="Core Sans D 35 Regular" w:eastAsia="Times New Roman" w:hAnsi="Core Sans D 35 Regular" w:cs="Times New Roman"/>
          <w:color w:val="333333"/>
          <w:sz w:val="22"/>
          <w:szCs w:val="22"/>
        </w:rPr>
        <w:t xml:space="preserve"> What specific additional actions could be taken by regulators to address the security of critical electric infrastructure and the incorporation of criteria for evaluating foreign ownership, control, and influence into supply chain risk management, and how can the Department of Energy best inform those actions?</w:t>
      </w:r>
      <w:r w:rsidR="00594698" w:rsidRPr="008A3A5D">
        <w:rPr>
          <w:rFonts w:ascii="Core Sans D 35 Regular" w:eastAsia="Times New Roman" w:hAnsi="Core Sans D 35 Regular" w:cs="Times New Roman"/>
          <w:color w:val="333333"/>
          <w:sz w:val="22"/>
          <w:szCs w:val="22"/>
        </w:rPr>
        <w:t xml:space="preserve">  </w:t>
      </w:r>
    </w:p>
    <w:p w14:paraId="05C17124" w14:textId="77777777" w:rsidR="00B4337F" w:rsidRPr="008A3A5D" w:rsidRDefault="00B4337F" w:rsidP="00B4337F">
      <w:pPr>
        <w:spacing w:after="360"/>
        <w:ind w:left="-446"/>
        <w:contextualSpacing/>
        <w:textAlignment w:val="baseline"/>
        <w:rPr>
          <w:rFonts w:ascii="Core Sans D 35 Regular" w:eastAsia="Times New Roman" w:hAnsi="Core Sans D 35 Regular" w:cs="Times New Roman"/>
          <w:color w:val="333333"/>
          <w:sz w:val="22"/>
          <w:szCs w:val="22"/>
        </w:rPr>
      </w:pPr>
    </w:p>
    <w:p w14:paraId="0ABEB8D9" w14:textId="548C7977" w:rsidR="001B1A84" w:rsidRPr="008A3A5D" w:rsidRDefault="007A142C" w:rsidP="006D6F6D">
      <w:pPr>
        <w:spacing w:after="360"/>
        <w:ind w:left="-446"/>
        <w:contextualSpacing/>
        <w:textAlignment w:val="baseline"/>
        <w:rPr>
          <w:rFonts w:ascii="Core Sans D 35 Regular" w:eastAsia="Times New Roman" w:hAnsi="Core Sans D 35 Regular" w:cs="Times New Roman"/>
          <w:color w:val="333333"/>
          <w:sz w:val="22"/>
          <w:szCs w:val="22"/>
        </w:rPr>
      </w:pPr>
      <w:r>
        <w:rPr>
          <w:rFonts w:ascii="Core Sans D 35 Regular" w:eastAsia="Times New Roman" w:hAnsi="Core Sans D 35 Regular" w:cs="Times New Roman"/>
          <w:color w:val="333333"/>
          <w:sz w:val="22"/>
          <w:szCs w:val="22"/>
        </w:rPr>
        <w:t xml:space="preserve">This critical Energy Sector need can be cost effectively met at scale </w:t>
      </w:r>
      <w:r w:rsidR="00594698" w:rsidRPr="008A3A5D">
        <w:rPr>
          <w:rFonts w:ascii="Core Sans D 35 Regular" w:eastAsia="Times New Roman" w:hAnsi="Core Sans D 35 Regular" w:cs="Times New Roman"/>
          <w:color w:val="333333"/>
          <w:sz w:val="22"/>
          <w:szCs w:val="22"/>
        </w:rPr>
        <w:t>by establishing an accessible C-SCRM Service of Common Concern, available to all via next generation C-SCRM platform</w:t>
      </w:r>
      <w:r>
        <w:rPr>
          <w:rFonts w:ascii="Core Sans D 35 Regular" w:eastAsia="Times New Roman" w:hAnsi="Core Sans D 35 Regular" w:cs="Times New Roman"/>
          <w:color w:val="333333"/>
          <w:sz w:val="22"/>
          <w:szCs w:val="22"/>
        </w:rPr>
        <w:t>s</w:t>
      </w:r>
      <w:r w:rsidR="00594698" w:rsidRPr="008A3A5D">
        <w:rPr>
          <w:rFonts w:ascii="Core Sans D 35 Regular" w:eastAsia="Times New Roman" w:hAnsi="Core Sans D 35 Regular" w:cs="Times New Roman"/>
          <w:color w:val="333333"/>
          <w:sz w:val="22"/>
          <w:szCs w:val="22"/>
        </w:rPr>
        <w:t xml:space="preserve"> like </w:t>
      </w:r>
      <w:proofErr w:type="spellStart"/>
      <w:r>
        <w:rPr>
          <w:rFonts w:ascii="Core Sans D 35 Regular" w:eastAsia="Times New Roman" w:hAnsi="Core Sans D 35 Regular" w:cs="Times New Roman"/>
          <w:color w:val="333333"/>
          <w:sz w:val="22"/>
          <w:szCs w:val="22"/>
        </w:rPr>
        <w:t>WhiteHawk's</w:t>
      </w:r>
      <w:proofErr w:type="spellEnd"/>
      <w:r>
        <w:rPr>
          <w:rFonts w:ascii="Core Sans D 35 Regular" w:eastAsia="Times New Roman" w:hAnsi="Core Sans D 35 Regular" w:cs="Times New Roman"/>
          <w:color w:val="333333"/>
          <w:sz w:val="22"/>
          <w:szCs w:val="22"/>
        </w:rPr>
        <w:t xml:space="preserve"> </w:t>
      </w:r>
      <w:r w:rsidR="00594698" w:rsidRPr="008A3A5D">
        <w:rPr>
          <w:rFonts w:ascii="Core Sans D 35 Regular" w:eastAsia="Times New Roman" w:hAnsi="Core Sans D 35 Regular" w:cs="Times New Roman"/>
          <w:color w:val="333333"/>
          <w:sz w:val="22"/>
          <w:szCs w:val="22"/>
        </w:rPr>
        <w:t>Cyber Risk Radar</w:t>
      </w:r>
      <w:r>
        <w:rPr>
          <w:rFonts w:ascii="Core Sans D 35 Regular" w:eastAsia="Times New Roman" w:hAnsi="Core Sans D 35 Regular" w:cs="Times New Roman"/>
          <w:color w:val="333333"/>
          <w:sz w:val="22"/>
          <w:szCs w:val="22"/>
        </w:rPr>
        <w:t>. We provide details at</w:t>
      </w:r>
      <w:r w:rsidR="00594698" w:rsidRPr="008A3A5D">
        <w:rPr>
          <w:rFonts w:ascii="Core Sans D 35 Regular" w:eastAsia="Times New Roman" w:hAnsi="Core Sans D 35 Regular" w:cs="Times New Roman"/>
          <w:color w:val="333333"/>
          <w:sz w:val="22"/>
          <w:szCs w:val="22"/>
        </w:rPr>
        <w:t xml:space="preserve">  </w:t>
      </w:r>
      <w:hyperlink r:id="rId10" w:history="1">
        <w:r w:rsidR="00594698" w:rsidRPr="008A3A5D">
          <w:rPr>
            <w:rStyle w:val="Hyperlink"/>
            <w:rFonts w:ascii="Core Sans D 35 Regular" w:eastAsia="Times New Roman" w:hAnsi="Core Sans D 35 Regular" w:cs="Times New Roman"/>
            <w:sz w:val="22"/>
            <w:szCs w:val="22"/>
          </w:rPr>
          <w:t>https://www.whitehawk.com/cyber-risk-radar</w:t>
        </w:r>
      </w:hyperlink>
      <w:r>
        <w:rPr>
          <w:rStyle w:val="Hyperlink"/>
          <w:rFonts w:ascii="Core Sans D 35 Regular" w:eastAsia="Times New Roman" w:hAnsi="Core Sans D 35 Regular" w:cs="Times New Roman"/>
          <w:sz w:val="22"/>
          <w:szCs w:val="22"/>
        </w:rPr>
        <w:t>.</w:t>
      </w:r>
      <w:r w:rsidR="00594698" w:rsidRPr="008A3A5D">
        <w:rPr>
          <w:rFonts w:ascii="Core Sans D 35 Regular" w:eastAsia="Times New Roman" w:hAnsi="Core Sans D 35 Regular" w:cs="Times New Roman"/>
          <w:color w:val="333333"/>
          <w:sz w:val="22"/>
          <w:szCs w:val="22"/>
        </w:rPr>
        <w:t xml:space="preserve">  </w:t>
      </w:r>
    </w:p>
    <w:p w14:paraId="5D064815" w14:textId="77777777" w:rsidR="006D6F6D" w:rsidRPr="008A3A5D" w:rsidRDefault="006D6F6D" w:rsidP="006D6F6D">
      <w:pPr>
        <w:spacing w:after="360"/>
        <w:ind w:left="-450"/>
        <w:contextualSpacing/>
        <w:textAlignment w:val="baseline"/>
        <w:rPr>
          <w:rFonts w:ascii="Core Sans D 35 Regular" w:eastAsia="Times New Roman" w:hAnsi="Core Sans D 35 Regular" w:cs="Times New Roman"/>
          <w:b/>
          <w:bCs/>
          <w:color w:val="333333"/>
          <w:sz w:val="22"/>
          <w:szCs w:val="22"/>
        </w:rPr>
      </w:pPr>
    </w:p>
    <w:p w14:paraId="33D0F236" w14:textId="2C1CAA4A" w:rsidR="008E1326" w:rsidRDefault="00BF6E7D" w:rsidP="006D6F6D">
      <w:pPr>
        <w:spacing w:after="360"/>
        <w:ind w:left="-450"/>
        <w:contextualSpacing/>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b/>
          <w:bCs/>
          <w:color w:val="333333"/>
          <w:sz w:val="22"/>
          <w:szCs w:val="22"/>
        </w:rPr>
        <w:lastRenderedPageBreak/>
        <w:t>A</w:t>
      </w:r>
      <w:r w:rsidR="001B1A84" w:rsidRPr="008A3A5D">
        <w:rPr>
          <w:rFonts w:ascii="Core Sans D 35 Regular" w:eastAsia="Times New Roman" w:hAnsi="Core Sans D 35 Regular" w:cs="Times New Roman"/>
          <w:b/>
          <w:bCs/>
          <w:color w:val="333333"/>
          <w:sz w:val="22"/>
          <w:szCs w:val="22"/>
        </w:rPr>
        <w:t>3</w:t>
      </w:r>
      <w:r w:rsidR="001B1A84" w:rsidRPr="008A3A5D">
        <w:rPr>
          <w:rFonts w:ascii="Core Sans D 35 Regular" w:eastAsia="Times New Roman" w:hAnsi="Core Sans D 35 Regular" w:cs="Times New Roman"/>
          <w:color w:val="333333"/>
          <w:sz w:val="22"/>
          <w:szCs w:val="22"/>
        </w:rPr>
        <w:t xml:space="preserve">. What actions can the Department take to facilitate responsible and effective procurement practices by the private sector? </w:t>
      </w:r>
    </w:p>
    <w:p w14:paraId="733B3237" w14:textId="77777777" w:rsidR="007A142C" w:rsidRPr="008A3A5D" w:rsidRDefault="007A142C" w:rsidP="006D6F6D">
      <w:pPr>
        <w:spacing w:after="360"/>
        <w:ind w:left="-450"/>
        <w:contextualSpacing/>
        <w:textAlignment w:val="baseline"/>
        <w:rPr>
          <w:rFonts w:ascii="Core Sans D 35 Regular" w:eastAsia="Times New Roman" w:hAnsi="Core Sans D 35 Regular" w:cs="Times New Roman"/>
          <w:color w:val="333333"/>
          <w:sz w:val="22"/>
          <w:szCs w:val="22"/>
        </w:rPr>
      </w:pPr>
    </w:p>
    <w:p w14:paraId="51C61819" w14:textId="1C9BBA90" w:rsidR="001B1A84" w:rsidRPr="008A3A5D" w:rsidRDefault="00594698" w:rsidP="00143C8D">
      <w:pPr>
        <w:spacing w:after="360"/>
        <w:ind w:left="-450"/>
        <w:contextualSpacing/>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color w:val="333333"/>
          <w:sz w:val="22"/>
          <w:szCs w:val="22"/>
        </w:rPr>
        <w:t>Continuous vetting of next generation, OT/ICS/IT/Cyber technologies and making them available via an open Energy Sector online Marketplace can drive performance, assurance</w:t>
      </w:r>
      <w:r w:rsidR="007A142C">
        <w:rPr>
          <w:rFonts w:ascii="Core Sans D 35 Regular" w:eastAsia="Times New Roman" w:hAnsi="Core Sans D 35 Regular" w:cs="Times New Roman"/>
          <w:color w:val="333333"/>
          <w:sz w:val="22"/>
          <w:szCs w:val="22"/>
        </w:rPr>
        <w:t>,</w:t>
      </w:r>
      <w:r w:rsidRPr="008A3A5D">
        <w:rPr>
          <w:rFonts w:ascii="Core Sans D 35 Regular" w:eastAsia="Times New Roman" w:hAnsi="Core Sans D 35 Regular" w:cs="Times New Roman"/>
          <w:color w:val="333333"/>
          <w:sz w:val="22"/>
          <w:szCs w:val="22"/>
        </w:rPr>
        <w:t xml:space="preserve"> and resilience excellence.  </w:t>
      </w:r>
      <w:r w:rsidR="007A142C">
        <w:rPr>
          <w:rFonts w:ascii="Core Sans D 35 Regular" w:eastAsia="Times New Roman" w:hAnsi="Core Sans D 35 Regular" w:cs="Times New Roman"/>
          <w:color w:val="333333"/>
          <w:sz w:val="22"/>
          <w:szCs w:val="22"/>
        </w:rPr>
        <w:t>We include an example at</w:t>
      </w:r>
      <w:r w:rsidR="002C47FB" w:rsidRPr="008A3A5D">
        <w:rPr>
          <w:rFonts w:ascii="Core Sans D 35 Regular" w:eastAsia="Times New Roman" w:hAnsi="Core Sans D 35 Regular" w:cs="Times New Roman"/>
          <w:color w:val="333333"/>
          <w:sz w:val="22"/>
          <w:szCs w:val="22"/>
        </w:rPr>
        <w:t xml:space="preserve">  </w:t>
      </w:r>
      <w:hyperlink r:id="rId11" w:history="1">
        <w:r w:rsidR="002C47FB" w:rsidRPr="008A3A5D">
          <w:rPr>
            <w:rStyle w:val="Hyperlink"/>
            <w:rFonts w:ascii="Core Sans D 35 Regular" w:eastAsia="Times New Roman" w:hAnsi="Core Sans D 35 Regular" w:cs="Times New Roman"/>
            <w:sz w:val="22"/>
            <w:szCs w:val="22"/>
          </w:rPr>
          <w:t>https://www.whitehawk.com/innovative-vendors</w:t>
        </w:r>
      </w:hyperlink>
      <w:r w:rsidR="002C47FB" w:rsidRPr="008A3A5D">
        <w:rPr>
          <w:rFonts w:ascii="Core Sans D 35 Regular" w:eastAsia="Times New Roman" w:hAnsi="Core Sans D 35 Regular" w:cs="Times New Roman"/>
          <w:color w:val="333333"/>
          <w:sz w:val="22"/>
          <w:szCs w:val="22"/>
        </w:rPr>
        <w:t xml:space="preserve"> which could be run by an Energy Sector non-profit</w:t>
      </w:r>
      <w:r w:rsidR="00143C8D">
        <w:rPr>
          <w:rFonts w:ascii="Core Sans D 35 Regular" w:eastAsia="Times New Roman" w:hAnsi="Core Sans D 35 Regular" w:cs="Times New Roman"/>
          <w:color w:val="333333"/>
          <w:sz w:val="22"/>
          <w:szCs w:val="22"/>
        </w:rPr>
        <w:t xml:space="preserve">, </w:t>
      </w:r>
      <w:r w:rsidR="00964155">
        <w:rPr>
          <w:rFonts w:ascii="Core Sans D 35 Regular" w:eastAsia="Times New Roman" w:hAnsi="Core Sans D 35 Regular" w:cs="Times New Roman"/>
          <w:color w:val="333333"/>
          <w:sz w:val="22"/>
          <w:szCs w:val="22"/>
        </w:rPr>
        <w:t xml:space="preserve">a </w:t>
      </w:r>
      <w:r w:rsidR="002C47FB" w:rsidRPr="008A3A5D">
        <w:rPr>
          <w:rFonts w:ascii="Core Sans D 35 Regular" w:eastAsia="Times New Roman" w:hAnsi="Core Sans D 35 Regular" w:cs="Times New Roman"/>
          <w:color w:val="333333"/>
          <w:sz w:val="22"/>
          <w:szCs w:val="22"/>
        </w:rPr>
        <w:t xml:space="preserve"> F</w:t>
      </w:r>
      <w:r w:rsidR="007A142C">
        <w:rPr>
          <w:rFonts w:ascii="Core Sans D 35 Regular" w:eastAsia="Times New Roman" w:hAnsi="Core Sans D 35 Regular" w:cs="Times New Roman"/>
          <w:color w:val="333333"/>
          <w:sz w:val="22"/>
          <w:szCs w:val="22"/>
        </w:rPr>
        <w:t>ederally Funded Research and Development Center (F</w:t>
      </w:r>
      <w:r w:rsidR="002C47FB" w:rsidRPr="008A3A5D">
        <w:rPr>
          <w:rFonts w:ascii="Core Sans D 35 Regular" w:eastAsia="Times New Roman" w:hAnsi="Core Sans D 35 Regular" w:cs="Times New Roman"/>
          <w:color w:val="333333"/>
          <w:sz w:val="22"/>
          <w:szCs w:val="22"/>
        </w:rPr>
        <w:t>FRDC</w:t>
      </w:r>
      <w:r w:rsidR="007A142C">
        <w:rPr>
          <w:rFonts w:ascii="Core Sans D 35 Regular" w:eastAsia="Times New Roman" w:hAnsi="Core Sans D 35 Regular" w:cs="Times New Roman"/>
          <w:color w:val="333333"/>
          <w:sz w:val="22"/>
          <w:szCs w:val="22"/>
        </w:rPr>
        <w:t>)</w:t>
      </w:r>
      <w:r w:rsidR="00C66FC4">
        <w:rPr>
          <w:rFonts w:ascii="Core Sans D 35 Regular" w:eastAsia="Times New Roman" w:hAnsi="Core Sans D 35 Regular" w:cs="Times New Roman"/>
          <w:color w:val="333333"/>
          <w:sz w:val="22"/>
          <w:szCs w:val="22"/>
        </w:rPr>
        <w:t>,</w:t>
      </w:r>
      <w:r w:rsidR="002C47FB" w:rsidRPr="008A3A5D">
        <w:rPr>
          <w:rFonts w:ascii="Core Sans D 35 Regular" w:eastAsia="Times New Roman" w:hAnsi="Core Sans D 35 Regular" w:cs="Times New Roman"/>
          <w:color w:val="333333"/>
          <w:sz w:val="22"/>
          <w:szCs w:val="22"/>
        </w:rPr>
        <w:t xml:space="preserve"> or </w:t>
      </w:r>
      <w:r w:rsidR="00964155">
        <w:rPr>
          <w:rFonts w:ascii="Core Sans D 35 Regular" w:eastAsia="Times New Roman" w:hAnsi="Core Sans D 35 Regular" w:cs="Times New Roman"/>
          <w:color w:val="333333"/>
          <w:sz w:val="22"/>
          <w:szCs w:val="22"/>
        </w:rPr>
        <w:t xml:space="preserve">a </w:t>
      </w:r>
      <w:r w:rsidR="007A142C">
        <w:rPr>
          <w:rFonts w:ascii="Core Sans D 35 Regular" w:eastAsia="Times New Roman" w:hAnsi="Core Sans D 35 Regular" w:cs="Times New Roman"/>
          <w:color w:val="333333"/>
          <w:sz w:val="22"/>
          <w:szCs w:val="22"/>
        </w:rPr>
        <w:t>University Affiliated Research Center (</w:t>
      </w:r>
      <w:r w:rsidR="002C47FB" w:rsidRPr="008A3A5D">
        <w:rPr>
          <w:rFonts w:ascii="Core Sans D 35 Regular" w:eastAsia="Times New Roman" w:hAnsi="Core Sans D 35 Regular" w:cs="Times New Roman"/>
          <w:color w:val="333333"/>
          <w:sz w:val="22"/>
          <w:szCs w:val="22"/>
        </w:rPr>
        <w:t>UARC</w:t>
      </w:r>
      <w:r w:rsidR="007A142C">
        <w:rPr>
          <w:rFonts w:ascii="Core Sans D 35 Regular" w:eastAsia="Times New Roman" w:hAnsi="Core Sans D 35 Regular" w:cs="Times New Roman"/>
          <w:color w:val="333333"/>
          <w:sz w:val="22"/>
          <w:szCs w:val="22"/>
        </w:rPr>
        <w:t>)</w:t>
      </w:r>
      <w:r w:rsidR="002C47FB" w:rsidRPr="008A3A5D">
        <w:rPr>
          <w:rFonts w:ascii="Core Sans D 35 Regular" w:eastAsia="Times New Roman" w:hAnsi="Core Sans D 35 Regular" w:cs="Times New Roman"/>
          <w:color w:val="333333"/>
          <w:sz w:val="22"/>
          <w:szCs w:val="22"/>
        </w:rPr>
        <w:t xml:space="preserve">.  </w:t>
      </w:r>
      <w:r w:rsidR="001B1A84" w:rsidRPr="008A3A5D">
        <w:rPr>
          <w:rFonts w:ascii="Core Sans D 35 Regular" w:eastAsia="Times New Roman" w:hAnsi="Core Sans D 35 Regular" w:cs="Times New Roman"/>
          <w:color w:val="333333"/>
          <w:sz w:val="22"/>
          <w:szCs w:val="22"/>
        </w:rPr>
        <w:t>What are the potential costs and benefits of those actions?</w:t>
      </w:r>
      <w:r w:rsidR="002C47FB" w:rsidRPr="008A3A5D">
        <w:rPr>
          <w:rFonts w:ascii="Core Sans D 35 Regular" w:eastAsia="Times New Roman" w:hAnsi="Core Sans D 35 Regular" w:cs="Times New Roman"/>
          <w:color w:val="333333"/>
          <w:sz w:val="22"/>
          <w:szCs w:val="22"/>
        </w:rPr>
        <w:t xml:space="preserve">  Vice having all Public Entities or Private Companies doing the vetting, te</w:t>
      </w:r>
      <w:r w:rsidR="005F251C" w:rsidRPr="008A3A5D">
        <w:rPr>
          <w:rFonts w:ascii="Core Sans D 35 Regular" w:eastAsia="Times New Roman" w:hAnsi="Core Sans D 35 Regular" w:cs="Times New Roman"/>
          <w:color w:val="333333"/>
          <w:sz w:val="22"/>
          <w:szCs w:val="22"/>
        </w:rPr>
        <w:t>s</w:t>
      </w:r>
      <w:r w:rsidR="002C47FB" w:rsidRPr="008A3A5D">
        <w:rPr>
          <w:rFonts w:ascii="Core Sans D 35 Regular" w:eastAsia="Times New Roman" w:hAnsi="Core Sans D 35 Regular" w:cs="Times New Roman"/>
          <w:color w:val="333333"/>
          <w:sz w:val="22"/>
          <w:szCs w:val="22"/>
        </w:rPr>
        <w:t>ting</w:t>
      </w:r>
      <w:r w:rsidR="00C66FC4">
        <w:rPr>
          <w:rFonts w:ascii="Core Sans D 35 Regular" w:eastAsia="Times New Roman" w:hAnsi="Core Sans D 35 Regular" w:cs="Times New Roman"/>
          <w:color w:val="333333"/>
          <w:sz w:val="22"/>
          <w:szCs w:val="22"/>
        </w:rPr>
        <w:t>,</w:t>
      </w:r>
      <w:r w:rsidR="002C47FB" w:rsidRPr="008A3A5D">
        <w:rPr>
          <w:rFonts w:ascii="Core Sans D 35 Regular" w:eastAsia="Times New Roman" w:hAnsi="Core Sans D 35 Regular" w:cs="Times New Roman"/>
          <w:color w:val="333333"/>
          <w:sz w:val="22"/>
          <w:szCs w:val="22"/>
        </w:rPr>
        <w:t xml:space="preserve"> and assessments individually, a consortium approach that is openly made available via an Energy Sector wide online Marketplace</w:t>
      </w:r>
      <w:r w:rsidR="00C66FC4">
        <w:rPr>
          <w:rFonts w:ascii="Core Sans D 35 Regular" w:eastAsia="Times New Roman" w:hAnsi="Core Sans D 35 Regular" w:cs="Times New Roman"/>
          <w:color w:val="333333"/>
          <w:sz w:val="22"/>
          <w:szCs w:val="22"/>
        </w:rPr>
        <w:t>, for example</w:t>
      </w:r>
      <w:r w:rsidR="002C47FB" w:rsidRPr="008A3A5D">
        <w:rPr>
          <w:rFonts w:ascii="Core Sans D 35 Regular" w:eastAsia="Times New Roman" w:hAnsi="Core Sans D 35 Regular" w:cs="Times New Roman"/>
          <w:color w:val="333333"/>
          <w:sz w:val="22"/>
          <w:szCs w:val="22"/>
        </w:rPr>
        <w:t xml:space="preserve">  </w:t>
      </w:r>
      <w:hyperlink r:id="rId12" w:history="1">
        <w:r w:rsidR="002C47FB" w:rsidRPr="008A3A5D">
          <w:rPr>
            <w:rStyle w:val="Hyperlink"/>
            <w:rFonts w:ascii="Core Sans D 35 Regular" w:eastAsia="Times New Roman" w:hAnsi="Core Sans D 35 Regular" w:cs="Times New Roman"/>
            <w:sz w:val="22"/>
            <w:szCs w:val="22"/>
          </w:rPr>
          <w:t>https://www.whitehawk.com/marketplace/products</w:t>
        </w:r>
      </w:hyperlink>
      <w:r w:rsidR="00C66FC4">
        <w:rPr>
          <w:rFonts w:ascii="Core Sans D 35 Regular" w:eastAsia="Times New Roman" w:hAnsi="Core Sans D 35 Regular" w:cs="Times New Roman"/>
          <w:color w:val="333333"/>
          <w:sz w:val="22"/>
          <w:szCs w:val="22"/>
        </w:rPr>
        <w:t>,</w:t>
      </w:r>
      <w:r w:rsidR="002C47FB" w:rsidRPr="008A3A5D">
        <w:rPr>
          <w:rFonts w:ascii="Core Sans D 35 Regular" w:eastAsia="Times New Roman" w:hAnsi="Core Sans D 35 Regular" w:cs="Times New Roman"/>
          <w:color w:val="333333"/>
          <w:sz w:val="22"/>
          <w:szCs w:val="22"/>
        </w:rPr>
        <w:t xml:space="preserve"> saves the entire Energy Sector Industry duplicative efforts and tens of millions of dollars annually.</w:t>
      </w:r>
    </w:p>
    <w:p w14:paraId="3D7F3F9F" w14:textId="77777777" w:rsidR="008E1326" w:rsidRDefault="008E1326" w:rsidP="00B4337F">
      <w:pPr>
        <w:spacing w:after="360"/>
        <w:ind w:left="-450"/>
        <w:textAlignment w:val="baseline"/>
        <w:rPr>
          <w:rFonts w:ascii="Core Sans D 35 Regular" w:eastAsia="Times New Roman" w:hAnsi="Core Sans D 35 Regular" w:cs="Times New Roman"/>
          <w:color w:val="333333"/>
          <w:sz w:val="22"/>
          <w:szCs w:val="22"/>
        </w:rPr>
      </w:pPr>
    </w:p>
    <w:p w14:paraId="7ECCC4AB" w14:textId="77777777" w:rsidR="00143C8D" w:rsidRDefault="003361F7" w:rsidP="00143C8D">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color w:val="333333"/>
          <w:sz w:val="22"/>
          <w:szCs w:val="22"/>
        </w:rPr>
        <w:t xml:space="preserve">All of the below questions could be </w:t>
      </w:r>
      <w:r w:rsidR="004052F4" w:rsidRPr="008A3A5D">
        <w:rPr>
          <w:rFonts w:ascii="Core Sans D 35 Regular" w:eastAsia="Times New Roman" w:hAnsi="Core Sans D 35 Regular" w:cs="Times New Roman"/>
          <w:color w:val="333333"/>
          <w:sz w:val="22"/>
          <w:szCs w:val="22"/>
        </w:rPr>
        <w:t xml:space="preserve">continuously and seamlessly </w:t>
      </w:r>
      <w:r w:rsidRPr="008A3A5D">
        <w:rPr>
          <w:rFonts w:ascii="Core Sans D 35 Regular" w:eastAsia="Times New Roman" w:hAnsi="Core Sans D 35 Regular" w:cs="Times New Roman"/>
          <w:color w:val="333333"/>
          <w:sz w:val="22"/>
          <w:szCs w:val="22"/>
        </w:rPr>
        <w:t>addressed with a “Service of Common Concern” approach to:</w:t>
      </w:r>
    </w:p>
    <w:p w14:paraId="2DAAC09E" w14:textId="77777777" w:rsidR="00143C8D" w:rsidRPr="00143C8D" w:rsidRDefault="004052F4" w:rsidP="00143C8D">
      <w:pPr>
        <w:pStyle w:val="ListParagraph"/>
        <w:numPr>
          <w:ilvl w:val="0"/>
          <w:numId w:val="23"/>
        </w:numPr>
        <w:spacing w:after="360"/>
        <w:textAlignment w:val="baseline"/>
        <w:rPr>
          <w:rFonts w:ascii="Core Sans D 35 Regular" w:eastAsia="Times New Roman" w:hAnsi="Core Sans D 35 Regular" w:cs="Times New Roman"/>
          <w:color w:val="333333"/>
          <w:sz w:val="22"/>
          <w:szCs w:val="22"/>
        </w:rPr>
      </w:pPr>
      <w:r w:rsidRPr="00143C8D">
        <w:rPr>
          <w:rFonts w:ascii="Core Sans D 35 Regular" w:eastAsia="Times New Roman" w:hAnsi="Core Sans D 35 Regular" w:cs="Times New Roman"/>
          <w:color w:val="333333"/>
          <w:sz w:val="22"/>
          <w:szCs w:val="22"/>
        </w:rPr>
        <w:t xml:space="preserve">U.S. Energy Sector Risk Management Framework - </w:t>
      </w:r>
      <w:r w:rsidR="003361F7" w:rsidRPr="00143C8D">
        <w:rPr>
          <w:rFonts w:ascii="Core Sans D 35 Regular" w:eastAsia="Times New Roman" w:hAnsi="Core Sans D 35 Regular" w:cs="Times New Roman"/>
          <w:color w:val="333333"/>
          <w:sz w:val="22"/>
          <w:szCs w:val="22"/>
        </w:rPr>
        <w:t xml:space="preserve">Outside-in, “Hacker View” OT/ICS/IT risk monitoring, alerting, trend analytics and automated Cyber Risk Baselines, Scorecards and Baselines as illustrated here: </w:t>
      </w:r>
      <w:r w:rsidR="003361F7" w:rsidRPr="00143C8D">
        <w:rPr>
          <w:rFonts w:ascii="Core Sans D 35 Regular" w:hAnsi="Core Sans D 35 Regular" w:cs="Calibri"/>
          <w:color w:val="000000"/>
          <w:sz w:val="22"/>
          <w:szCs w:val="22"/>
        </w:rPr>
        <w:t> </w:t>
      </w:r>
    </w:p>
    <w:p w14:paraId="28397190" w14:textId="146B3B7B" w:rsidR="003361F7" w:rsidRPr="00143C8D" w:rsidRDefault="003361F7" w:rsidP="00143C8D">
      <w:pPr>
        <w:pStyle w:val="ListParagraph"/>
        <w:numPr>
          <w:ilvl w:val="0"/>
          <w:numId w:val="23"/>
        </w:numPr>
        <w:spacing w:after="360"/>
        <w:textAlignment w:val="baseline"/>
        <w:rPr>
          <w:rFonts w:ascii="Core Sans D 35 Regular" w:eastAsia="Times New Roman" w:hAnsi="Core Sans D 35 Regular" w:cs="Times New Roman"/>
          <w:color w:val="333333"/>
          <w:sz w:val="22"/>
          <w:szCs w:val="22"/>
        </w:rPr>
      </w:pPr>
      <w:r w:rsidRPr="00143C8D">
        <w:rPr>
          <w:rFonts w:ascii="Core Sans D 35 Regular" w:hAnsi="Core Sans D 35 Regular" w:cs="Calibri"/>
          <w:color w:val="000000"/>
          <w:sz w:val="22"/>
          <w:szCs w:val="22"/>
        </w:rPr>
        <w:t> </w:t>
      </w:r>
      <w:hyperlink r:id="rId13" w:tooltip="Original URL: https://communications.whitehawk.com/WhiteHawk-products-services/Cyber-Risk-and-Vulnerability-Trend-Analysis-of-the-US-Energy-Sector.pdf  Click to follow link." w:history="1">
        <w:r w:rsidRPr="00143C8D">
          <w:rPr>
            <w:rStyle w:val="Hyperlink"/>
            <w:rFonts w:ascii="Core Sans D 35 Regular" w:hAnsi="Core Sans D 35 Regular" w:cs="Calibri"/>
            <w:color w:val="800080"/>
            <w:sz w:val="22"/>
            <w:szCs w:val="22"/>
          </w:rPr>
          <w:t>Cyber Risk and Vulnerability Trend Analysis of the U.S Energy Sector</w:t>
        </w:r>
      </w:hyperlink>
      <w:r w:rsidRPr="00143C8D">
        <w:rPr>
          <w:rFonts w:ascii="Core Sans D 35 Regular" w:hAnsi="Core Sans D 35 Regular" w:cs="Calibri"/>
          <w:color w:val="000000"/>
          <w:sz w:val="22"/>
          <w:szCs w:val="22"/>
        </w:rPr>
        <w:t xml:space="preserve"> and here:  </w:t>
      </w:r>
      <w:hyperlink r:id="rId14" w:history="1">
        <w:r w:rsidRPr="00143C8D">
          <w:rPr>
            <w:rStyle w:val="Hyperlink"/>
            <w:rFonts w:ascii="Core Sans D 35 Regular" w:hAnsi="Core Sans D 35 Regular" w:cs="Calibri"/>
            <w:sz w:val="22"/>
            <w:szCs w:val="22"/>
          </w:rPr>
          <w:t>https://www.whitehawk.com/cyber-risk-scorecard</w:t>
        </w:r>
      </w:hyperlink>
      <w:r w:rsidRPr="00143C8D">
        <w:rPr>
          <w:rFonts w:ascii="Core Sans D 35 Regular" w:hAnsi="Core Sans D 35 Regular" w:cs="Calibri"/>
          <w:color w:val="000000"/>
          <w:sz w:val="22"/>
          <w:szCs w:val="22"/>
        </w:rPr>
        <w:t xml:space="preserve"> </w:t>
      </w:r>
      <w:r w:rsidR="004052F4" w:rsidRPr="00143C8D">
        <w:rPr>
          <w:rFonts w:ascii="Core Sans D 35 Regular" w:hAnsi="Core Sans D 35 Regular" w:cs="Calibri"/>
          <w:color w:val="000000"/>
          <w:sz w:val="22"/>
          <w:szCs w:val="22"/>
        </w:rPr>
        <w:t xml:space="preserve">U.S. Energy Sector </w:t>
      </w:r>
      <w:r w:rsidRPr="00143C8D">
        <w:rPr>
          <w:rFonts w:ascii="Core Sans D 35 Regular" w:hAnsi="Core Sans D 35 Regular" w:cs="Calibri"/>
          <w:color w:val="000000"/>
          <w:sz w:val="22"/>
          <w:szCs w:val="22"/>
        </w:rPr>
        <w:t xml:space="preserve">SCRM &amp; C-SCRM </w:t>
      </w:r>
      <w:r w:rsidR="004052F4" w:rsidRPr="00143C8D">
        <w:rPr>
          <w:rFonts w:ascii="Core Sans D 35 Regular" w:hAnsi="Core Sans D 35 Regular" w:cs="Calibri"/>
          <w:color w:val="000000"/>
          <w:sz w:val="22"/>
          <w:szCs w:val="22"/>
        </w:rPr>
        <w:t>Framework - C</w:t>
      </w:r>
      <w:r w:rsidRPr="00143C8D">
        <w:rPr>
          <w:rFonts w:ascii="Core Sans D 35 Regular" w:hAnsi="Core Sans D 35 Regular" w:cs="Calibri"/>
          <w:color w:val="000000"/>
          <w:sz w:val="22"/>
          <w:szCs w:val="22"/>
        </w:rPr>
        <w:t xml:space="preserve">ontinuous risk monitoring of both business and cyber risks of Energy Sector </w:t>
      </w:r>
      <w:r w:rsidRPr="00143C8D">
        <w:rPr>
          <w:rFonts w:ascii="Core Sans D 35 Regular" w:eastAsia="Times New Roman" w:hAnsi="Core Sans D 35 Regular" w:cs="Times New Roman"/>
          <w:color w:val="333333"/>
          <w:sz w:val="22"/>
          <w:szCs w:val="22"/>
        </w:rPr>
        <w:t>OT/ICS/IT</w:t>
      </w:r>
      <w:r w:rsidR="002771E0" w:rsidRPr="00143C8D">
        <w:rPr>
          <w:rFonts w:ascii="Core Sans D 35 Regular" w:eastAsia="Times New Roman" w:hAnsi="Core Sans D 35 Regular" w:cs="Times New Roman"/>
          <w:color w:val="333333"/>
          <w:sz w:val="22"/>
          <w:szCs w:val="22"/>
        </w:rPr>
        <w:t xml:space="preserve"> via an integrated and assessable V</w:t>
      </w:r>
      <w:r w:rsidR="00143C8D">
        <w:rPr>
          <w:rFonts w:ascii="Core Sans D 35 Regular" w:eastAsia="Times New Roman" w:hAnsi="Core Sans D 35 Regular" w:cs="Times New Roman"/>
          <w:color w:val="333333"/>
          <w:sz w:val="22"/>
          <w:szCs w:val="22"/>
        </w:rPr>
        <w:t xml:space="preserve">endor </w:t>
      </w:r>
      <w:r w:rsidR="002771E0" w:rsidRPr="00143C8D">
        <w:rPr>
          <w:rFonts w:ascii="Core Sans D 35 Regular" w:eastAsia="Times New Roman" w:hAnsi="Core Sans D 35 Regular" w:cs="Times New Roman"/>
          <w:color w:val="333333"/>
          <w:sz w:val="22"/>
          <w:szCs w:val="22"/>
        </w:rPr>
        <w:t>R</w:t>
      </w:r>
      <w:r w:rsidR="00143C8D">
        <w:rPr>
          <w:rFonts w:ascii="Core Sans D 35 Regular" w:eastAsia="Times New Roman" w:hAnsi="Core Sans D 35 Regular" w:cs="Times New Roman"/>
          <w:color w:val="333333"/>
          <w:sz w:val="22"/>
          <w:szCs w:val="22"/>
        </w:rPr>
        <w:t xml:space="preserve">isk </w:t>
      </w:r>
      <w:r w:rsidR="002771E0" w:rsidRPr="00143C8D">
        <w:rPr>
          <w:rFonts w:ascii="Core Sans D 35 Regular" w:eastAsia="Times New Roman" w:hAnsi="Core Sans D 35 Regular" w:cs="Times New Roman"/>
          <w:color w:val="333333"/>
          <w:sz w:val="22"/>
          <w:szCs w:val="22"/>
        </w:rPr>
        <w:t>M</w:t>
      </w:r>
      <w:r w:rsidR="00143C8D">
        <w:rPr>
          <w:rFonts w:ascii="Core Sans D 35 Regular" w:eastAsia="Times New Roman" w:hAnsi="Core Sans D 35 Regular" w:cs="Times New Roman"/>
          <w:color w:val="333333"/>
          <w:sz w:val="22"/>
          <w:szCs w:val="22"/>
        </w:rPr>
        <w:t>anagement (VRM)</w:t>
      </w:r>
      <w:r w:rsidR="002771E0" w:rsidRPr="00143C8D">
        <w:rPr>
          <w:rFonts w:ascii="Core Sans D 35 Regular" w:eastAsia="Times New Roman" w:hAnsi="Core Sans D 35 Regular" w:cs="Times New Roman"/>
          <w:color w:val="333333"/>
          <w:sz w:val="22"/>
          <w:szCs w:val="22"/>
        </w:rPr>
        <w:t xml:space="preserve"> Dashboard and platform:  </w:t>
      </w:r>
      <w:hyperlink r:id="rId15" w:history="1">
        <w:r w:rsidR="004052F4" w:rsidRPr="00143C8D">
          <w:rPr>
            <w:rStyle w:val="Hyperlink"/>
            <w:rFonts w:ascii="Core Sans D 35 Regular" w:eastAsia="Times New Roman" w:hAnsi="Core Sans D 35 Regular" w:cs="Times New Roman"/>
            <w:sz w:val="22"/>
            <w:szCs w:val="22"/>
          </w:rPr>
          <w:t>https://www.whitehawk.com/cyber-risk-radar</w:t>
        </w:r>
      </w:hyperlink>
      <w:r w:rsidR="004052F4" w:rsidRPr="00143C8D">
        <w:rPr>
          <w:rFonts w:ascii="Core Sans D 35 Regular" w:eastAsia="Times New Roman" w:hAnsi="Core Sans D 35 Regular" w:cs="Times New Roman"/>
          <w:color w:val="333333"/>
          <w:sz w:val="22"/>
          <w:szCs w:val="22"/>
        </w:rPr>
        <w:t xml:space="preserve"> </w:t>
      </w:r>
    </w:p>
    <w:p w14:paraId="0B1D407C" w14:textId="77777777" w:rsidR="004052F4" w:rsidRPr="008A3A5D" w:rsidRDefault="004052F4" w:rsidP="00B4337F">
      <w:pPr>
        <w:pStyle w:val="ListParagraph"/>
        <w:rPr>
          <w:rFonts w:ascii="Core Sans D 35 Regular" w:hAnsi="Core Sans D 35 Regular" w:cs="Calibri"/>
          <w:color w:val="000000"/>
          <w:sz w:val="22"/>
          <w:szCs w:val="22"/>
        </w:rPr>
      </w:pPr>
    </w:p>
    <w:p w14:paraId="3756191B" w14:textId="603F1FEE" w:rsidR="002E43A6" w:rsidRPr="008A3A5D" w:rsidRDefault="00BF6E7D" w:rsidP="00B4337F">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b/>
          <w:bCs/>
          <w:color w:val="333333"/>
          <w:sz w:val="22"/>
          <w:szCs w:val="22"/>
        </w:rPr>
        <w:t>A</w:t>
      </w:r>
      <w:r w:rsidR="001B1A84" w:rsidRPr="008A3A5D">
        <w:rPr>
          <w:rFonts w:ascii="Core Sans D 35 Regular" w:eastAsia="Times New Roman" w:hAnsi="Core Sans D 35 Regular" w:cs="Times New Roman"/>
          <w:b/>
          <w:bCs/>
          <w:color w:val="333333"/>
          <w:sz w:val="22"/>
          <w:szCs w:val="22"/>
        </w:rPr>
        <w:t>4.</w:t>
      </w:r>
      <w:r w:rsidR="001B1A84" w:rsidRPr="008A3A5D">
        <w:rPr>
          <w:rFonts w:ascii="Core Sans D 35 Regular" w:eastAsia="Times New Roman" w:hAnsi="Core Sans D 35 Regular" w:cs="Times New Roman"/>
          <w:color w:val="333333"/>
          <w:sz w:val="22"/>
          <w:szCs w:val="22"/>
        </w:rPr>
        <w:t xml:space="preserve"> Are there particular criteria the Department could issue to inform utility procurement policies, state requirements, or FERC mandatory reliability standards to mitigate foreign ownership, control, and influence risks?</w:t>
      </w:r>
      <w:r w:rsidR="006B76DB" w:rsidRPr="008A3A5D">
        <w:rPr>
          <w:rFonts w:ascii="Core Sans D 35 Regular" w:eastAsia="Times New Roman" w:hAnsi="Core Sans D 35 Regular" w:cs="Times New Roman"/>
          <w:color w:val="333333"/>
          <w:sz w:val="22"/>
          <w:szCs w:val="22"/>
        </w:rPr>
        <w:t xml:space="preserve"> </w:t>
      </w:r>
    </w:p>
    <w:p w14:paraId="50042039" w14:textId="2015B476" w:rsidR="003361F7" w:rsidRPr="008A3A5D" w:rsidRDefault="008F62A9" w:rsidP="00B4337F">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color w:val="333333"/>
          <w:sz w:val="22"/>
          <w:szCs w:val="22"/>
        </w:rPr>
        <w:t xml:space="preserve">The </w:t>
      </w:r>
      <w:r w:rsidR="007A0A5C" w:rsidRPr="008A3A5D">
        <w:rPr>
          <w:rFonts w:ascii="Core Sans D 35 Regular" w:eastAsia="Times New Roman" w:hAnsi="Core Sans D 35 Regular" w:cs="Times New Roman"/>
          <w:color w:val="333333"/>
          <w:sz w:val="22"/>
          <w:szCs w:val="22"/>
        </w:rPr>
        <w:t>Department</w:t>
      </w:r>
      <w:r w:rsidR="005F251C" w:rsidRPr="008A3A5D">
        <w:rPr>
          <w:rFonts w:ascii="Core Sans D 35 Regular" w:eastAsia="Times New Roman" w:hAnsi="Core Sans D 35 Regular" w:cs="Times New Roman"/>
          <w:color w:val="333333"/>
          <w:sz w:val="22"/>
          <w:szCs w:val="22"/>
        </w:rPr>
        <w:t xml:space="preserve">, in coordination with the Department of Electricity, </w:t>
      </w:r>
      <w:r w:rsidR="00851182" w:rsidRPr="008A3A5D">
        <w:rPr>
          <w:rFonts w:ascii="Core Sans D 35 Regular" w:eastAsia="Times New Roman" w:hAnsi="Core Sans D 35 Regular" w:cs="Times New Roman"/>
          <w:color w:val="333333"/>
          <w:sz w:val="22"/>
          <w:szCs w:val="22"/>
        </w:rPr>
        <w:t xml:space="preserve">could issue guidance </w:t>
      </w:r>
      <w:r w:rsidR="008508B4" w:rsidRPr="008A3A5D">
        <w:rPr>
          <w:rFonts w:ascii="Core Sans D 35 Regular" w:eastAsia="Times New Roman" w:hAnsi="Core Sans D 35 Regular" w:cs="Times New Roman"/>
          <w:color w:val="333333"/>
          <w:sz w:val="22"/>
          <w:szCs w:val="22"/>
        </w:rPr>
        <w:t xml:space="preserve">that focuses </w:t>
      </w:r>
      <w:r w:rsidR="00B85CA2" w:rsidRPr="008A3A5D">
        <w:rPr>
          <w:rFonts w:ascii="Core Sans D 35 Regular" w:eastAsia="Times New Roman" w:hAnsi="Core Sans D 35 Regular" w:cs="Times New Roman"/>
          <w:color w:val="333333"/>
          <w:sz w:val="22"/>
          <w:szCs w:val="22"/>
        </w:rPr>
        <w:t xml:space="preserve">on review and identification of </w:t>
      </w:r>
      <w:r w:rsidR="00FF5DB1" w:rsidRPr="008A3A5D">
        <w:rPr>
          <w:rFonts w:ascii="Core Sans D 35 Regular" w:eastAsia="Times New Roman" w:hAnsi="Core Sans D 35 Regular" w:cs="Times New Roman"/>
          <w:color w:val="333333"/>
          <w:sz w:val="22"/>
          <w:szCs w:val="22"/>
        </w:rPr>
        <w:t xml:space="preserve">threat </w:t>
      </w:r>
      <w:r w:rsidR="00EF0962" w:rsidRPr="008A3A5D">
        <w:rPr>
          <w:rFonts w:ascii="Core Sans D 35 Regular" w:eastAsia="Times New Roman" w:hAnsi="Core Sans D 35 Regular" w:cs="Times New Roman"/>
          <w:color w:val="333333"/>
          <w:sz w:val="22"/>
          <w:szCs w:val="22"/>
        </w:rPr>
        <w:t>risks associated with hostile nation states</w:t>
      </w:r>
      <w:r w:rsidR="00892306" w:rsidRPr="008A3A5D">
        <w:rPr>
          <w:rFonts w:ascii="Core Sans D 35 Regular" w:eastAsia="Times New Roman" w:hAnsi="Core Sans D 35 Regular" w:cs="Times New Roman"/>
          <w:color w:val="333333"/>
          <w:sz w:val="22"/>
          <w:szCs w:val="22"/>
        </w:rPr>
        <w:t>. U</w:t>
      </w:r>
      <w:r w:rsidR="00346FC8">
        <w:rPr>
          <w:rFonts w:ascii="Core Sans D 35 Regular" w:eastAsia="Times New Roman" w:hAnsi="Core Sans D 35 Regular" w:cs="Times New Roman"/>
          <w:color w:val="333333"/>
          <w:sz w:val="22"/>
          <w:szCs w:val="22"/>
        </w:rPr>
        <w:t>s</w:t>
      </w:r>
      <w:r w:rsidR="00892306" w:rsidRPr="008A3A5D">
        <w:rPr>
          <w:rFonts w:ascii="Core Sans D 35 Regular" w:eastAsia="Times New Roman" w:hAnsi="Core Sans D 35 Regular" w:cs="Times New Roman"/>
          <w:color w:val="333333"/>
          <w:sz w:val="22"/>
          <w:szCs w:val="22"/>
        </w:rPr>
        <w:t xml:space="preserve">ing threat data from across the sector would enable </w:t>
      </w:r>
      <w:r w:rsidR="00DD3289" w:rsidRPr="008A3A5D">
        <w:rPr>
          <w:rFonts w:ascii="Core Sans D 35 Regular" w:eastAsia="Times New Roman" w:hAnsi="Core Sans D 35 Regular" w:cs="Times New Roman"/>
          <w:color w:val="333333"/>
          <w:sz w:val="22"/>
          <w:szCs w:val="22"/>
        </w:rPr>
        <w:t xml:space="preserve">early identification of risks to critical systems and foreign </w:t>
      </w:r>
      <w:r w:rsidR="006E6B3F" w:rsidRPr="008A3A5D">
        <w:rPr>
          <w:rFonts w:ascii="Core Sans D 35 Regular" w:eastAsia="Times New Roman" w:hAnsi="Core Sans D 35 Regular" w:cs="Times New Roman"/>
          <w:color w:val="333333"/>
          <w:sz w:val="22"/>
          <w:szCs w:val="22"/>
        </w:rPr>
        <w:t>influence concerns.</w:t>
      </w:r>
      <w:r w:rsidR="00C00E7B" w:rsidRPr="008A3A5D">
        <w:rPr>
          <w:rFonts w:ascii="Core Sans D 35 Regular" w:eastAsia="Times New Roman" w:hAnsi="Core Sans D 35 Regular" w:cs="Times New Roman"/>
          <w:color w:val="333333"/>
          <w:sz w:val="22"/>
          <w:szCs w:val="22"/>
        </w:rPr>
        <w:t xml:space="preserve"> U</w:t>
      </w:r>
      <w:r w:rsidR="00346FC8">
        <w:rPr>
          <w:rFonts w:ascii="Core Sans D 35 Regular" w:eastAsia="Times New Roman" w:hAnsi="Core Sans D 35 Regular" w:cs="Times New Roman"/>
          <w:color w:val="333333"/>
          <w:sz w:val="22"/>
          <w:szCs w:val="22"/>
        </w:rPr>
        <w:t>s</w:t>
      </w:r>
      <w:r w:rsidR="00F52A55">
        <w:rPr>
          <w:rFonts w:ascii="Core Sans D 35 Regular" w:eastAsia="Times New Roman" w:hAnsi="Core Sans D 35 Regular" w:cs="Times New Roman"/>
          <w:color w:val="333333"/>
          <w:sz w:val="22"/>
          <w:szCs w:val="22"/>
        </w:rPr>
        <w:t>i</w:t>
      </w:r>
      <w:r w:rsidR="00C00E7B" w:rsidRPr="008A3A5D">
        <w:rPr>
          <w:rFonts w:ascii="Core Sans D 35 Regular" w:eastAsia="Times New Roman" w:hAnsi="Core Sans D 35 Regular" w:cs="Times New Roman"/>
          <w:color w:val="333333"/>
          <w:sz w:val="22"/>
          <w:szCs w:val="22"/>
        </w:rPr>
        <w:t>ng sector</w:t>
      </w:r>
      <w:r w:rsidR="00346FC8">
        <w:rPr>
          <w:rFonts w:ascii="Core Sans D 35 Regular" w:eastAsia="Times New Roman" w:hAnsi="Core Sans D 35 Regular" w:cs="Times New Roman"/>
          <w:color w:val="333333"/>
          <w:sz w:val="22"/>
          <w:szCs w:val="22"/>
        </w:rPr>
        <w:t>-</w:t>
      </w:r>
      <w:r w:rsidR="00C00E7B" w:rsidRPr="008A3A5D">
        <w:rPr>
          <w:rFonts w:ascii="Core Sans D 35 Regular" w:eastAsia="Times New Roman" w:hAnsi="Core Sans D 35 Regular" w:cs="Times New Roman"/>
          <w:color w:val="333333"/>
          <w:sz w:val="22"/>
          <w:szCs w:val="22"/>
        </w:rPr>
        <w:t xml:space="preserve">wide </w:t>
      </w:r>
      <w:r w:rsidR="005F251C" w:rsidRPr="008A3A5D">
        <w:rPr>
          <w:rFonts w:ascii="Core Sans D 35 Regular" w:eastAsia="Times New Roman" w:hAnsi="Core Sans D 35 Regular" w:cs="Times New Roman"/>
          <w:color w:val="333333"/>
          <w:sz w:val="22"/>
          <w:szCs w:val="22"/>
        </w:rPr>
        <w:t>analytics,</w:t>
      </w:r>
      <w:r w:rsidR="00C00E7B" w:rsidRPr="008A3A5D">
        <w:rPr>
          <w:rFonts w:ascii="Core Sans D 35 Regular" w:eastAsia="Times New Roman" w:hAnsi="Core Sans D 35 Regular" w:cs="Times New Roman"/>
          <w:color w:val="333333"/>
          <w:sz w:val="22"/>
          <w:szCs w:val="22"/>
        </w:rPr>
        <w:t xml:space="preserve"> the Department </w:t>
      </w:r>
      <w:r w:rsidR="00D87110" w:rsidRPr="008A3A5D">
        <w:rPr>
          <w:rFonts w:ascii="Core Sans D 35 Regular" w:eastAsia="Times New Roman" w:hAnsi="Core Sans D 35 Regular" w:cs="Times New Roman"/>
          <w:color w:val="333333"/>
          <w:sz w:val="22"/>
          <w:szCs w:val="22"/>
        </w:rPr>
        <w:t xml:space="preserve">could require testing criteria for critical components with </w:t>
      </w:r>
      <w:r w:rsidR="006C5A7D" w:rsidRPr="008A3A5D">
        <w:rPr>
          <w:rFonts w:ascii="Core Sans D 35 Regular" w:eastAsia="Times New Roman" w:hAnsi="Core Sans D 35 Regular" w:cs="Times New Roman"/>
          <w:color w:val="333333"/>
          <w:sz w:val="22"/>
          <w:szCs w:val="22"/>
        </w:rPr>
        <w:t xml:space="preserve">foreign </w:t>
      </w:r>
      <w:r w:rsidR="00A12B82" w:rsidRPr="008A3A5D">
        <w:rPr>
          <w:rFonts w:ascii="Core Sans D 35 Regular" w:eastAsia="Times New Roman" w:hAnsi="Core Sans D 35 Regular" w:cs="Times New Roman"/>
          <w:color w:val="333333"/>
          <w:sz w:val="22"/>
          <w:szCs w:val="22"/>
        </w:rPr>
        <w:t xml:space="preserve">influence. This could be combined with </w:t>
      </w:r>
      <w:r w:rsidR="00F92425" w:rsidRPr="008A3A5D">
        <w:rPr>
          <w:rFonts w:ascii="Core Sans D 35 Regular" w:eastAsia="Times New Roman" w:hAnsi="Core Sans D 35 Regular" w:cs="Times New Roman"/>
          <w:color w:val="333333"/>
          <w:sz w:val="22"/>
          <w:szCs w:val="22"/>
        </w:rPr>
        <w:t xml:space="preserve">requirements to establish incident response plans and </w:t>
      </w:r>
      <w:r w:rsidR="006717B2" w:rsidRPr="008A3A5D">
        <w:rPr>
          <w:rFonts w:ascii="Core Sans D 35 Regular" w:eastAsia="Times New Roman" w:hAnsi="Core Sans D 35 Regular" w:cs="Times New Roman"/>
          <w:color w:val="333333"/>
          <w:sz w:val="22"/>
          <w:szCs w:val="22"/>
        </w:rPr>
        <w:t xml:space="preserve">continuity of operations plans for operations with a </w:t>
      </w:r>
      <w:r w:rsidR="00DE7864" w:rsidRPr="008A3A5D">
        <w:rPr>
          <w:rFonts w:ascii="Core Sans D 35 Regular" w:eastAsia="Times New Roman" w:hAnsi="Core Sans D 35 Regular" w:cs="Times New Roman"/>
          <w:color w:val="333333"/>
          <w:sz w:val="22"/>
          <w:szCs w:val="22"/>
        </w:rPr>
        <w:t xml:space="preserve">foreign influenced </w:t>
      </w:r>
      <w:r w:rsidR="006717B2" w:rsidRPr="008A3A5D">
        <w:rPr>
          <w:rFonts w:ascii="Core Sans D 35 Regular" w:eastAsia="Times New Roman" w:hAnsi="Core Sans D 35 Regular" w:cs="Times New Roman"/>
          <w:color w:val="333333"/>
          <w:sz w:val="22"/>
          <w:szCs w:val="22"/>
        </w:rPr>
        <w:t>critical</w:t>
      </w:r>
      <w:r w:rsidR="00DE7864" w:rsidRPr="008A3A5D">
        <w:rPr>
          <w:rFonts w:ascii="Core Sans D 35 Regular" w:eastAsia="Times New Roman" w:hAnsi="Core Sans D 35 Regular" w:cs="Times New Roman"/>
          <w:color w:val="333333"/>
          <w:sz w:val="22"/>
          <w:szCs w:val="22"/>
        </w:rPr>
        <w:t xml:space="preserve"> component.</w:t>
      </w:r>
    </w:p>
    <w:p w14:paraId="1A055E9F" w14:textId="70B8D622" w:rsidR="002E43A6" w:rsidRPr="008A3A5D" w:rsidRDefault="00BF6E7D" w:rsidP="00B4337F">
      <w:pPr>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b/>
          <w:bCs/>
          <w:color w:val="333333"/>
          <w:sz w:val="22"/>
          <w:szCs w:val="22"/>
        </w:rPr>
        <w:t>B</w:t>
      </w:r>
      <w:r w:rsidR="004A7CF3" w:rsidRPr="008A3A5D">
        <w:rPr>
          <w:rFonts w:ascii="Core Sans D 35 Regular" w:eastAsia="Times New Roman" w:hAnsi="Core Sans D 35 Regular" w:cs="Times New Roman"/>
          <w:b/>
          <w:bCs/>
          <w:color w:val="333333"/>
          <w:sz w:val="22"/>
          <w:szCs w:val="22"/>
        </w:rPr>
        <w:t>1.</w:t>
      </w:r>
      <w:r w:rsidR="004A7CF3" w:rsidRPr="008A3A5D">
        <w:rPr>
          <w:rFonts w:ascii="Core Sans D 35 Regular" w:eastAsia="Times New Roman" w:hAnsi="Core Sans D 35 Regular" w:cs="Times New Roman"/>
          <w:color w:val="333333"/>
          <w:sz w:val="22"/>
          <w:szCs w:val="22"/>
        </w:rPr>
        <w:t xml:space="preserve"> To ensure the national security, should the Secretary seek to issue a Prohibition Order or other action that applies to equipment installed on parts of the electric distribution system, </w:t>
      </w:r>
      <w:r w:rsidR="004A7CF3" w:rsidRPr="008A3A5D">
        <w:rPr>
          <w:rFonts w:ascii="Core Sans D 35 Regular" w:eastAsia="Times New Roman" w:hAnsi="Core Sans D 35 Regular" w:cs="Times New Roman"/>
          <w:i/>
          <w:iCs/>
          <w:color w:val="333333"/>
          <w:sz w:val="22"/>
          <w:szCs w:val="22"/>
          <w:bdr w:val="none" w:sz="0" w:space="0" w:color="auto" w:frame="1"/>
        </w:rPr>
        <w:t>i.e.,</w:t>
      </w:r>
      <w:r w:rsidR="004A7CF3" w:rsidRPr="008A3A5D">
        <w:rPr>
          <w:rFonts w:ascii="Core Sans D 35 Regular" w:eastAsia="Times New Roman" w:hAnsi="Core Sans D 35 Regular" w:cs="Times New Roman"/>
          <w:color w:val="333333"/>
          <w:sz w:val="22"/>
          <w:szCs w:val="22"/>
        </w:rPr>
        <w:t> distribution equipment and facilities?</w:t>
      </w:r>
      <w:r w:rsidR="00673DEA" w:rsidRPr="008A3A5D">
        <w:rPr>
          <w:rFonts w:ascii="Core Sans D 35 Regular" w:eastAsia="Times New Roman" w:hAnsi="Core Sans D 35 Regular" w:cs="Times New Roman"/>
          <w:color w:val="333333"/>
          <w:sz w:val="22"/>
          <w:szCs w:val="22"/>
        </w:rPr>
        <w:t xml:space="preserve"> </w:t>
      </w:r>
    </w:p>
    <w:p w14:paraId="777B702F" w14:textId="77777777" w:rsidR="002E43A6" w:rsidRPr="008A3A5D" w:rsidRDefault="002E43A6" w:rsidP="00B4337F">
      <w:pPr>
        <w:ind w:left="-450"/>
        <w:textAlignment w:val="baseline"/>
        <w:rPr>
          <w:rFonts w:ascii="Core Sans D 35 Regular" w:eastAsia="Times New Roman" w:hAnsi="Core Sans D 35 Regular" w:cs="Times New Roman"/>
          <w:color w:val="333333"/>
          <w:sz w:val="22"/>
          <w:szCs w:val="22"/>
        </w:rPr>
      </w:pPr>
    </w:p>
    <w:p w14:paraId="5AC401C6" w14:textId="7C638D37" w:rsidR="004A7CF3" w:rsidRPr="008A3A5D" w:rsidRDefault="00673DEA" w:rsidP="00B4337F">
      <w:pPr>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color w:val="333333"/>
          <w:sz w:val="22"/>
          <w:szCs w:val="22"/>
        </w:rPr>
        <w:t xml:space="preserve">The </w:t>
      </w:r>
      <w:r w:rsidR="00536C11" w:rsidRPr="008A3A5D">
        <w:rPr>
          <w:rFonts w:ascii="Core Sans D 35 Regular" w:eastAsia="Times New Roman" w:hAnsi="Core Sans D 35 Regular" w:cs="Times New Roman"/>
          <w:color w:val="333333"/>
          <w:sz w:val="22"/>
          <w:szCs w:val="22"/>
        </w:rPr>
        <w:t xml:space="preserve">Department should consider implementing a </w:t>
      </w:r>
      <w:r w:rsidR="00FD70CC" w:rsidRPr="008A3A5D">
        <w:rPr>
          <w:rFonts w:ascii="Core Sans D 35 Regular" w:eastAsia="Times New Roman" w:hAnsi="Core Sans D 35 Regular" w:cs="Times New Roman"/>
          <w:color w:val="333333"/>
          <w:sz w:val="22"/>
          <w:szCs w:val="22"/>
        </w:rPr>
        <w:t>risk-based</w:t>
      </w:r>
      <w:r w:rsidR="00536C11" w:rsidRPr="008A3A5D">
        <w:rPr>
          <w:rFonts w:ascii="Core Sans D 35 Regular" w:eastAsia="Times New Roman" w:hAnsi="Core Sans D 35 Regular" w:cs="Times New Roman"/>
          <w:color w:val="333333"/>
          <w:sz w:val="22"/>
          <w:szCs w:val="22"/>
        </w:rPr>
        <w:t xml:space="preserve"> approach </w:t>
      </w:r>
      <w:r w:rsidR="00DB39E7" w:rsidRPr="008A3A5D">
        <w:rPr>
          <w:rFonts w:ascii="Core Sans D 35 Regular" w:eastAsia="Times New Roman" w:hAnsi="Core Sans D 35 Regular" w:cs="Times New Roman"/>
          <w:color w:val="333333"/>
          <w:sz w:val="22"/>
          <w:szCs w:val="22"/>
        </w:rPr>
        <w:t xml:space="preserve">to assessing </w:t>
      </w:r>
      <w:r w:rsidR="009574E3" w:rsidRPr="008A3A5D">
        <w:rPr>
          <w:rFonts w:ascii="Core Sans D 35 Regular" w:eastAsia="Times New Roman" w:hAnsi="Core Sans D 35 Regular" w:cs="Times New Roman"/>
          <w:color w:val="333333"/>
          <w:sz w:val="22"/>
          <w:szCs w:val="22"/>
        </w:rPr>
        <w:t xml:space="preserve">a Prohibition Order. The focus of the assessment </w:t>
      </w:r>
      <w:r w:rsidR="00791BB7" w:rsidRPr="008A3A5D">
        <w:rPr>
          <w:rFonts w:ascii="Core Sans D 35 Regular" w:eastAsia="Times New Roman" w:hAnsi="Core Sans D 35 Regular" w:cs="Times New Roman"/>
          <w:color w:val="333333"/>
          <w:sz w:val="22"/>
          <w:szCs w:val="22"/>
        </w:rPr>
        <w:t>would address the systems that coul</w:t>
      </w:r>
      <w:r w:rsidR="00FD70CC" w:rsidRPr="008A3A5D">
        <w:rPr>
          <w:rFonts w:ascii="Core Sans D 35 Regular" w:eastAsia="Times New Roman" w:hAnsi="Core Sans D 35 Regular" w:cs="Times New Roman"/>
          <w:color w:val="333333"/>
          <w:sz w:val="22"/>
          <w:szCs w:val="22"/>
        </w:rPr>
        <w:t>d</w:t>
      </w:r>
      <w:r w:rsidR="00791BB7" w:rsidRPr="008A3A5D">
        <w:rPr>
          <w:rFonts w:ascii="Core Sans D 35 Regular" w:eastAsia="Times New Roman" w:hAnsi="Core Sans D 35 Regular" w:cs="Times New Roman"/>
          <w:color w:val="333333"/>
          <w:sz w:val="22"/>
          <w:szCs w:val="22"/>
        </w:rPr>
        <w:t xml:space="preserve"> have a widespread impact across </w:t>
      </w:r>
      <w:r w:rsidR="00FC4303" w:rsidRPr="008A3A5D">
        <w:rPr>
          <w:rFonts w:ascii="Core Sans D 35 Regular" w:eastAsia="Times New Roman" w:hAnsi="Core Sans D 35 Regular" w:cs="Times New Roman"/>
          <w:color w:val="333333"/>
          <w:sz w:val="22"/>
          <w:szCs w:val="22"/>
        </w:rPr>
        <w:t>the distribution infrastructure or significant impact on critical sectors</w:t>
      </w:r>
      <w:r w:rsidR="00FD70CC" w:rsidRPr="008A3A5D">
        <w:rPr>
          <w:rFonts w:ascii="Core Sans D 35 Regular" w:eastAsia="Times New Roman" w:hAnsi="Core Sans D 35 Regular" w:cs="Times New Roman"/>
          <w:color w:val="333333"/>
          <w:sz w:val="22"/>
          <w:szCs w:val="22"/>
        </w:rPr>
        <w:t>.</w:t>
      </w:r>
      <w:r w:rsidR="00621785" w:rsidRPr="008A3A5D">
        <w:rPr>
          <w:rFonts w:ascii="Core Sans D 35 Regular" w:eastAsia="Times New Roman" w:hAnsi="Core Sans D 35 Regular" w:cs="Times New Roman"/>
          <w:color w:val="333333"/>
          <w:sz w:val="22"/>
          <w:szCs w:val="22"/>
        </w:rPr>
        <w:t xml:space="preserve"> The Department </w:t>
      </w:r>
      <w:r w:rsidR="00045737" w:rsidRPr="008A3A5D">
        <w:rPr>
          <w:rFonts w:ascii="Core Sans D 35 Regular" w:eastAsia="Times New Roman" w:hAnsi="Core Sans D 35 Regular" w:cs="Times New Roman"/>
          <w:color w:val="333333"/>
          <w:sz w:val="22"/>
          <w:szCs w:val="22"/>
        </w:rPr>
        <w:t xml:space="preserve">should consider </w:t>
      </w:r>
      <w:r w:rsidR="00045737" w:rsidRPr="008A3A5D">
        <w:rPr>
          <w:rFonts w:ascii="Core Sans D 35 Regular" w:eastAsia="Times New Roman" w:hAnsi="Core Sans D 35 Regular" w:cs="Times New Roman"/>
          <w:color w:val="333333"/>
          <w:sz w:val="22"/>
          <w:szCs w:val="22"/>
        </w:rPr>
        <w:lastRenderedPageBreak/>
        <w:t>an approach similar to the Department of Defense</w:t>
      </w:r>
      <w:r w:rsidR="00A35601" w:rsidRPr="008A3A5D">
        <w:rPr>
          <w:rFonts w:ascii="Core Sans D 35 Regular" w:eastAsia="Times New Roman" w:hAnsi="Core Sans D 35 Regular" w:cs="Times New Roman"/>
          <w:color w:val="333333"/>
          <w:sz w:val="22"/>
          <w:szCs w:val="22"/>
        </w:rPr>
        <w:t xml:space="preserve"> </w:t>
      </w:r>
      <w:r w:rsidR="00964155">
        <w:rPr>
          <w:rFonts w:ascii="Core Sans D 35 Regular" w:eastAsia="Times New Roman" w:hAnsi="Core Sans D 35 Regular" w:cs="Times New Roman"/>
          <w:color w:val="333333"/>
          <w:sz w:val="22"/>
          <w:szCs w:val="22"/>
        </w:rPr>
        <w:t xml:space="preserve">(DoD) </w:t>
      </w:r>
      <w:r w:rsidR="00A35601" w:rsidRPr="008A3A5D">
        <w:rPr>
          <w:rFonts w:ascii="Core Sans D 35 Regular" w:eastAsia="Times New Roman" w:hAnsi="Core Sans D 35 Regular" w:cs="Times New Roman"/>
          <w:color w:val="333333"/>
          <w:sz w:val="22"/>
          <w:szCs w:val="22"/>
        </w:rPr>
        <w:t>criteria in Section 889, of the Federal Acquisition Regulations</w:t>
      </w:r>
      <w:r w:rsidR="00564F2F">
        <w:rPr>
          <w:rFonts w:ascii="Core Sans D 35 Regular" w:eastAsia="Times New Roman" w:hAnsi="Core Sans D 35 Regular" w:cs="Times New Roman"/>
          <w:color w:val="333333"/>
          <w:sz w:val="22"/>
          <w:szCs w:val="22"/>
        </w:rPr>
        <w:t xml:space="preserve"> (FAR)</w:t>
      </w:r>
      <w:r w:rsidR="0093406F" w:rsidRPr="008A3A5D">
        <w:rPr>
          <w:rFonts w:ascii="Core Sans D 35 Regular" w:eastAsia="Times New Roman" w:hAnsi="Core Sans D 35 Regular" w:cs="Times New Roman"/>
          <w:color w:val="333333"/>
          <w:sz w:val="22"/>
          <w:szCs w:val="22"/>
        </w:rPr>
        <w:t>.</w:t>
      </w:r>
    </w:p>
    <w:p w14:paraId="227129C0" w14:textId="77777777" w:rsidR="004A7CF3" w:rsidRPr="008A3A5D" w:rsidRDefault="004A7CF3" w:rsidP="00B4337F">
      <w:pPr>
        <w:ind w:left="-450"/>
        <w:textAlignment w:val="baseline"/>
        <w:rPr>
          <w:rFonts w:ascii="Core Sans D 35 Regular" w:eastAsia="Times New Roman" w:hAnsi="Core Sans D 35 Regular" w:cs="Times New Roman"/>
          <w:color w:val="333333"/>
          <w:sz w:val="22"/>
          <w:szCs w:val="22"/>
        </w:rPr>
      </w:pPr>
    </w:p>
    <w:p w14:paraId="6CEA011F" w14:textId="7DFBCD09" w:rsidR="002E43A6" w:rsidRPr="008A3A5D" w:rsidRDefault="00BF6E7D" w:rsidP="00B4337F">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b/>
          <w:bCs/>
          <w:color w:val="333333"/>
          <w:sz w:val="22"/>
          <w:szCs w:val="22"/>
        </w:rPr>
        <w:t>B</w:t>
      </w:r>
      <w:r w:rsidR="004A7CF3" w:rsidRPr="008A3A5D">
        <w:rPr>
          <w:rFonts w:ascii="Core Sans D 35 Regular" w:eastAsia="Times New Roman" w:hAnsi="Core Sans D 35 Regular" w:cs="Times New Roman"/>
          <w:b/>
          <w:bCs/>
          <w:color w:val="333333"/>
          <w:sz w:val="22"/>
          <w:szCs w:val="22"/>
        </w:rPr>
        <w:t>2.</w:t>
      </w:r>
      <w:r w:rsidR="004A7CF3" w:rsidRPr="008A3A5D">
        <w:rPr>
          <w:rFonts w:ascii="Core Sans D 35 Regular" w:eastAsia="Times New Roman" w:hAnsi="Core Sans D 35 Regular" w:cs="Times New Roman"/>
          <w:color w:val="333333"/>
          <w:sz w:val="22"/>
          <w:szCs w:val="22"/>
        </w:rPr>
        <w:t xml:space="preserve"> In addition to DCEI, should the Secretary seek to issue a Prohibition Order or other action that covers electric infrastructure serving other critical infrastructure sectors including communications, emergency services, healthcare and public health, information technology, and transportation systems?</w:t>
      </w:r>
      <w:r w:rsidR="00E22E67" w:rsidRPr="008A3A5D">
        <w:rPr>
          <w:rFonts w:ascii="Core Sans D 35 Regular" w:eastAsia="Times New Roman" w:hAnsi="Core Sans D 35 Regular" w:cs="Times New Roman"/>
          <w:color w:val="333333"/>
          <w:sz w:val="22"/>
          <w:szCs w:val="22"/>
        </w:rPr>
        <w:t xml:space="preserve"> </w:t>
      </w:r>
    </w:p>
    <w:p w14:paraId="527C17BA" w14:textId="7E722389" w:rsidR="004A7CF3" w:rsidRPr="008A3A5D" w:rsidRDefault="00D91A62" w:rsidP="00B4337F">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color w:val="333333"/>
          <w:sz w:val="22"/>
          <w:szCs w:val="22"/>
        </w:rPr>
        <w:t xml:space="preserve">As an alternative to </w:t>
      </w:r>
      <w:r w:rsidR="001D136E" w:rsidRPr="008A3A5D">
        <w:rPr>
          <w:rFonts w:ascii="Core Sans D 35 Regular" w:eastAsia="Times New Roman" w:hAnsi="Core Sans D 35 Regular" w:cs="Times New Roman"/>
          <w:color w:val="333333"/>
          <w:sz w:val="22"/>
          <w:szCs w:val="22"/>
        </w:rPr>
        <w:t>prohibitive</w:t>
      </w:r>
      <w:r w:rsidRPr="008A3A5D">
        <w:rPr>
          <w:rFonts w:ascii="Core Sans D 35 Regular" w:eastAsia="Times New Roman" w:hAnsi="Core Sans D 35 Regular" w:cs="Times New Roman"/>
          <w:color w:val="333333"/>
          <w:sz w:val="22"/>
          <w:szCs w:val="22"/>
        </w:rPr>
        <w:t xml:space="preserve"> orders that would </w:t>
      </w:r>
      <w:r w:rsidR="005A404E" w:rsidRPr="008A3A5D">
        <w:rPr>
          <w:rFonts w:ascii="Core Sans D 35 Regular" w:eastAsia="Times New Roman" w:hAnsi="Core Sans D 35 Regular" w:cs="Times New Roman"/>
          <w:color w:val="333333"/>
          <w:sz w:val="22"/>
          <w:szCs w:val="22"/>
        </w:rPr>
        <w:t>be compliance</w:t>
      </w:r>
      <w:r w:rsidR="00564F2F">
        <w:rPr>
          <w:rFonts w:ascii="Core Sans D 35 Regular" w:eastAsia="Times New Roman" w:hAnsi="Core Sans D 35 Regular" w:cs="Times New Roman"/>
          <w:color w:val="333333"/>
          <w:sz w:val="22"/>
          <w:szCs w:val="22"/>
        </w:rPr>
        <w:t>-</w:t>
      </w:r>
      <w:r w:rsidR="005A404E" w:rsidRPr="008A3A5D">
        <w:rPr>
          <w:rFonts w:ascii="Core Sans D 35 Regular" w:eastAsia="Times New Roman" w:hAnsi="Core Sans D 35 Regular" w:cs="Times New Roman"/>
          <w:color w:val="333333"/>
          <w:sz w:val="22"/>
          <w:szCs w:val="22"/>
        </w:rPr>
        <w:t>based</w:t>
      </w:r>
      <w:r w:rsidR="005F251C" w:rsidRPr="008A3A5D">
        <w:rPr>
          <w:rFonts w:ascii="Core Sans D 35 Regular" w:eastAsia="Times New Roman" w:hAnsi="Core Sans D 35 Regular" w:cs="Times New Roman"/>
          <w:color w:val="333333"/>
          <w:sz w:val="22"/>
          <w:szCs w:val="22"/>
        </w:rPr>
        <w:t>,</w:t>
      </w:r>
      <w:r w:rsidR="005A404E" w:rsidRPr="008A3A5D">
        <w:rPr>
          <w:rFonts w:ascii="Core Sans D 35 Regular" w:eastAsia="Times New Roman" w:hAnsi="Core Sans D 35 Regular" w:cs="Times New Roman"/>
          <w:color w:val="333333"/>
          <w:sz w:val="22"/>
          <w:szCs w:val="22"/>
        </w:rPr>
        <w:t xml:space="preserve"> </w:t>
      </w:r>
      <w:r w:rsidR="00873524" w:rsidRPr="008A3A5D">
        <w:rPr>
          <w:rFonts w:ascii="Core Sans D 35 Regular" w:eastAsia="Times New Roman" w:hAnsi="Core Sans D 35 Regular" w:cs="Times New Roman"/>
          <w:color w:val="333333"/>
          <w:sz w:val="22"/>
          <w:szCs w:val="22"/>
        </w:rPr>
        <w:t>the Department could consider a strategy of investment, incentivization</w:t>
      </w:r>
      <w:r w:rsidR="00564F2F">
        <w:rPr>
          <w:rFonts w:ascii="Core Sans D 35 Regular" w:eastAsia="Times New Roman" w:hAnsi="Core Sans D 35 Regular" w:cs="Times New Roman"/>
          <w:color w:val="333333"/>
          <w:sz w:val="22"/>
          <w:szCs w:val="22"/>
        </w:rPr>
        <w:t>,</w:t>
      </w:r>
      <w:r w:rsidR="00873524" w:rsidRPr="008A3A5D">
        <w:rPr>
          <w:rFonts w:ascii="Core Sans D 35 Regular" w:eastAsia="Times New Roman" w:hAnsi="Core Sans D 35 Regular" w:cs="Times New Roman"/>
          <w:color w:val="333333"/>
          <w:sz w:val="22"/>
          <w:szCs w:val="22"/>
        </w:rPr>
        <w:t xml:space="preserve"> and modernization </w:t>
      </w:r>
      <w:r w:rsidR="00B30485" w:rsidRPr="008A3A5D">
        <w:rPr>
          <w:rFonts w:ascii="Core Sans D 35 Regular" w:eastAsia="Times New Roman" w:hAnsi="Core Sans D 35 Regular" w:cs="Times New Roman"/>
          <w:color w:val="333333"/>
          <w:sz w:val="22"/>
          <w:szCs w:val="22"/>
        </w:rPr>
        <w:t>that would better secure these critical sectors</w:t>
      </w:r>
      <w:r w:rsidR="004E379E" w:rsidRPr="008A3A5D">
        <w:rPr>
          <w:rFonts w:ascii="Core Sans D 35 Regular" w:eastAsia="Times New Roman" w:hAnsi="Core Sans D 35 Regular" w:cs="Times New Roman"/>
          <w:color w:val="333333"/>
          <w:sz w:val="22"/>
          <w:szCs w:val="22"/>
        </w:rPr>
        <w:t xml:space="preserve">. These incentives would prioritize implementation of </w:t>
      </w:r>
      <w:r w:rsidR="00163774" w:rsidRPr="008A3A5D">
        <w:rPr>
          <w:rFonts w:ascii="Core Sans D 35 Regular" w:eastAsia="Times New Roman" w:hAnsi="Core Sans D 35 Regular" w:cs="Times New Roman"/>
          <w:color w:val="333333"/>
          <w:sz w:val="22"/>
          <w:szCs w:val="22"/>
        </w:rPr>
        <w:t xml:space="preserve">rigorous independent testing and security </w:t>
      </w:r>
      <w:r w:rsidR="00482DE3" w:rsidRPr="008A3A5D">
        <w:rPr>
          <w:rFonts w:ascii="Core Sans D 35 Regular" w:eastAsia="Times New Roman" w:hAnsi="Core Sans D 35 Regular" w:cs="Times New Roman"/>
          <w:color w:val="333333"/>
          <w:sz w:val="22"/>
          <w:szCs w:val="22"/>
        </w:rPr>
        <w:t xml:space="preserve">as a core business function rather than compliance to </w:t>
      </w:r>
      <w:r w:rsidR="00F9400C" w:rsidRPr="008A3A5D">
        <w:rPr>
          <w:rFonts w:ascii="Core Sans D 35 Regular" w:eastAsia="Times New Roman" w:hAnsi="Core Sans D 35 Regular" w:cs="Times New Roman"/>
          <w:color w:val="333333"/>
          <w:sz w:val="22"/>
          <w:szCs w:val="22"/>
        </w:rPr>
        <w:t>slow changing procurement requirements</w:t>
      </w:r>
      <w:r w:rsidR="00E1451A" w:rsidRPr="008A3A5D">
        <w:rPr>
          <w:rFonts w:ascii="Core Sans D 35 Regular" w:eastAsia="Times New Roman" w:hAnsi="Core Sans D 35 Regular" w:cs="Times New Roman"/>
          <w:color w:val="333333"/>
          <w:sz w:val="22"/>
          <w:szCs w:val="22"/>
        </w:rPr>
        <w:t xml:space="preserve"> not associated with evolving threats. Implementation of th</w:t>
      </w:r>
      <w:r w:rsidR="005F251C" w:rsidRPr="008A3A5D">
        <w:rPr>
          <w:rFonts w:ascii="Core Sans D 35 Regular" w:eastAsia="Times New Roman" w:hAnsi="Core Sans D 35 Regular" w:cs="Times New Roman"/>
          <w:color w:val="333333"/>
          <w:sz w:val="22"/>
          <w:szCs w:val="22"/>
        </w:rPr>
        <w:t>ese</w:t>
      </w:r>
      <w:r w:rsidR="00E1451A" w:rsidRPr="008A3A5D">
        <w:rPr>
          <w:rFonts w:ascii="Core Sans D 35 Regular" w:eastAsia="Times New Roman" w:hAnsi="Core Sans D 35 Regular" w:cs="Times New Roman"/>
          <w:color w:val="333333"/>
          <w:sz w:val="22"/>
          <w:szCs w:val="22"/>
        </w:rPr>
        <w:t xml:space="preserve"> testing and </w:t>
      </w:r>
      <w:r w:rsidR="002E43A6" w:rsidRPr="008A3A5D">
        <w:rPr>
          <w:rFonts w:ascii="Core Sans D 35 Regular" w:eastAsia="Times New Roman" w:hAnsi="Core Sans D 35 Regular" w:cs="Times New Roman"/>
          <w:color w:val="333333"/>
          <w:sz w:val="22"/>
          <w:szCs w:val="22"/>
        </w:rPr>
        <w:t>security-based</w:t>
      </w:r>
      <w:r w:rsidR="00666B1C" w:rsidRPr="008A3A5D">
        <w:rPr>
          <w:rFonts w:ascii="Core Sans D 35 Regular" w:eastAsia="Times New Roman" w:hAnsi="Core Sans D 35 Regular" w:cs="Times New Roman"/>
          <w:color w:val="333333"/>
          <w:sz w:val="22"/>
          <w:szCs w:val="22"/>
        </w:rPr>
        <w:t xml:space="preserve"> metrics could be </w:t>
      </w:r>
      <w:r w:rsidR="00EC5272" w:rsidRPr="008A3A5D">
        <w:rPr>
          <w:rFonts w:ascii="Core Sans D 35 Regular" w:eastAsia="Times New Roman" w:hAnsi="Core Sans D 35 Regular" w:cs="Times New Roman"/>
          <w:color w:val="333333"/>
          <w:sz w:val="22"/>
          <w:szCs w:val="22"/>
        </w:rPr>
        <w:t xml:space="preserve">monitored and </w:t>
      </w:r>
      <w:r w:rsidR="00DB78B4" w:rsidRPr="008A3A5D">
        <w:rPr>
          <w:rFonts w:ascii="Core Sans D 35 Regular" w:eastAsia="Times New Roman" w:hAnsi="Core Sans D 35 Regular" w:cs="Times New Roman"/>
          <w:color w:val="333333"/>
          <w:sz w:val="22"/>
          <w:szCs w:val="22"/>
        </w:rPr>
        <w:t xml:space="preserve">supported by an independent entity </w:t>
      </w:r>
      <w:r w:rsidR="00A9645B" w:rsidRPr="008A3A5D">
        <w:rPr>
          <w:rFonts w:ascii="Core Sans D 35 Regular" w:eastAsia="Times New Roman" w:hAnsi="Core Sans D 35 Regular" w:cs="Times New Roman"/>
          <w:color w:val="333333"/>
          <w:sz w:val="22"/>
          <w:szCs w:val="22"/>
        </w:rPr>
        <w:t>such as a</w:t>
      </w:r>
      <w:r w:rsidR="00C97234" w:rsidRPr="008A3A5D">
        <w:rPr>
          <w:rFonts w:ascii="Core Sans D 35 Regular" w:eastAsia="Times New Roman" w:hAnsi="Core Sans D 35 Regular" w:cs="Times New Roman"/>
          <w:color w:val="333333"/>
          <w:sz w:val="22"/>
          <w:szCs w:val="22"/>
        </w:rPr>
        <w:t xml:space="preserve"> </w:t>
      </w:r>
      <w:r w:rsidR="00792D87" w:rsidRPr="008A3A5D">
        <w:rPr>
          <w:rFonts w:ascii="Core Sans D 35 Regular" w:eastAsia="Times New Roman" w:hAnsi="Core Sans D 35 Regular" w:cs="Times New Roman"/>
          <w:color w:val="333333"/>
          <w:sz w:val="22"/>
          <w:szCs w:val="22"/>
        </w:rPr>
        <w:t>non-profit FFRDC or UARC u</w:t>
      </w:r>
      <w:r w:rsidR="00564F2F">
        <w:rPr>
          <w:rFonts w:ascii="Core Sans D 35 Regular" w:eastAsia="Times New Roman" w:hAnsi="Core Sans D 35 Regular" w:cs="Times New Roman"/>
          <w:color w:val="333333"/>
          <w:sz w:val="22"/>
          <w:szCs w:val="22"/>
        </w:rPr>
        <w:t>s</w:t>
      </w:r>
      <w:r w:rsidR="00F52A55">
        <w:rPr>
          <w:rFonts w:ascii="Core Sans D 35 Regular" w:eastAsia="Times New Roman" w:hAnsi="Core Sans D 35 Regular" w:cs="Times New Roman"/>
          <w:color w:val="333333"/>
          <w:sz w:val="22"/>
          <w:szCs w:val="22"/>
        </w:rPr>
        <w:t>i</w:t>
      </w:r>
      <w:r w:rsidR="00792D87" w:rsidRPr="008A3A5D">
        <w:rPr>
          <w:rFonts w:ascii="Core Sans D 35 Regular" w:eastAsia="Times New Roman" w:hAnsi="Core Sans D 35 Regular" w:cs="Times New Roman"/>
          <w:color w:val="333333"/>
          <w:sz w:val="22"/>
          <w:szCs w:val="22"/>
        </w:rPr>
        <w:t xml:space="preserve">ng </w:t>
      </w:r>
      <w:r w:rsidR="00130AF2" w:rsidRPr="008A3A5D">
        <w:rPr>
          <w:rFonts w:ascii="Core Sans D 35 Regular" w:eastAsia="Times New Roman" w:hAnsi="Core Sans D 35 Regular" w:cs="Times New Roman"/>
          <w:color w:val="333333"/>
          <w:sz w:val="22"/>
          <w:szCs w:val="22"/>
        </w:rPr>
        <w:t xml:space="preserve">a </w:t>
      </w:r>
      <w:r w:rsidR="00D83F6D" w:rsidRPr="008A3A5D">
        <w:rPr>
          <w:rFonts w:ascii="Core Sans D 35 Regular" w:eastAsia="Times New Roman" w:hAnsi="Core Sans D 35 Regular" w:cs="Times New Roman"/>
          <w:color w:val="333333"/>
          <w:sz w:val="22"/>
          <w:szCs w:val="22"/>
        </w:rPr>
        <w:t>C-S</w:t>
      </w:r>
      <w:r w:rsidR="00564F2F">
        <w:rPr>
          <w:rFonts w:ascii="Core Sans D 35 Regular" w:eastAsia="Times New Roman" w:hAnsi="Core Sans D 35 Regular" w:cs="Times New Roman"/>
          <w:color w:val="333333"/>
          <w:sz w:val="22"/>
          <w:szCs w:val="22"/>
        </w:rPr>
        <w:t>C</w:t>
      </w:r>
      <w:r w:rsidR="00D83F6D" w:rsidRPr="008A3A5D">
        <w:rPr>
          <w:rFonts w:ascii="Core Sans D 35 Regular" w:eastAsia="Times New Roman" w:hAnsi="Core Sans D 35 Regular" w:cs="Times New Roman"/>
          <w:color w:val="333333"/>
          <w:sz w:val="22"/>
          <w:szCs w:val="22"/>
        </w:rPr>
        <w:t xml:space="preserve">RM </w:t>
      </w:r>
      <w:r w:rsidR="00130AF2" w:rsidRPr="008A3A5D">
        <w:rPr>
          <w:rFonts w:ascii="Core Sans D 35 Regular" w:eastAsia="Times New Roman" w:hAnsi="Core Sans D 35 Regular" w:cs="Times New Roman"/>
          <w:color w:val="333333"/>
          <w:sz w:val="22"/>
          <w:szCs w:val="22"/>
        </w:rPr>
        <w:t>“Services of Common Concern”</w:t>
      </w:r>
      <w:r w:rsidR="00D83F6D" w:rsidRPr="008A3A5D">
        <w:rPr>
          <w:rFonts w:ascii="Core Sans D 35 Regular" w:eastAsia="Times New Roman" w:hAnsi="Core Sans D 35 Regular" w:cs="Times New Roman"/>
          <w:color w:val="333333"/>
          <w:sz w:val="22"/>
          <w:szCs w:val="22"/>
        </w:rPr>
        <w:t xml:space="preserve"> approach and a ready marketplace for </w:t>
      </w:r>
      <w:r w:rsidR="00D474BA" w:rsidRPr="008A3A5D">
        <w:rPr>
          <w:rFonts w:ascii="Core Sans D 35 Regular" w:eastAsia="Times New Roman" w:hAnsi="Core Sans D 35 Regular" w:cs="Times New Roman"/>
          <w:color w:val="333333"/>
          <w:sz w:val="22"/>
          <w:szCs w:val="22"/>
        </w:rPr>
        <w:t>acquiring tested and vetted security solutions.</w:t>
      </w:r>
      <w:r w:rsidR="00D83F6D" w:rsidRPr="008A3A5D">
        <w:rPr>
          <w:rFonts w:ascii="Core Sans D 35 Regular" w:eastAsia="Times New Roman" w:hAnsi="Core Sans D 35 Regular" w:cs="Times New Roman"/>
          <w:color w:val="333333"/>
          <w:sz w:val="22"/>
          <w:szCs w:val="22"/>
        </w:rPr>
        <w:t xml:space="preserve"> </w:t>
      </w:r>
    </w:p>
    <w:p w14:paraId="0B1A0ABB" w14:textId="3FF5C7AF" w:rsidR="002E43A6" w:rsidRPr="008A3A5D" w:rsidRDefault="00BF6E7D" w:rsidP="00B4337F">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b/>
          <w:bCs/>
          <w:color w:val="333333"/>
          <w:sz w:val="22"/>
          <w:szCs w:val="22"/>
        </w:rPr>
        <w:t>B</w:t>
      </w:r>
      <w:r w:rsidR="004A7CF3" w:rsidRPr="008A3A5D">
        <w:rPr>
          <w:rFonts w:ascii="Core Sans D 35 Regular" w:eastAsia="Times New Roman" w:hAnsi="Core Sans D 35 Regular" w:cs="Times New Roman"/>
          <w:b/>
          <w:bCs/>
          <w:color w:val="333333"/>
          <w:sz w:val="22"/>
          <w:szCs w:val="22"/>
        </w:rPr>
        <w:t>3.</w:t>
      </w:r>
      <w:r w:rsidR="004A7CF3" w:rsidRPr="008A3A5D">
        <w:rPr>
          <w:rFonts w:ascii="Core Sans D 35 Regular" w:eastAsia="Times New Roman" w:hAnsi="Core Sans D 35 Regular" w:cs="Times New Roman"/>
          <w:color w:val="333333"/>
          <w:sz w:val="22"/>
          <w:szCs w:val="22"/>
        </w:rPr>
        <w:t xml:space="preserve"> In addition to critical infrastructure, should the Secretary seek to issue a Prohibition Order or other action that covers electric infrastructure enabling the national critical functions?</w:t>
      </w:r>
      <w:r w:rsidR="00B164D5" w:rsidRPr="008A3A5D">
        <w:rPr>
          <w:rFonts w:ascii="Core Sans D 35 Regular" w:eastAsia="Times New Roman" w:hAnsi="Core Sans D 35 Regular" w:cs="Times New Roman"/>
          <w:color w:val="333333"/>
          <w:sz w:val="22"/>
          <w:szCs w:val="22"/>
        </w:rPr>
        <w:t xml:space="preserve"> </w:t>
      </w:r>
    </w:p>
    <w:p w14:paraId="03273848" w14:textId="7BCA4CC1" w:rsidR="004A7CF3" w:rsidRPr="008A3A5D" w:rsidRDefault="00B632C0" w:rsidP="00B4337F">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color w:val="333333"/>
          <w:sz w:val="22"/>
          <w:szCs w:val="22"/>
        </w:rPr>
        <w:t xml:space="preserve">A prohibitive order of this magnitude </w:t>
      </w:r>
      <w:r w:rsidR="00E16D2D" w:rsidRPr="008A3A5D">
        <w:rPr>
          <w:rFonts w:ascii="Core Sans D 35 Regular" w:eastAsia="Times New Roman" w:hAnsi="Core Sans D 35 Regular" w:cs="Times New Roman"/>
          <w:color w:val="333333"/>
          <w:sz w:val="22"/>
          <w:szCs w:val="22"/>
        </w:rPr>
        <w:t xml:space="preserve">would </w:t>
      </w:r>
      <w:r w:rsidR="00EC0AB4" w:rsidRPr="008A3A5D">
        <w:rPr>
          <w:rFonts w:ascii="Core Sans D 35 Regular" w:eastAsia="Times New Roman" w:hAnsi="Core Sans D 35 Regular" w:cs="Times New Roman"/>
          <w:color w:val="333333"/>
          <w:sz w:val="22"/>
          <w:szCs w:val="22"/>
        </w:rPr>
        <w:t xml:space="preserve">not </w:t>
      </w:r>
      <w:r w:rsidR="00960A11" w:rsidRPr="008A3A5D">
        <w:rPr>
          <w:rFonts w:ascii="Core Sans D 35 Regular" w:eastAsia="Times New Roman" w:hAnsi="Core Sans D 35 Regular" w:cs="Times New Roman"/>
          <w:color w:val="333333"/>
          <w:sz w:val="22"/>
          <w:szCs w:val="22"/>
        </w:rPr>
        <w:t xml:space="preserve">be </w:t>
      </w:r>
      <w:r w:rsidR="00B143DB" w:rsidRPr="008A3A5D">
        <w:rPr>
          <w:rFonts w:ascii="Core Sans D 35 Regular" w:eastAsia="Times New Roman" w:hAnsi="Core Sans D 35 Regular" w:cs="Times New Roman"/>
          <w:color w:val="333333"/>
          <w:sz w:val="22"/>
          <w:szCs w:val="22"/>
        </w:rPr>
        <w:t xml:space="preserve">practical without </w:t>
      </w:r>
      <w:r w:rsidR="003E01F0" w:rsidRPr="008A3A5D">
        <w:rPr>
          <w:rFonts w:ascii="Core Sans D 35 Regular" w:eastAsia="Times New Roman" w:hAnsi="Core Sans D 35 Regular" w:cs="Times New Roman"/>
          <w:color w:val="333333"/>
          <w:sz w:val="22"/>
          <w:szCs w:val="22"/>
        </w:rPr>
        <w:t xml:space="preserve">being </w:t>
      </w:r>
      <w:r w:rsidR="003D3016" w:rsidRPr="008A3A5D">
        <w:rPr>
          <w:rFonts w:ascii="Core Sans D 35 Regular" w:eastAsia="Times New Roman" w:hAnsi="Core Sans D 35 Regular" w:cs="Times New Roman"/>
          <w:color w:val="333333"/>
          <w:sz w:val="22"/>
          <w:szCs w:val="22"/>
        </w:rPr>
        <w:t xml:space="preserve">highly disruptive. </w:t>
      </w:r>
      <w:r w:rsidR="00F311EE" w:rsidRPr="008A3A5D">
        <w:rPr>
          <w:rFonts w:ascii="Core Sans D 35 Regular" w:eastAsia="Times New Roman" w:hAnsi="Core Sans D 35 Regular" w:cs="Times New Roman"/>
          <w:color w:val="333333"/>
          <w:sz w:val="22"/>
          <w:szCs w:val="22"/>
        </w:rPr>
        <w:t xml:space="preserve">Many of the </w:t>
      </w:r>
      <w:r w:rsidR="008B600E" w:rsidRPr="008A3A5D">
        <w:rPr>
          <w:rFonts w:ascii="Core Sans D 35 Regular" w:eastAsia="Times New Roman" w:hAnsi="Core Sans D 35 Regular" w:cs="Times New Roman"/>
          <w:color w:val="333333"/>
          <w:sz w:val="22"/>
          <w:szCs w:val="22"/>
        </w:rPr>
        <w:t>utilities do not have the ability to identify the critical infrastructure within their territories</w:t>
      </w:r>
      <w:r w:rsidR="00564F2F">
        <w:rPr>
          <w:rFonts w:ascii="Core Sans D 35 Regular" w:eastAsia="Times New Roman" w:hAnsi="Core Sans D 35 Regular" w:cs="Times New Roman"/>
          <w:color w:val="333333"/>
          <w:sz w:val="22"/>
          <w:szCs w:val="22"/>
        </w:rPr>
        <w:t>,</w:t>
      </w:r>
      <w:r w:rsidR="008B600E" w:rsidRPr="008A3A5D">
        <w:rPr>
          <w:rFonts w:ascii="Core Sans D 35 Regular" w:eastAsia="Times New Roman" w:hAnsi="Core Sans D 35 Regular" w:cs="Times New Roman"/>
          <w:color w:val="333333"/>
          <w:sz w:val="22"/>
          <w:szCs w:val="22"/>
        </w:rPr>
        <w:t xml:space="preserve"> and the </w:t>
      </w:r>
      <w:r w:rsidR="007A16B6" w:rsidRPr="008A3A5D">
        <w:rPr>
          <w:rFonts w:ascii="Core Sans D 35 Regular" w:eastAsia="Times New Roman" w:hAnsi="Core Sans D 35 Regular" w:cs="Times New Roman"/>
          <w:color w:val="333333"/>
          <w:sz w:val="22"/>
          <w:szCs w:val="22"/>
        </w:rPr>
        <w:t xml:space="preserve">distributed nature of the infrastructure could result in the entire infrastructure falling </w:t>
      </w:r>
      <w:r w:rsidR="00C84AC2" w:rsidRPr="008A3A5D">
        <w:rPr>
          <w:rFonts w:ascii="Core Sans D 35 Regular" w:eastAsia="Times New Roman" w:hAnsi="Core Sans D 35 Regular" w:cs="Times New Roman"/>
          <w:color w:val="333333"/>
          <w:sz w:val="22"/>
          <w:szCs w:val="22"/>
        </w:rPr>
        <w:t>under this order. A</w:t>
      </w:r>
      <w:r w:rsidR="009B309E" w:rsidRPr="008A3A5D">
        <w:rPr>
          <w:rFonts w:ascii="Core Sans D 35 Regular" w:eastAsia="Times New Roman" w:hAnsi="Core Sans D 35 Regular" w:cs="Times New Roman"/>
          <w:color w:val="333333"/>
          <w:sz w:val="22"/>
          <w:szCs w:val="22"/>
        </w:rPr>
        <w:t>dditionally</w:t>
      </w:r>
      <w:r w:rsidR="00C93172" w:rsidRPr="008A3A5D">
        <w:rPr>
          <w:rFonts w:ascii="Core Sans D 35 Regular" w:eastAsia="Times New Roman" w:hAnsi="Core Sans D 35 Regular" w:cs="Times New Roman"/>
          <w:color w:val="333333"/>
          <w:sz w:val="22"/>
          <w:szCs w:val="22"/>
        </w:rPr>
        <w:t>,</w:t>
      </w:r>
      <w:r w:rsidR="009B309E" w:rsidRPr="008A3A5D">
        <w:rPr>
          <w:rFonts w:ascii="Core Sans D 35 Regular" w:eastAsia="Times New Roman" w:hAnsi="Core Sans D 35 Regular" w:cs="Times New Roman"/>
          <w:color w:val="333333"/>
          <w:sz w:val="22"/>
          <w:szCs w:val="22"/>
        </w:rPr>
        <w:t xml:space="preserve"> the </w:t>
      </w:r>
      <w:r w:rsidR="00750385" w:rsidRPr="008A3A5D">
        <w:rPr>
          <w:rFonts w:ascii="Core Sans D 35 Regular" w:eastAsia="Times New Roman" w:hAnsi="Core Sans D 35 Regular" w:cs="Times New Roman"/>
          <w:color w:val="333333"/>
          <w:sz w:val="22"/>
          <w:szCs w:val="22"/>
        </w:rPr>
        <w:t>expense</w:t>
      </w:r>
      <w:r w:rsidR="009B309E" w:rsidRPr="008A3A5D">
        <w:rPr>
          <w:rFonts w:ascii="Core Sans D 35 Regular" w:eastAsia="Times New Roman" w:hAnsi="Core Sans D 35 Regular" w:cs="Times New Roman"/>
          <w:color w:val="333333"/>
          <w:sz w:val="22"/>
          <w:szCs w:val="22"/>
        </w:rPr>
        <w:t xml:space="preserve"> of </w:t>
      </w:r>
      <w:r w:rsidR="00D717FA" w:rsidRPr="008A3A5D">
        <w:rPr>
          <w:rFonts w:ascii="Core Sans D 35 Regular" w:eastAsia="Times New Roman" w:hAnsi="Core Sans D 35 Regular" w:cs="Times New Roman"/>
          <w:color w:val="333333"/>
          <w:sz w:val="22"/>
          <w:szCs w:val="22"/>
        </w:rPr>
        <w:t xml:space="preserve">replacing prohibited equipment would be costly without having any guarantee of increasing the security of the </w:t>
      </w:r>
      <w:r w:rsidR="00C93172" w:rsidRPr="008A3A5D">
        <w:rPr>
          <w:rFonts w:ascii="Core Sans D 35 Regular" w:eastAsia="Times New Roman" w:hAnsi="Core Sans D 35 Regular" w:cs="Times New Roman"/>
          <w:color w:val="333333"/>
          <w:sz w:val="22"/>
          <w:szCs w:val="22"/>
        </w:rPr>
        <w:t>nation’s</w:t>
      </w:r>
      <w:r w:rsidR="00D717FA" w:rsidRPr="008A3A5D">
        <w:rPr>
          <w:rFonts w:ascii="Core Sans D 35 Regular" w:eastAsia="Times New Roman" w:hAnsi="Core Sans D 35 Regular" w:cs="Times New Roman"/>
          <w:color w:val="333333"/>
          <w:sz w:val="22"/>
          <w:szCs w:val="22"/>
        </w:rPr>
        <w:t xml:space="preserve"> infrastructure.</w:t>
      </w:r>
      <w:r w:rsidR="00AF1B0A" w:rsidRPr="008A3A5D">
        <w:rPr>
          <w:rFonts w:ascii="Core Sans D 35 Regular" w:eastAsia="Times New Roman" w:hAnsi="Core Sans D 35 Regular" w:cs="Times New Roman"/>
          <w:color w:val="333333"/>
          <w:sz w:val="22"/>
          <w:szCs w:val="22"/>
        </w:rPr>
        <w:t xml:space="preserve"> An alternative </w:t>
      </w:r>
      <w:r w:rsidR="00F74EC4" w:rsidRPr="008A3A5D">
        <w:rPr>
          <w:rFonts w:ascii="Core Sans D 35 Regular" w:eastAsia="Times New Roman" w:hAnsi="Core Sans D 35 Regular" w:cs="Times New Roman"/>
          <w:color w:val="333333"/>
          <w:sz w:val="22"/>
          <w:szCs w:val="22"/>
        </w:rPr>
        <w:t xml:space="preserve">risk and </w:t>
      </w:r>
      <w:r w:rsidR="002E43A6" w:rsidRPr="008A3A5D">
        <w:rPr>
          <w:rFonts w:ascii="Core Sans D 35 Regular" w:eastAsia="Times New Roman" w:hAnsi="Core Sans D 35 Regular" w:cs="Times New Roman"/>
          <w:color w:val="333333"/>
          <w:sz w:val="22"/>
          <w:szCs w:val="22"/>
        </w:rPr>
        <w:t>threat-oriented</w:t>
      </w:r>
      <w:r w:rsidR="00F74EC4" w:rsidRPr="008A3A5D">
        <w:rPr>
          <w:rFonts w:ascii="Core Sans D 35 Regular" w:eastAsia="Times New Roman" w:hAnsi="Core Sans D 35 Regular" w:cs="Times New Roman"/>
          <w:color w:val="333333"/>
          <w:sz w:val="22"/>
          <w:szCs w:val="22"/>
        </w:rPr>
        <w:t xml:space="preserve"> approach of investment, incentives</w:t>
      </w:r>
      <w:r w:rsidR="00564F2F">
        <w:rPr>
          <w:rFonts w:ascii="Core Sans D 35 Regular" w:eastAsia="Times New Roman" w:hAnsi="Core Sans D 35 Regular" w:cs="Times New Roman"/>
          <w:color w:val="333333"/>
          <w:sz w:val="22"/>
          <w:szCs w:val="22"/>
        </w:rPr>
        <w:t>,</w:t>
      </w:r>
      <w:r w:rsidR="00F74EC4" w:rsidRPr="008A3A5D">
        <w:rPr>
          <w:rFonts w:ascii="Core Sans D 35 Regular" w:eastAsia="Times New Roman" w:hAnsi="Core Sans D 35 Regular" w:cs="Times New Roman"/>
          <w:color w:val="333333"/>
          <w:sz w:val="22"/>
          <w:szCs w:val="22"/>
        </w:rPr>
        <w:t xml:space="preserve"> and modernization </w:t>
      </w:r>
      <w:r w:rsidR="00150390" w:rsidRPr="008A3A5D">
        <w:rPr>
          <w:rFonts w:ascii="Core Sans D 35 Regular" w:eastAsia="Times New Roman" w:hAnsi="Core Sans D 35 Regular" w:cs="Times New Roman"/>
          <w:color w:val="333333"/>
          <w:sz w:val="22"/>
          <w:szCs w:val="22"/>
        </w:rPr>
        <w:t xml:space="preserve">based on </w:t>
      </w:r>
      <w:r w:rsidR="00DF3044" w:rsidRPr="008A3A5D">
        <w:rPr>
          <w:rFonts w:ascii="Core Sans D 35 Regular" w:eastAsia="Times New Roman" w:hAnsi="Core Sans D 35 Regular" w:cs="Times New Roman"/>
          <w:color w:val="333333"/>
          <w:sz w:val="22"/>
          <w:szCs w:val="22"/>
        </w:rPr>
        <w:t xml:space="preserve">the “Services of Common Concern” </w:t>
      </w:r>
      <w:r w:rsidR="009B7BCD" w:rsidRPr="008A3A5D">
        <w:rPr>
          <w:rFonts w:ascii="Core Sans D 35 Regular" w:eastAsia="Times New Roman" w:hAnsi="Core Sans D 35 Regular" w:cs="Times New Roman"/>
          <w:color w:val="333333"/>
          <w:sz w:val="22"/>
          <w:szCs w:val="22"/>
        </w:rPr>
        <w:t xml:space="preserve">would serve to focus threat testing and evaluation on the most critical </w:t>
      </w:r>
      <w:r w:rsidR="002E43A6" w:rsidRPr="008A3A5D">
        <w:rPr>
          <w:rFonts w:ascii="Core Sans D 35 Regular" w:eastAsia="Times New Roman" w:hAnsi="Core Sans D 35 Regular" w:cs="Times New Roman"/>
          <w:color w:val="333333"/>
          <w:sz w:val="22"/>
          <w:szCs w:val="22"/>
        </w:rPr>
        <w:t>risk-based</w:t>
      </w:r>
      <w:r w:rsidR="00CD29F3" w:rsidRPr="008A3A5D">
        <w:rPr>
          <w:rFonts w:ascii="Core Sans D 35 Regular" w:eastAsia="Times New Roman" w:hAnsi="Core Sans D 35 Regular" w:cs="Times New Roman"/>
          <w:color w:val="333333"/>
          <w:sz w:val="22"/>
          <w:szCs w:val="22"/>
        </w:rPr>
        <w:t xml:space="preserve"> threats. With sector</w:t>
      </w:r>
      <w:r w:rsidR="00564F2F">
        <w:rPr>
          <w:rFonts w:ascii="Core Sans D 35 Regular" w:eastAsia="Times New Roman" w:hAnsi="Core Sans D 35 Regular" w:cs="Times New Roman"/>
          <w:color w:val="333333"/>
          <w:sz w:val="22"/>
          <w:szCs w:val="22"/>
        </w:rPr>
        <w:t>-</w:t>
      </w:r>
      <w:r w:rsidR="00CD29F3" w:rsidRPr="008A3A5D">
        <w:rPr>
          <w:rFonts w:ascii="Core Sans D 35 Regular" w:eastAsia="Times New Roman" w:hAnsi="Core Sans D 35 Regular" w:cs="Times New Roman"/>
          <w:color w:val="333333"/>
          <w:sz w:val="22"/>
          <w:szCs w:val="22"/>
        </w:rPr>
        <w:t>wide threat focused analysis</w:t>
      </w:r>
      <w:r w:rsidR="00564F2F">
        <w:rPr>
          <w:rFonts w:ascii="Core Sans D 35 Regular" w:eastAsia="Times New Roman" w:hAnsi="Core Sans D 35 Regular" w:cs="Times New Roman"/>
          <w:color w:val="333333"/>
          <w:sz w:val="22"/>
          <w:szCs w:val="22"/>
        </w:rPr>
        <w:t>,</w:t>
      </w:r>
      <w:r w:rsidR="00CD29F3" w:rsidRPr="008A3A5D">
        <w:rPr>
          <w:rFonts w:ascii="Core Sans D 35 Regular" w:eastAsia="Times New Roman" w:hAnsi="Core Sans D 35 Regular" w:cs="Times New Roman"/>
          <w:color w:val="333333"/>
          <w:sz w:val="22"/>
          <w:szCs w:val="22"/>
        </w:rPr>
        <w:t xml:space="preserve"> domestic manufacturers could be incentivized to </w:t>
      </w:r>
      <w:r w:rsidR="005C761E" w:rsidRPr="008A3A5D">
        <w:rPr>
          <w:rFonts w:ascii="Core Sans D 35 Regular" w:eastAsia="Times New Roman" w:hAnsi="Core Sans D 35 Regular" w:cs="Times New Roman"/>
          <w:color w:val="333333"/>
          <w:sz w:val="22"/>
          <w:szCs w:val="22"/>
        </w:rPr>
        <w:t>manufacture secure trusted solutions for the most needed and critical parts to protect against foreign influenced threats. This approach</w:t>
      </w:r>
      <w:r w:rsidR="00564F2F">
        <w:rPr>
          <w:rFonts w:ascii="Core Sans D 35 Regular" w:eastAsia="Times New Roman" w:hAnsi="Core Sans D 35 Regular" w:cs="Times New Roman"/>
          <w:color w:val="333333"/>
          <w:sz w:val="22"/>
          <w:szCs w:val="22"/>
        </w:rPr>
        <w:t>,</w:t>
      </w:r>
      <w:r w:rsidR="005C761E" w:rsidRPr="008A3A5D">
        <w:rPr>
          <w:rFonts w:ascii="Core Sans D 35 Regular" w:eastAsia="Times New Roman" w:hAnsi="Core Sans D 35 Regular" w:cs="Times New Roman"/>
          <w:color w:val="333333"/>
          <w:sz w:val="22"/>
          <w:szCs w:val="22"/>
        </w:rPr>
        <w:t xml:space="preserve"> coupled with </w:t>
      </w:r>
      <w:r w:rsidR="006F6D44" w:rsidRPr="008A3A5D">
        <w:rPr>
          <w:rFonts w:ascii="Core Sans D 35 Regular" w:eastAsia="Times New Roman" w:hAnsi="Core Sans D 35 Regular" w:cs="Times New Roman"/>
          <w:color w:val="333333"/>
          <w:sz w:val="22"/>
          <w:szCs w:val="22"/>
        </w:rPr>
        <w:t xml:space="preserve">incentivized </w:t>
      </w:r>
      <w:r w:rsidR="002E43A6" w:rsidRPr="008A3A5D">
        <w:rPr>
          <w:rFonts w:ascii="Core Sans D 35 Regular" w:eastAsia="Times New Roman" w:hAnsi="Core Sans D 35 Regular" w:cs="Times New Roman"/>
          <w:color w:val="333333"/>
          <w:sz w:val="22"/>
          <w:szCs w:val="22"/>
        </w:rPr>
        <w:t>security-based</w:t>
      </w:r>
      <w:r w:rsidR="005C761E" w:rsidRPr="008A3A5D">
        <w:rPr>
          <w:rFonts w:ascii="Core Sans D 35 Regular" w:eastAsia="Times New Roman" w:hAnsi="Core Sans D 35 Regular" w:cs="Times New Roman"/>
          <w:color w:val="333333"/>
          <w:sz w:val="22"/>
          <w:szCs w:val="22"/>
        </w:rPr>
        <w:t xml:space="preserve"> </w:t>
      </w:r>
      <w:r w:rsidR="006F6D44" w:rsidRPr="008A3A5D">
        <w:rPr>
          <w:rFonts w:ascii="Core Sans D 35 Regular" w:eastAsia="Times New Roman" w:hAnsi="Core Sans D 35 Regular" w:cs="Times New Roman"/>
          <w:color w:val="333333"/>
          <w:sz w:val="22"/>
          <w:szCs w:val="22"/>
        </w:rPr>
        <w:t>modernization efforts</w:t>
      </w:r>
      <w:r w:rsidR="00564F2F">
        <w:rPr>
          <w:rFonts w:ascii="Core Sans D 35 Regular" w:eastAsia="Times New Roman" w:hAnsi="Core Sans D 35 Regular" w:cs="Times New Roman"/>
          <w:color w:val="333333"/>
          <w:sz w:val="22"/>
          <w:szCs w:val="22"/>
        </w:rPr>
        <w:t>,</w:t>
      </w:r>
      <w:r w:rsidR="006F6D44" w:rsidRPr="008A3A5D">
        <w:rPr>
          <w:rFonts w:ascii="Core Sans D 35 Regular" w:eastAsia="Times New Roman" w:hAnsi="Core Sans D 35 Regular" w:cs="Times New Roman"/>
          <w:color w:val="333333"/>
          <w:sz w:val="22"/>
          <w:szCs w:val="22"/>
        </w:rPr>
        <w:t xml:space="preserve"> would enable </w:t>
      </w:r>
      <w:r w:rsidR="00455C1B" w:rsidRPr="008A3A5D">
        <w:rPr>
          <w:rFonts w:ascii="Core Sans D 35 Regular" w:eastAsia="Times New Roman" w:hAnsi="Core Sans D 35 Regular" w:cs="Times New Roman"/>
          <w:color w:val="333333"/>
          <w:sz w:val="22"/>
          <w:szCs w:val="22"/>
        </w:rPr>
        <w:t xml:space="preserve">all </w:t>
      </w:r>
      <w:r w:rsidR="00260178" w:rsidRPr="008A3A5D">
        <w:rPr>
          <w:rFonts w:ascii="Core Sans D 35 Regular" w:eastAsia="Times New Roman" w:hAnsi="Core Sans D 35 Regular" w:cs="Times New Roman"/>
          <w:color w:val="333333"/>
          <w:sz w:val="22"/>
          <w:szCs w:val="22"/>
        </w:rPr>
        <w:t>electrical providers</w:t>
      </w:r>
      <w:r w:rsidR="00427EF0" w:rsidRPr="008A3A5D">
        <w:rPr>
          <w:rFonts w:ascii="Core Sans D 35 Regular" w:eastAsia="Times New Roman" w:hAnsi="Core Sans D 35 Regular" w:cs="Times New Roman"/>
          <w:color w:val="333333"/>
          <w:sz w:val="22"/>
          <w:szCs w:val="22"/>
        </w:rPr>
        <w:t xml:space="preserve"> to cost effectively address security as a function of their core business </w:t>
      </w:r>
      <w:r w:rsidR="008538C6" w:rsidRPr="008A3A5D">
        <w:rPr>
          <w:rFonts w:ascii="Core Sans D 35 Regular" w:eastAsia="Times New Roman" w:hAnsi="Core Sans D 35 Regular" w:cs="Times New Roman"/>
          <w:color w:val="333333"/>
          <w:sz w:val="22"/>
          <w:szCs w:val="22"/>
        </w:rPr>
        <w:t>processes</w:t>
      </w:r>
      <w:r w:rsidR="00C42A3C" w:rsidRPr="008A3A5D">
        <w:rPr>
          <w:rFonts w:ascii="Core Sans D 35 Regular" w:eastAsia="Times New Roman" w:hAnsi="Core Sans D 35 Regular" w:cs="Times New Roman"/>
          <w:color w:val="333333"/>
          <w:sz w:val="22"/>
          <w:szCs w:val="22"/>
        </w:rPr>
        <w:t xml:space="preserve"> while transitioning to domestic suppliers with tested and trusted </w:t>
      </w:r>
      <w:r w:rsidR="00F21DC8" w:rsidRPr="008A3A5D">
        <w:rPr>
          <w:rFonts w:ascii="Core Sans D 35 Regular" w:eastAsia="Times New Roman" w:hAnsi="Core Sans D 35 Regular" w:cs="Times New Roman"/>
          <w:color w:val="333333"/>
          <w:sz w:val="22"/>
          <w:szCs w:val="22"/>
        </w:rPr>
        <w:t>components.</w:t>
      </w:r>
    </w:p>
    <w:p w14:paraId="0A540AD5" w14:textId="77777777" w:rsidR="00B4337F" w:rsidRPr="008A3A5D" w:rsidRDefault="00BF6E7D" w:rsidP="00B4337F">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b/>
          <w:bCs/>
          <w:color w:val="333333"/>
          <w:sz w:val="22"/>
          <w:szCs w:val="22"/>
        </w:rPr>
        <w:t>B</w:t>
      </w:r>
      <w:r w:rsidR="004A7CF3" w:rsidRPr="008A3A5D">
        <w:rPr>
          <w:rFonts w:ascii="Core Sans D 35 Regular" w:eastAsia="Times New Roman" w:hAnsi="Core Sans D 35 Regular" w:cs="Times New Roman"/>
          <w:b/>
          <w:bCs/>
          <w:color w:val="333333"/>
          <w:sz w:val="22"/>
          <w:szCs w:val="22"/>
        </w:rPr>
        <w:t>4.</w:t>
      </w:r>
      <w:r w:rsidR="004A7CF3" w:rsidRPr="008A3A5D">
        <w:rPr>
          <w:rFonts w:ascii="Core Sans D 35 Regular" w:eastAsia="Times New Roman" w:hAnsi="Core Sans D 35 Regular" w:cs="Times New Roman"/>
          <w:color w:val="333333"/>
          <w:sz w:val="22"/>
          <w:szCs w:val="22"/>
        </w:rPr>
        <w:t xml:space="preserve"> Are utilities sufficiently able to identify critical infrastructure within their service territory that would enable compliance with such requirements?</w:t>
      </w:r>
      <w:r w:rsidR="0033279D" w:rsidRPr="008A3A5D">
        <w:rPr>
          <w:rFonts w:ascii="Core Sans D 35 Regular" w:eastAsia="Times New Roman" w:hAnsi="Core Sans D 35 Regular" w:cs="Times New Roman"/>
          <w:color w:val="333333"/>
          <w:sz w:val="22"/>
          <w:szCs w:val="22"/>
        </w:rPr>
        <w:t xml:space="preserve"> </w:t>
      </w:r>
    </w:p>
    <w:p w14:paraId="45AF12BB" w14:textId="6B984A2B" w:rsidR="00115820" w:rsidRPr="008A3A5D" w:rsidRDefault="0033279D" w:rsidP="00115820">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eastAsia="Times New Roman" w:hAnsi="Core Sans D 35 Regular" w:cs="Times New Roman"/>
          <w:color w:val="333333"/>
          <w:sz w:val="22"/>
          <w:szCs w:val="22"/>
        </w:rPr>
        <w:t xml:space="preserve">Please </w:t>
      </w:r>
      <w:r w:rsidR="00BF6E7D" w:rsidRPr="008A3A5D">
        <w:rPr>
          <w:rFonts w:ascii="Core Sans D 35 Regular" w:eastAsia="Times New Roman" w:hAnsi="Core Sans D 35 Regular" w:cs="Times New Roman"/>
          <w:color w:val="333333"/>
          <w:sz w:val="22"/>
          <w:szCs w:val="22"/>
        </w:rPr>
        <w:t xml:space="preserve">see </w:t>
      </w:r>
      <w:r w:rsidR="006D6F6D" w:rsidRPr="008A3A5D">
        <w:rPr>
          <w:rFonts w:ascii="Core Sans D 35 Regular" w:eastAsia="Times New Roman" w:hAnsi="Core Sans D 35 Regular" w:cs="Times New Roman"/>
          <w:color w:val="333333"/>
          <w:sz w:val="22"/>
          <w:szCs w:val="22"/>
        </w:rPr>
        <w:t xml:space="preserve">the </w:t>
      </w:r>
      <w:r w:rsidRPr="008A3A5D">
        <w:rPr>
          <w:rFonts w:ascii="Core Sans D 35 Regular" w:eastAsia="Times New Roman" w:hAnsi="Core Sans D 35 Regular" w:cs="Times New Roman"/>
          <w:color w:val="333333"/>
          <w:sz w:val="22"/>
          <w:szCs w:val="22"/>
        </w:rPr>
        <w:t xml:space="preserve">response </w:t>
      </w:r>
      <w:r w:rsidR="006D6F6D" w:rsidRPr="008A3A5D">
        <w:rPr>
          <w:rFonts w:ascii="Core Sans D 35 Regular" w:eastAsia="Times New Roman" w:hAnsi="Core Sans D 35 Regular" w:cs="Times New Roman"/>
          <w:color w:val="333333"/>
          <w:sz w:val="22"/>
          <w:szCs w:val="22"/>
        </w:rPr>
        <w:t xml:space="preserve">to question B3. </w:t>
      </w:r>
      <w:r w:rsidRPr="008A3A5D">
        <w:rPr>
          <w:rFonts w:ascii="Core Sans D 35 Regular" w:eastAsia="Times New Roman" w:hAnsi="Core Sans D 35 Regular" w:cs="Times New Roman"/>
          <w:color w:val="333333"/>
          <w:sz w:val="22"/>
          <w:szCs w:val="22"/>
        </w:rPr>
        <w:t xml:space="preserve"> </w:t>
      </w:r>
    </w:p>
    <w:p w14:paraId="544732F1" w14:textId="30B510E6" w:rsidR="00D51718" w:rsidRPr="008A3A5D" w:rsidRDefault="004110B5" w:rsidP="00115820">
      <w:pPr>
        <w:spacing w:after="360"/>
        <w:ind w:left="-450"/>
        <w:textAlignment w:val="baseline"/>
        <w:rPr>
          <w:rFonts w:ascii="Core Sans D 35 Regular" w:eastAsia="Times New Roman" w:hAnsi="Core Sans D 35 Regular" w:cs="Times New Roman"/>
          <w:color w:val="333333"/>
          <w:sz w:val="22"/>
          <w:szCs w:val="22"/>
        </w:rPr>
      </w:pPr>
      <w:r w:rsidRPr="008A3A5D">
        <w:rPr>
          <w:rFonts w:ascii="Core Sans D 35 Regular" w:hAnsi="Core Sans D 35 Regular" w:cstheme="minorHAnsi"/>
          <w:b/>
          <w:bCs/>
          <w:sz w:val="22"/>
          <w:szCs w:val="22"/>
        </w:rPr>
        <w:t>A. Development of a Long-Term Strategy</w:t>
      </w:r>
    </w:p>
    <w:p w14:paraId="7EEAAE40" w14:textId="7383CF34" w:rsidR="001B57D0" w:rsidRDefault="00D51718" w:rsidP="00115820">
      <w:pPr>
        <w:tabs>
          <w:tab w:val="num" w:pos="720"/>
        </w:tabs>
        <w:rPr>
          <w:rFonts w:ascii="Core Sans D 35 Regular" w:hAnsi="Core Sans D 35 Regular" w:cstheme="minorHAnsi"/>
          <w:sz w:val="22"/>
          <w:szCs w:val="22"/>
        </w:rPr>
      </w:pPr>
      <w:r w:rsidRPr="008A3A5D">
        <w:rPr>
          <w:rFonts w:ascii="Core Sans D 35 Regular" w:hAnsi="Core Sans D 35 Regular" w:cstheme="minorHAnsi"/>
          <w:sz w:val="22"/>
          <w:szCs w:val="22"/>
        </w:rPr>
        <w:tab/>
        <w:t xml:space="preserve">The Energy Sector </w:t>
      </w:r>
      <w:r w:rsidR="00B3108D" w:rsidRPr="008A3A5D">
        <w:rPr>
          <w:rFonts w:ascii="Core Sans D 35 Regular" w:hAnsi="Core Sans D 35 Regular" w:cstheme="minorHAnsi"/>
          <w:sz w:val="22"/>
          <w:szCs w:val="22"/>
        </w:rPr>
        <w:t>and</w:t>
      </w:r>
      <w:r w:rsidRPr="008A3A5D">
        <w:rPr>
          <w:rFonts w:ascii="Core Sans D 35 Regular" w:hAnsi="Core Sans D 35 Regular" w:cstheme="minorHAnsi"/>
          <w:sz w:val="22"/>
          <w:szCs w:val="22"/>
        </w:rPr>
        <w:t xml:space="preserve"> its </w:t>
      </w:r>
      <w:r w:rsidR="001B57D0" w:rsidRPr="008A3A5D">
        <w:rPr>
          <w:rFonts w:ascii="Core Sans D 35 Regular" w:hAnsi="Core Sans D 35 Regular" w:cstheme="minorHAnsi"/>
          <w:sz w:val="22"/>
          <w:szCs w:val="22"/>
        </w:rPr>
        <w:t xml:space="preserve">multiple </w:t>
      </w:r>
      <w:r w:rsidRPr="008A3A5D">
        <w:rPr>
          <w:rFonts w:ascii="Core Sans D 35 Regular" w:hAnsi="Core Sans D 35 Regular" w:cstheme="minorHAnsi"/>
          <w:sz w:val="22"/>
          <w:szCs w:val="22"/>
        </w:rPr>
        <w:t>architecture</w:t>
      </w:r>
      <w:r w:rsidR="001B57D0" w:rsidRPr="008A3A5D">
        <w:rPr>
          <w:rFonts w:ascii="Core Sans D 35 Regular" w:hAnsi="Core Sans D 35 Regular" w:cstheme="minorHAnsi"/>
          <w:sz w:val="22"/>
          <w:szCs w:val="22"/>
        </w:rPr>
        <w:t>s</w:t>
      </w:r>
      <w:r w:rsidRPr="008A3A5D">
        <w:rPr>
          <w:rFonts w:ascii="Core Sans D 35 Regular" w:hAnsi="Core Sans D 35 Regular" w:cstheme="minorHAnsi"/>
          <w:sz w:val="22"/>
          <w:szCs w:val="22"/>
        </w:rPr>
        <w:t xml:space="preserve"> face a relentless cyber threat from a broad range of sophisticated actors. The 3,</w:t>
      </w:r>
      <w:r w:rsidR="006A6734" w:rsidRPr="008A3A5D">
        <w:rPr>
          <w:rFonts w:ascii="Core Sans D 35 Regular" w:hAnsi="Core Sans D 35 Regular" w:cstheme="minorHAnsi"/>
          <w:sz w:val="22"/>
          <w:szCs w:val="22"/>
        </w:rPr>
        <w:t>4</w:t>
      </w:r>
      <w:r w:rsidRPr="008A3A5D">
        <w:rPr>
          <w:rFonts w:ascii="Core Sans D 35 Regular" w:hAnsi="Core Sans D 35 Regular" w:cstheme="minorHAnsi"/>
          <w:sz w:val="22"/>
          <w:szCs w:val="22"/>
        </w:rPr>
        <w:t xml:space="preserve">00+ energy companies and entities vary greatly in size, cybersecurity expertise, </w:t>
      </w:r>
      <w:r w:rsidR="00B3108D" w:rsidRPr="008A3A5D">
        <w:rPr>
          <w:rFonts w:ascii="Core Sans D 35 Regular" w:hAnsi="Core Sans D 35 Regular" w:cstheme="minorHAnsi"/>
          <w:sz w:val="22"/>
          <w:szCs w:val="22"/>
        </w:rPr>
        <w:t>and</w:t>
      </w:r>
      <w:r w:rsidRPr="008A3A5D">
        <w:rPr>
          <w:rFonts w:ascii="Core Sans D 35 Regular" w:hAnsi="Core Sans D 35 Regular" w:cstheme="minorHAnsi"/>
          <w:sz w:val="22"/>
          <w:szCs w:val="22"/>
        </w:rPr>
        <w:t xml:space="preserve"> financial resources, creating great disparities in staff expertise and available funding. Commissioners and Executives are </w:t>
      </w:r>
      <w:r w:rsidR="00750385" w:rsidRPr="008A3A5D">
        <w:rPr>
          <w:rFonts w:ascii="Core Sans D 35 Regular" w:hAnsi="Core Sans D 35 Regular" w:cstheme="minorHAnsi"/>
          <w:sz w:val="22"/>
          <w:szCs w:val="22"/>
        </w:rPr>
        <w:t>aware</w:t>
      </w:r>
      <w:r w:rsidRPr="008A3A5D">
        <w:rPr>
          <w:rFonts w:ascii="Core Sans D 35 Regular" w:hAnsi="Core Sans D 35 Regular" w:cstheme="minorHAnsi"/>
          <w:sz w:val="22"/>
          <w:szCs w:val="22"/>
        </w:rPr>
        <w:t xml:space="preserve"> of the general cyber risks impacting their Sector, but do not have continuous insight into current cyber risk indicators, capability gaps</w:t>
      </w:r>
      <w:r w:rsidR="00E5474C">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and threat trends across their region, company ecosystem</w:t>
      </w:r>
      <w:r w:rsidR="00E5474C">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or supply chain. </w:t>
      </w:r>
      <w:r w:rsidR="009F5D70" w:rsidRPr="008A3A5D">
        <w:rPr>
          <w:rFonts w:ascii="Core Sans D 35 Regular" w:hAnsi="Core Sans D 35 Regular" w:cstheme="minorHAnsi"/>
          <w:sz w:val="22"/>
          <w:szCs w:val="22"/>
        </w:rPr>
        <w:t>Therefore,</w:t>
      </w:r>
      <w:r w:rsidRPr="008A3A5D">
        <w:rPr>
          <w:rFonts w:ascii="Core Sans D 35 Regular" w:hAnsi="Core Sans D 35 Regular" w:cstheme="minorHAnsi"/>
          <w:sz w:val="22"/>
          <w:szCs w:val="22"/>
        </w:rPr>
        <w:t xml:space="preserve"> today’s </w:t>
      </w:r>
      <w:r w:rsidRPr="008A3A5D">
        <w:rPr>
          <w:rFonts w:ascii="Core Sans D 35 Regular" w:hAnsi="Core Sans D 35 Regular" w:cstheme="minorHAnsi"/>
          <w:sz w:val="22"/>
          <w:szCs w:val="22"/>
        </w:rPr>
        <w:lastRenderedPageBreak/>
        <w:t xml:space="preserve">focus is primarily on implementing best practices and known standards, all of which is foundational but not sufficient, to ensure </w:t>
      </w:r>
      <w:r w:rsidR="004656BB">
        <w:rPr>
          <w:rFonts w:ascii="Core Sans D 35 Regular" w:hAnsi="Core Sans D 35 Regular" w:cstheme="minorHAnsi"/>
          <w:sz w:val="22"/>
          <w:szCs w:val="22"/>
        </w:rPr>
        <w:t>s</w:t>
      </w:r>
      <w:r w:rsidRPr="008A3A5D">
        <w:rPr>
          <w:rFonts w:ascii="Core Sans D 35 Regular" w:hAnsi="Core Sans D 35 Regular" w:cstheme="minorHAnsi"/>
          <w:sz w:val="22"/>
          <w:szCs w:val="22"/>
        </w:rPr>
        <w:t>ector</w:t>
      </w:r>
      <w:r w:rsidR="00E5474C">
        <w:rPr>
          <w:rFonts w:ascii="Core Sans D 35 Regular" w:hAnsi="Core Sans D 35 Regular" w:cstheme="minorHAnsi"/>
          <w:sz w:val="22"/>
          <w:szCs w:val="22"/>
        </w:rPr>
        <w:t>-</w:t>
      </w:r>
      <w:r w:rsidRPr="008A3A5D">
        <w:rPr>
          <w:rFonts w:ascii="Core Sans D 35 Regular" w:hAnsi="Core Sans D 35 Regular" w:cstheme="minorHAnsi"/>
          <w:sz w:val="22"/>
          <w:szCs w:val="22"/>
        </w:rPr>
        <w:t>wide resilience and performance through any major cyber event</w:t>
      </w:r>
      <w:r w:rsidR="001B57D0" w:rsidRPr="008A3A5D">
        <w:rPr>
          <w:rFonts w:ascii="Core Sans D 35 Regular" w:hAnsi="Core Sans D 35 Regular" w:cstheme="minorHAnsi"/>
          <w:sz w:val="22"/>
          <w:szCs w:val="22"/>
        </w:rPr>
        <w:t>.</w:t>
      </w:r>
    </w:p>
    <w:p w14:paraId="200FA02D" w14:textId="77777777" w:rsidR="00E5474C" w:rsidRPr="008A3A5D" w:rsidRDefault="00E5474C" w:rsidP="00115820">
      <w:pPr>
        <w:tabs>
          <w:tab w:val="num" w:pos="720"/>
        </w:tabs>
        <w:rPr>
          <w:rFonts w:ascii="Core Sans D 35 Regular" w:hAnsi="Core Sans D 35 Regular" w:cstheme="minorHAnsi"/>
          <w:sz w:val="22"/>
          <w:szCs w:val="22"/>
        </w:rPr>
      </w:pPr>
    </w:p>
    <w:p w14:paraId="3C12474C" w14:textId="78956D1E" w:rsidR="00E5474C" w:rsidRDefault="001B57D0" w:rsidP="00115820">
      <w:pPr>
        <w:tabs>
          <w:tab w:val="num" w:pos="720"/>
        </w:tabs>
        <w:rPr>
          <w:rFonts w:ascii="Core Sans D 35 Regular" w:hAnsi="Core Sans D 35 Regular" w:cstheme="minorHAnsi"/>
          <w:sz w:val="22"/>
          <w:szCs w:val="22"/>
        </w:rPr>
      </w:pPr>
      <w:r w:rsidRPr="008A3A5D">
        <w:rPr>
          <w:rFonts w:ascii="Core Sans D 35 Regular" w:hAnsi="Core Sans D 35 Regular" w:cstheme="minorHAnsi"/>
          <w:sz w:val="22"/>
          <w:szCs w:val="22"/>
        </w:rPr>
        <w:tab/>
      </w:r>
      <w:r w:rsidR="009F5D70" w:rsidRPr="008A3A5D">
        <w:rPr>
          <w:rFonts w:ascii="Core Sans D 35 Regular" w:hAnsi="Core Sans D 35 Regular" w:cstheme="minorHAnsi"/>
          <w:sz w:val="22"/>
          <w:szCs w:val="22"/>
        </w:rPr>
        <w:t>A Cyber Risk Management Framework, with</w:t>
      </w:r>
      <w:r w:rsidR="00750385" w:rsidRPr="008A3A5D">
        <w:rPr>
          <w:rFonts w:ascii="Core Sans D 35 Regular" w:hAnsi="Core Sans D 35 Regular" w:cstheme="minorHAnsi"/>
          <w:sz w:val="22"/>
          <w:szCs w:val="22"/>
        </w:rPr>
        <w:t xml:space="preserve"> a</w:t>
      </w:r>
      <w:r w:rsidR="006A6734" w:rsidRPr="008A3A5D">
        <w:rPr>
          <w:rFonts w:ascii="Core Sans D 35 Regular" w:hAnsi="Core Sans D 35 Regular" w:cstheme="minorHAnsi"/>
          <w:sz w:val="22"/>
          <w:szCs w:val="22"/>
        </w:rPr>
        <w:t xml:space="preserve"> “Hacker View”</w:t>
      </w:r>
      <w:r w:rsidR="009F5D70" w:rsidRPr="008A3A5D">
        <w:rPr>
          <w:rFonts w:ascii="Core Sans D 35 Regular" w:hAnsi="Core Sans D 35 Regular" w:cstheme="minorHAnsi"/>
          <w:sz w:val="22"/>
          <w:szCs w:val="22"/>
        </w:rPr>
        <w:t xml:space="preserve"> continuous monitoring, alerting, trend reporting, gap analysis</w:t>
      </w:r>
      <w:r w:rsidR="00E5474C">
        <w:rPr>
          <w:rFonts w:ascii="Core Sans D 35 Regular" w:hAnsi="Core Sans D 35 Regular" w:cstheme="minorHAnsi"/>
          <w:sz w:val="22"/>
          <w:szCs w:val="22"/>
        </w:rPr>
        <w:t>,</w:t>
      </w:r>
      <w:r w:rsidR="009F5D70" w:rsidRPr="008A3A5D">
        <w:rPr>
          <w:rFonts w:ascii="Core Sans D 35 Regular" w:hAnsi="Core Sans D 35 Regular" w:cstheme="minorHAnsi"/>
          <w:sz w:val="22"/>
          <w:szCs w:val="22"/>
        </w:rPr>
        <w:t xml:space="preserve"> and executive level discussion points can inform Energy Sector stakeholders of </w:t>
      </w:r>
      <w:r w:rsidR="00750385" w:rsidRPr="008A3A5D">
        <w:rPr>
          <w:rFonts w:ascii="Core Sans D 35 Regular" w:hAnsi="Core Sans D 35 Regular" w:cstheme="minorHAnsi"/>
          <w:sz w:val="22"/>
          <w:szCs w:val="22"/>
        </w:rPr>
        <w:t xml:space="preserve">the </w:t>
      </w:r>
      <w:r w:rsidR="009F5D70" w:rsidRPr="008A3A5D">
        <w:rPr>
          <w:rFonts w:ascii="Core Sans D 35 Regular" w:hAnsi="Core Sans D 35 Regular" w:cstheme="minorHAnsi"/>
          <w:sz w:val="22"/>
          <w:szCs w:val="22"/>
        </w:rPr>
        <w:t xml:space="preserve">current Cyber Risk </w:t>
      </w:r>
      <w:r w:rsidR="006A6734" w:rsidRPr="008A3A5D">
        <w:rPr>
          <w:rFonts w:ascii="Core Sans D 35 Regular" w:hAnsi="Core Sans D 35 Regular" w:cstheme="minorHAnsi"/>
          <w:sz w:val="22"/>
          <w:szCs w:val="22"/>
        </w:rPr>
        <w:t>Posture for each entity/company</w:t>
      </w:r>
      <w:r w:rsidR="00E5474C">
        <w:rPr>
          <w:rFonts w:ascii="Core Sans D 35 Regular" w:hAnsi="Core Sans D 35 Regular" w:cstheme="minorHAnsi"/>
          <w:sz w:val="22"/>
          <w:szCs w:val="22"/>
        </w:rPr>
        <w:t>;</w:t>
      </w:r>
      <w:r w:rsidR="006A6734" w:rsidRPr="008A3A5D">
        <w:rPr>
          <w:rFonts w:ascii="Core Sans D 35 Regular" w:hAnsi="Core Sans D 35 Regular" w:cstheme="minorHAnsi"/>
          <w:sz w:val="22"/>
          <w:szCs w:val="22"/>
        </w:rPr>
        <w:t xml:space="preserve"> risk trends by sub-sector, region</w:t>
      </w:r>
      <w:r w:rsidR="00E5474C">
        <w:rPr>
          <w:rFonts w:ascii="Core Sans D 35 Regular" w:hAnsi="Core Sans D 35 Regular" w:cstheme="minorHAnsi"/>
          <w:sz w:val="22"/>
          <w:szCs w:val="22"/>
        </w:rPr>
        <w:t>,</w:t>
      </w:r>
      <w:r w:rsidR="006A6734" w:rsidRPr="008A3A5D">
        <w:rPr>
          <w:rFonts w:ascii="Core Sans D 35 Regular" w:hAnsi="Core Sans D 35 Regular" w:cstheme="minorHAnsi"/>
          <w:sz w:val="22"/>
          <w:szCs w:val="22"/>
        </w:rPr>
        <w:t xml:space="preserve"> and size</w:t>
      </w:r>
      <w:r w:rsidR="00E5474C">
        <w:rPr>
          <w:rFonts w:ascii="Core Sans D 35 Regular" w:hAnsi="Core Sans D 35 Regular" w:cstheme="minorHAnsi"/>
          <w:sz w:val="22"/>
          <w:szCs w:val="22"/>
        </w:rPr>
        <w:t>;</w:t>
      </w:r>
      <w:r w:rsidR="006A6734" w:rsidRPr="008A3A5D">
        <w:rPr>
          <w:rFonts w:ascii="Core Sans D 35 Regular" w:hAnsi="Core Sans D 35 Regular" w:cstheme="minorHAnsi"/>
          <w:sz w:val="22"/>
          <w:szCs w:val="22"/>
        </w:rPr>
        <w:t xml:space="preserve"> </w:t>
      </w:r>
      <w:r w:rsidR="009F5D70" w:rsidRPr="008A3A5D">
        <w:rPr>
          <w:rFonts w:ascii="Core Sans D 35 Regular" w:hAnsi="Core Sans D 35 Regular" w:cstheme="minorHAnsi"/>
          <w:sz w:val="22"/>
          <w:szCs w:val="22"/>
        </w:rPr>
        <w:t xml:space="preserve">and how to continuously </w:t>
      </w:r>
      <w:r w:rsidR="006A6734" w:rsidRPr="008A3A5D">
        <w:rPr>
          <w:rFonts w:ascii="Core Sans D 35 Regular" w:hAnsi="Core Sans D 35 Regular" w:cstheme="minorHAnsi"/>
          <w:sz w:val="22"/>
          <w:szCs w:val="22"/>
        </w:rPr>
        <w:t>identify and mitigate their priority risks smartly and affordably</w:t>
      </w:r>
      <w:r w:rsidR="009F5D70" w:rsidRPr="008A3A5D">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w:t>
      </w:r>
      <w:r w:rsidR="00BA0ABA" w:rsidRPr="008A3A5D">
        <w:rPr>
          <w:rFonts w:ascii="Core Sans D 35 Regular" w:hAnsi="Core Sans D 35 Regular" w:cstheme="minorHAnsi"/>
          <w:sz w:val="22"/>
          <w:szCs w:val="22"/>
        </w:rPr>
        <w:t xml:space="preserve">The development of a National Cyber Risk Management program for the </w:t>
      </w:r>
      <w:r w:rsidR="009A76A9" w:rsidRPr="008A3A5D">
        <w:rPr>
          <w:rFonts w:ascii="Core Sans D 35 Regular" w:hAnsi="Core Sans D 35 Regular" w:cstheme="minorHAnsi"/>
          <w:sz w:val="22"/>
          <w:szCs w:val="22"/>
        </w:rPr>
        <w:t>E</w:t>
      </w:r>
      <w:r w:rsidR="00BA0ABA" w:rsidRPr="008A3A5D">
        <w:rPr>
          <w:rFonts w:ascii="Core Sans D 35 Regular" w:hAnsi="Core Sans D 35 Regular" w:cstheme="minorHAnsi"/>
          <w:sz w:val="22"/>
          <w:szCs w:val="22"/>
        </w:rPr>
        <w:t xml:space="preserve">nergy </w:t>
      </w:r>
      <w:r w:rsidR="009A76A9" w:rsidRPr="008A3A5D">
        <w:rPr>
          <w:rFonts w:ascii="Core Sans D 35 Regular" w:hAnsi="Core Sans D 35 Regular" w:cstheme="minorHAnsi"/>
          <w:sz w:val="22"/>
          <w:szCs w:val="22"/>
        </w:rPr>
        <w:t>S</w:t>
      </w:r>
      <w:r w:rsidR="00BA0ABA" w:rsidRPr="008A3A5D">
        <w:rPr>
          <w:rFonts w:ascii="Core Sans D 35 Regular" w:hAnsi="Core Sans D 35 Regular" w:cstheme="minorHAnsi"/>
          <w:sz w:val="22"/>
          <w:szCs w:val="22"/>
        </w:rPr>
        <w:t>ector</w:t>
      </w:r>
      <w:r w:rsidR="006A6734" w:rsidRPr="008A3A5D">
        <w:rPr>
          <w:rFonts w:ascii="Core Sans D 35 Regular" w:hAnsi="Core Sans D 35 Regular" w:cstheme="minorHAnsi"/>
          <w:sz w:val="22"/>
          <w:szCs w:val="22"/>
        </w:rPr>
        <w:t xml:space="preserve"> can</w:t>
      </w:r>
      <w:r w:rsidR="00BA0ABA" w:rsidRPr="008A3A5D">
        <w:rPr>
          <w:rFonts w:ascii="Core Sans D 35 Regular" w:hAnsi="Core Sans D 35 Regular" w:cstheme="minorHAnsi"/>
          <w:sz w:val="22"/>
          <w:szCs w:val="22"/>
        </w:rPr>
        <w:t xml:space="preserve"> </w:t>
      </w:r>
      <w:r w:rsidR="0089504C" w:rsidRPr="008A3A5D">
        <w:rPr>
          <w:rFonts w:ascii="Core Sans D 35 Regular" w:hAnsi="Core Sans D 35 Regular" w:cstheme="minorHAnsi"/>
          <w:sz w:val="22"/>
          <w:szCs w:val="22"/>
        </w:rPr>
        <w:t xml:space="preserve">drive the </w:t>
      </w:r>
      <w:r w:rsidR="00BA0ABA" w:rsidRPr="008A3A5D">
        <w:rPr>
          <w:rFonts w:ascii="Core Sans D 35 Regular" w:hAnsi="Core Sans D 35 Regular" w:cstheme="minorHAnsi"/>
          <w:sz w:val="22"/>
          <w:szCs w:val="22"/>
        </w:rPr>
        <w:t>achieve</w:t>
      </w:r>
      <w:r w:rsidR="0089504C" w:rsidRPr="008A3A5D">
        <w:rPr>
          <w:rFonts w:ascii="Core Sans D 35 Regular" w:hAnsi="Core Sans D 35 Regular" w:cstheme="minorHAnsi"/>
          <w:sz w:val="22"/>
          <w:szCs w:val="22"/>
        </w:rPr>
        <w:t xml:space="preserve">ment of </w:t>
      </w:r>
      <w:r w:rsidR="00BA0ABA" w:rsidRPr="008A3A5D">
        <w:rPr>
          <w:rFonts w:ascii="Core Sans D 35 Regular" w:hAnsi="Core Sans D 35 Regular" w:cstheme="minorHAnsi"/>
          <w:sz w:val="22"/>
          <w:szCs w:val="22"/>
        </w:rPr>
        <w:t xml:space="preserve">three </w:t>
      </w:r>
      <w:r w:rsidR="00167A02" w:rsidRPr="008A3A5D">
        <w:rPr>
          <w:rFonts w:ascii="Core Sans D 35 Regular" w:hAnsi="Core Sans D 35 Regular" w:cstheme="minorHAnsi"/>
          <w:sz w:val="22"/>
          <w:szCs w:val="22"/>
        </w:rPr>
        <w:t xml:space="preserve">key </w:t>
      </w:r>
      <w:r w:rsidR="006A6734" w:rsidRPr="008A3A5D">
        <w:rPr>
          <w:rFonts w:ascii="Core Sans D 35 Regular" w:hAnsi="Core Sans D 35 Regular" w:cstheme="minorHAnsi"/>
          <w:sz w:val="22"/>
          <w:szCs w:val="22"/>
        </w:rPr>
        <w:t>objectives</w:t>
      </w:r>
      <w:r w:rsidR="00E5474C">
        <w:rPr>
          <w:rFonts w:ascii="Core Sans D 35 Regular" w:hAnsi="Core Sans D 35 Regular" w:cstheme="minorHAnsi"/>
          <w:sz w:val="22"/>
          <w:szCs w:val="22"/>
        </w:rPr>
        <w:t>:</w:t>
      </w:r>
    </w:p>
    <w:p w14:paraId="64B38467" w14:textId="17881BA0" w:rsidR="00E5474C" w:rsidRDefault="00E5474C" w:rsidP="00115820">
      <w:pPr>
        <w:tabs>
          <w:tab w:val="num" w:pos="720"/>
        </w:tabs>
        <w:rPr>
          <w:rFonts w:ascii="Core Sans D 35 Regular" w:hAnsi="Core Sans D 35 Regular" w:cstheme="minorHAnsi"/>
          <w:sz w:val="22"/>
          <w:szCs w:val="22"/>
        </w:rPr>
      </w:pPr>
      <w:r>
        <w:rPr>
          <w:rFonts w:ascii="Core Sans D 35 Regular" w:hAnsi="Core Sans D 35 Regular" w:cstheme="minorHAnsi"/>
          <w:sz w:val="22"/>
          <w:szCs w:val="22"/>
        </w:rPr>
        <w:tab/>
        <w:t>1. S</w:t>
      </w:r>
      <w:r w:rsidR="00BA0ABA" w:rsidRPr="008A3A5D">
        <w:rPr>
          <w:rFonts w:ascii="Core Sans D 35 Regular" w:hAnsi="Core Sans D 35 Regular" w:cstheme="minorHAnsi"/>
          <w:sz w:val="22"/>
          <w:szCs w:val="22"/>
        </w:rPr>
        <w:t xml:space="preserve">trengthening energy sector </w:t>
      </w:r>
      <w:r w:rsidR="006A6734" w:rsidRPr="008A3A5D">
        <w:rPr>
          <w:rFonts w:ascii="Core Sans D 35 Regular" w:hAnsi="Core Sans D 35 Regular" w:cstheme="minorHAnsi"/>
          <w:sz w:val="22"/>
          <w:szCs w:val="22"/>
        </w:rPr>
        <w:t xml:space="preserve">Digital Age </w:t>
      </w:r>
      <w:r w:rsidR="00BA0ABA" w:rsidRPr="008A3A5D">
        <w:rPr>
          <w:rFonts w:ascii="Core Sans D 35 Regular" w:hAnsi="Core Sans D 35 Regular" w:cstheme="minorHAnsi"/>
          <w:sz w:val="22"/>
          <w:szCs w:val="22"/>
        </w:rPr>
        <w:t xml:space="preserve">preparedness, </w:t>
      </w:r>
    </w:p>
    <w:p w14:paraId="6209DC84" w14:textId="5B988930" w:rsidR="00E5474C" w:rsidRDefault="00E5474C" w:rsidP="00115820">
      <w:pPr>
        <w:tabs>
          <w:tab w:val="num" w:pos="720"/>
        </w:tabs>
        <w:rPr>
          <w:rFonts w:ascii="Core Sans D 35 Regular" w:hAnsi="Core Sans D 35 Regular" w:cstheme="minorHAnsi"/>
          <w:sz w:val="22"/>
          <w:szCs w:val="22"/>
        </w:rPr>
      </w:pPr>
      <w:r>
        <w:rPr>
          <w:rFonts w:ascii="Core Sans D 35 Regular" w:hAnsi="Core Sans D 35 Regular" w:cstheme="minorHAnsi"/>
          <w:sz w:val="22"/>
          <w:szCs w:val="22"/>
        </w:rPr>
        <w:tab/>
        <w:t>2. C</w:t>
      </w:r>
      <w:r w:rsidR="00BA0ABA" w:rsidRPr="008A3A5D">
        <w:rPr>
          <w:rFonts w:ascii="Core Sans D 35 Regular" w:hAnsi="Core Sans D 35 Regular" w:cstheme="minorHAnsi"/>
          <w:sz w:val="22"/>
          <w:szCs w:val="22"/>
        </w:rPr>
        <w:t xml:space="preserve">oordinating cyber incident response and recovery, and </w:t>
      </w:r>
    </w:p>
    <w:p w14:paraId="466C7D93" w14:textId="56829CAC" w:rsidR="00E5474C" w:rsidRDefault="00E5474C" w:rsidP="00115820">
      <w:pPr>
        <w:tabs>
          <w:tab w:val="num" w:pos="720"/>
        </w:tabs>
        <w:rPr>
          <w:rFonts w:ascii="Core Sans D 35 Regular" w:hAnsi="Core Sans D 35 Regular" w:cstheme="minorHAnsi"/>
          <w:sz w:val="22"/>
          <w:szCs w:val="22"/>
        </w:rPr>
      </w:pPr>
      <w:r>
        <w:rPr>
          <w:rFonts w:ascii="Core Sans D 35 Regular" w:hAnsi="Core Sans D 35 Regular" w:cstheme="minorHAnsi"/>
          <w:sz w:val="22"/>
          <w:szCs w:val="22"/>
        </w:rPr>
        <w:tab/>
        <w:t>3. A</w:t>
      </w:r>
      <w:r w:rsidR="009A76A9" w:rsidRPr="008A3A5D">
        <w:rPr>
          <w:rFonts w:ascii="Core Sans D 35 Regular" w:hAnsi="Core Sans D 35 Regular" w:cstheme="minorHAnsi"/>
          <w:sz w:val="22"/>
          <w:szCs w:val="22"/>
        </w:rPr>
        <w:t>ccelerat</w:t>
      </w:r>
      <w:r>
        <w:rPr>
          <w:rFonts w:ascii="Core Sans D 35 Regular" w:hAnsi="Core Sans D 35 Regular" w:cstheme="minorHAnsi"/>
          <w:sz w:val="22"/>
          <w:szCs w:val="22"/>
        </w:rPr>
        <w:t>ing</w:t>
      </w:r>
      <w:r w:rsidR="009A76A9" w:rsidRPr="008A3A5D">
        <w:rPr>
          <w:rFonts w:ascii="Core Sans D 35 Regular" w:hAnsi="Core Sans D 35 Regular" w:cstheme="minorHAnsi"/>
          <w:sz w:val="22"/>
          <w:szCs w:val="22"/>
        </w:rPr>
        <w:t xml:space="preserve"> </w:t>
      </w:r>
      <w:r w:rsidR="00BA0ABA" w:rsidRPr="008A3A5D">
        <w:rPr>
          <w:rFonts w:ascii="Core Sans D 35 Regular" w:hAnsi="Core Sans D 35 Regular" w:cstheme="minorHAnsi"/>
          <w:sz w:val="22"/>
          <w:szCs w:val="22"/>
        </w:rPr>
        <w:t xml:space="preserve">research, </w:t>
      </w:r>
      <w:r w:rsidR="00F52A55" w:rsidRPr="008A3A5D">
        <w:rPr>
          <w:rFonts w:ascii="Core Sans D 35 Regular" w:hAnsi="Core Sans D 35 Regular" w:cstheme="minorHAnsi"/>
          <w:sz w:val="22"/>
          <w:szCs w:val="22"/>
        </w:rPr>
        <w:t>development,</w:t>
      </w:r>
      <w:r w:rsidR="00BA0ABA" w:rsidRPr="008A3A5D">
        <w:rPr>
          <w:rFonts w:ascii="Core Sans D 35 Regular" w:hAnsi="Core Sans D 35 Regular" w:cstheme="minorHAnsi"/>
          <w:sz w:val="22"/>
          <w:szCs w:val="22"/>
        </w:rPr>
        <w:t xml:space="preserve"> </w:t>
      </w:r>
      <w:r w:rsidR="00556DA9" w:rsidRPr="008A3A5D">
        <w:rPr>
          <w:rFonts w:ascii="Core Sans D 35 Regular" w:hAnsi="Core Sans D 35 Regular" w:cstheme="minorHAnsi"/>
          <w:sz w:val="22"/>
          <w:szCs w:val="22"/>
        </w:rPr>
        <w:t>and</w:t>
      </w:r>
      <w:r w:rsidR="00BA0ABA" w:rsidRPr="008A3A5D">
        <w:rPr>
          <w:rFonts w:ascii="Core Sans D 35 Regular" w:hAnsi="Core Sans D 35 Regular" w:cstheme="minorHAnsi"/>
          <w:sz w:val="22"/>
          <w:szCs w:val="22"/>
        </w:rPr>
        <w:t xml:space="preserve"> demonstration (RD&amp;D) </w:t>
      </w:r>
      <w:r w:rsidR="00556DA9" w:rsidRPr="008A3A5D">
        <w:rPr>
          <w:rFonts w:ascii="Core Sans D 35 Regular" w:hAnsi="Core Sans D 35 Regular" w:cstheme="minorHAnsi"/>
          <w:sz w:val="22"/>
          <w:szCs w:val="22"/>
        </w:rPr>
        <w:t xml:space="preserve">of </w:t>
      </w:r>
      <w:r w:rsidR="00BA0ABA" w:rsidRPr="008A3A5D">
        <w:rPr>
          <w:rFonts w:ascii="Core Sans D 35 Regular" w:hAnsi="Core Sans D 35 Regular" w:cstheme="minorHAnsi"/>
          <w:sz w:val="22"/>
          <w:szCs w:val="22"/>
        </w:rPr>
        <w:t xml:space="preserve">game-changing </w:t>
      </w:r>
      <w:r w:rsidR="00556DA9" w:rsidRPr="008A3A5D">
        <w:rPr>
          <w:rFonts w:ascii="Core Sans D 35 Regular" w:hAnsi="Core Sans D 35 Regular" w:cstheme="minorHAnsi"/>
          <w:sz w:val="22"/>
          <w:szCs w:val="22"/>
        </w:rPr>
        <w:t>and</w:t>
      </w:r>
      <w:r w:rsidR="00BA0ABA" w:rsidRPr="008A3A5D">
        <w:rPr>
          <w:rFonts w:ascii="Core Sans D 35 Regular" w:hAnsi="Core Sans D 35 Regular" w:cstheme="minorHAnsi"/>
          <w:sz w:val="22"/>
          <w:szCs w:val="22"/>
        </w:rPr>
        <w:t xml:space="preserve"> resilient energy</w:t>
      </w:r>
      <w:r w:rsidR="00556DA9" w:rsidRPr="008A3A5D">
        <w:rPr>
          <w:rFonts w:ascii="Core Sans D 35 Regular" w:hAnsi="Core Sans D 35 Regular" w:cstheme="minorHAnsi"/>
          <w:sz w:val="22"/>
          <w:szCs w:val="22"/>
        </w:rPr>
        <w:t xml:space="preserve"> </w:t>
      </w:r>
      <w:r w:rsidR="00BA0ABA" w:rsidRPr="008A3A5D">
        <w:rPr>
          <w:rFonts w:ascii="Core Sans D 35 Regular" w:hAnsi="Core Sans D 35 Regular" w:cstheme="minorHAnsi"/>
          <w:sz w:val="22"/>
          <w:szCs w:val="22"/>
        </w:rPr>
        <w:t>delivery systems</w:t>
      </w:r>
      <w:r w:rsidR="009A76A9" w:rsidRPr="008A3A5D">
        <w:rPr>
          <w:rFonts w:ascii="Core Sans D 35 Regular" w:hAnsi="Core Sans D 35 Regular" w:cstheme="minorHAnsi"/>
          <w:sz w:val="22"/>
          <w:szCs w:val="22"/>
        </w:rPr>
        <w:t xml:space="preserve">. </w:t>
      </w:r>
    </w:p>
    <w:p w14:paraId="4843595B" w14:textId="77777777" w:rsidR="00E5474C" w:rsidRDefault="00E5474C" w:rsidP="00115820">
      <w:pPr>
        <w:tabs>
          <w:tab w:val="num" w:pos="720"/>
        </w:tabs>
        <w:rPr>
          <w:rFonts w:ascii="Core Sans D 35 Regular" w:hAnsi="Core Sans D 35 Regular" w:cstheme="minorHAnsi"/>
          <w:sz w:val="22"/>
          <w:szCs w:val="22"/>
        </w:rPr>
      </w:pPr>
    </w:p>
    <w:p w14:paraId="58228248" w14:textId="4B1A3A82" w:rsidR="001B57D0" w:rsidRDefault="00BA0ABA" w:rsidP="00115820">
      <w:pPr>
        <w:tabs>
          <w:tab w:val="num" w:pos="720"/>
        </w:tabs>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The first two strategic efforts are building the energy sector’s day-to-day operational capabilities to </w:t>
      </w:r>
      <w:r w:rsidR="0089504C" w:rsidRPr="008A3A5D">
        <w:rPr>
          <w:rFonts w:ascii="Core Sans D 35 Regular" w:hAnsi="Core Sans D 35 Regular" w:cstheme="minorHAnsi"/>
          <w:sz w:val="22"/>
          <w:szCs w:val="22"/>
        </w:rPr>
        <w:t xml:space="preserve">have continuous insight into </w:t>
      </w:r>
      <w:r w:rsidRPr="008A3A5D">
        <w:rPr>
          <w:rFonts w:ascii="Core Sans D 35 Regular" w:hAnsi="Core Sans D 35 Regular" w:cstheme="minorHAnsi"/>
          <w:sz w:val="22"/>
          <w:szCs w:val="22"/>
        </w:rPr>
        <w:t>share</w:t>
      </w:r>
      <w:r w:rsidR="0089504C" w:rsidRPr="008A3A5D">
        <w:rPr>
          <w:rFonts w:ascii="Core Sans D 35 Regular" w:hAnsi="Core Sans D 35 Regular" w:cstheme="minorHAnsi"/>
          <w:sz w:val="22"/>
          <w:szCs w:val="22"/>
        </w:rPr>
        <w:t>d</w:t>
      </w:r>
      <w:r w:rsidRPr="008A3A5D">
        <w:rPr>
          <w:rFonts w:ascii="Core Sans D 35 Regular" w:hAnsi="Core Sans D 35 Regular" w:cstheme="minorHAnsi"/>
          <w:sz w:val="22"/>
          <w:szCs w:val="22"/>
        </w:rPr>
        <w:t xml:space="preserve"> </w:t>
      </w:r>
      <w:r w:rsidR="00167A02" w:rsidRPr="008A3A5D">
        <w:rPr>
          <w:rFonts w:ascii="Core Sans D 35 Regular" w:hAnsi="Core Sans D 35 Regular" w:cstheme="minorHAnsi"/>
          <w:sz w:val="22"/>
          <w:szCs w:val="22"/>
        </w:rPr>
        <w:t>risk</w:t>
      </w:r>
      <w:r w:rsidR="0089504C" w:rsidRPr="008A3A5D">
        <w:rPr>
          <w:rFonts w:ascii="Core Sans D 35 Regular" w:hAnsi="Core Sans D 35 Regular" w:cstheme="minorHAnsi"/>
          <w:sz w:val="22"/>
          <w:szCs w:val="22"/>
        </w:rPr>
        <w:t>s</w:t>
      </w:r>
      <w:r w:rsidR="00167A02" w:rsidRPr="008A3A5D">
        <w:rPr>
          <w:rFonts w:ascii="Core Sans D 35 Regular" w:hAnsi="Core Sans D 35 Regular" w:cstheme="minorHAnsi"/>
          <w:sz w:val="22"/>
          <w:szCs w:val="22"/>
        </w:rPr>
        <w:t xml:space="preserve"> and </w:t>
      </w:r>
      <w:r w:rsidR="0089504C" w:rsidRPr="008A3A5D">
        <w:rPr>
          <w:rFonts w:ascii="Core Sans D 35 Regular" w:hAnsi="Core Sans D 35 Regular" w:cstheme="minorHAnsi"/>
          <w:sz w:val="22"/>
          <w:szCs w:val="22"/>
        </w:rPr>
        <w:t xml:space="preserve">key </w:t>
      </w:r>
      <w:r w:rsidR="00750385" w:rsidRPr="008A3A5D">
        <w:rPr>
          <w:rFonts w:ascii="Core Sans D 35 Regular" w:hAnsi="Core Sans D 35 Regular" w:cstheme="minorHAnsi"/>
          <w:sz w:val="22"/>
          <w:szCs w:val="22"/>
        </w:rPr>
        <w:t>vulnerabilities,</w:t>
      </w:r>
      <w:r w:rsidRPr="008A3A5D">
        <w:rPr>
          <w:rFonts w:ascii="Core Sans D 35 Regular" w:hAnsi="Core Sans D 35 Regular" w:cstheme="minorHAnsi"/>
          <w:sz w:val="22"/>
          <w:szCs w:val="22"/>
        </w:rPr>
        <w:t xml:space="preserve"> improve organizational and process level cyber</w:t>
      </w:r>
      <w:r w:rsidR="0089504C" w:rsidRPr="008A3A5D">
        <w:rPr>
          <w:rFonts w:ascii="Core Sans D 35 Regular" w:hAnsi="Core Sans D 35 Regular" w:cstheme="minorHAnsi"/>
          <w:sz w:val="22"/>
          <w:szCs w:val="22"/>
        </w:rPr>
        <w:t xml:space="preserve"> maturity</w:t>
      </w:r>
      <w:r w:rsidRPr="008A3A5D">
        <w:rPr>
          <w:rFonts w:ascii="Core Sans D 35 Regular" w:hAnsi="Core Sans D 35 Regular" w:cstheme="minorHAnsi"/>
          <w:sz w:val="22"/>
          <w:szCs w:val="22"/>
        </w:rPr>
        <w:t xml:space="preserve">, and </w:t>
      </w:r>
      <w:r w:rsidR="0089504C" w:rsidRPr="008A3A5D">
        <w:rPr>
          <w:rFonts w:ascii="Core Sans D 35 Regular" w:hAnsi="Core Sans D 35 Regular" w:cstheme="minorHAnsi"/>
          <w:sz w:val="22"/>
          <w:szCs w:val="22"/>
        </w:rPr>
        <w:t xml:space="preserve">efficiently </w:t>
      </w:r>
      <w:r w:rsidRPr="008A3A5D">
        <w:rPr>
          <w:rFonts w:ascii="Core Sans D 35 Regular" w:hAnsi="Core Sans D 35 Regular" w:cstheme="minorHAnsi"/>
          <w:sz w:val="22"/>
          <w:szCs w:val="22"/>
        </w:rPr>
        <w:t>perform cyber-incident response and recovery.</w:t>
      </w:r>
      <w:r w:rsidR="00E07D44" w:rsidRPr="008A3A5D">
        <w:rPr>
          <w:rFonts w:ascii="Core Sans D 35 Regular" w:hAnsi="Core Sans D 35 Regular" w:cstheme="minorHAnsi"/>
          <w:sz w:val="22"/>
          <w:szCs w:val="22"/>
        </w:rPr>
        <w:t xml:space="preserve"> </w:t>
      </w:r>
      <w:r w:rsidRPr="008A3A5D">
        <w:rPr>
          <w:rFonts w:ascii="Core Sans D 35 Regular" w:hAnsi="Core Sans D 35 Regular" w:cstheme="minorHAnsi"/>
          <w:sz w:val="22"/>
          <w:szCs w:val="22"/>
        </w:rPr>
        <w:t xml:space="preserve">Knowing the current Energy Sector Threat Landscape is foundational to this – and it </w:t>
      </w:r>
      <w:r w:rsidR="0089504C" w:rsidRPr="008A3A5D">
        <w:rPr>
          <w:rFonts w:ascii="Core Sans D 35 Regular" w:hAnsi="Core Sans D 35 Regular" w:cstheme="minorHAnsi"/>
          <w:sz w:val="22"/>
          <w:szCs w:val="22"/>
        </w:rPr>
        <w:t xml:space="preserve">should not be limited to </w:t>
      </w:r>
      <w:r w:rsidR="00E07D44" w:rsidRPr="008A3A5D">
        <w:rPr>
          <w:rFonts w:ascii="Core Sans D 35 Regular" w:hAnsi="Core Sans D 35 Regular" w:cstheme="minorHAnsi"/>
          <w:sz w:val="22"/>
          <w:szCs w:val="22"/>
        </w:rPr>
        <w:t>self-reported</w:t>
      </w:r>
      <w:r w:rsidRPr="008A3A5D">
        <w:rPr>
          <w:rFonts w:ascii="Core Sans D 35 Regular" w:hAnsi="Core Sans D 35 Regular" w:cstheme="minorHAnsi"/>
          <w:sz w:val="22"/>
          <w:szCs w:val="22"/>
        </w:rPr>
        <w:t xml:space="preserve"> </w:t>
      </w:r>
      <w:r w:rsidR="0089504C" w:rsidRPr="008A3A5D">
        <w:rPr>
          <w:rFonts w:ascii="Core Sans D 35 Regular" w:hAnsi="Core Sans D 35 Regular" w:cstheme="minorHAnsi"/>
          <w:sz w:val="22"/>
          <w:szCs w:val="22"/>
        </w:rPr>
        <w:t>known incidents but include a</w:t>
      </w:r>
      <w:r w:rsidRPr="008A3A5D">
        <w:rPr>
          <w:rFonts w:ascii="Core Sans D 35 Regular" w:hAnsi="Core Sans D 35 Regular" w:cstheme="minorHAnsi"/>
          <w:sz w:val="22"/>
          <w:szCs w:val="22"/>
        </w:rPr>
        <w:t>n outside-in</w:t>
      </w:r>
      <w:r w:rsidR="0089504C" w:rsidRPr="008A3A5D">
        <w:rPr>
          <w:rFonts w:ascii="Core Sans D 35 Regular" w:hAnsi="Core Sans D 35 Regular" w:cstheme="minorHAnsi"/>
          <w:sz w:val="22"/>
          <w:szCs w:val="22"/>
        </w:rPr>
        <w:t>, “Hacker View” of risk</w:t>
      </w:r>
      <w:r w:rsidRPr="008A3A5D">
        <w:rPr>
          <w:rFonts w:ascii="Core Sans D 35 Regular" w:hAnsi="Core Sans D 35 Regular" w:cstheme="minorHAnsi"/>
          <w:sz w:val="22"/>
          <w:szCs w:val="22"/>
        </w:rPr>
        <w:t>.</w:t>
      </w:r>
    </w:p>
    <w:p w14:paraId="6E9CE151" w14:textId="77777777" w:rsidR="00E5474C" w:rsidRPr="008A3A5D" w:rsidRDefault="00E5474C" w:rsidP="00115820">
      <w:pPr>
        <w:tabs>
          <w:tab w:val="num" w:pos="720"/>
        </w:tabs>
        <w:rPr>
          <w:rFonts w:ascii="Core Sans D 35 Regular" w:hAnsi="Core Sans D 35 Regular" w:cstheme="minorHAnsi"/>
          <w:sz w:val="22"/>
          <w:szCs w:val="22"/>
        </w:rPr>
      </w:pPr>
    </w:p>
    <w:p w14:paraId="1E2E4765" w14:textId="57F55E99" w:rsidR="00BA0ABA" w:rsidRPr="008A3A5D" w:rsidRDefault="001B57D0" w:rsidP="00115820">
      <w:pPr>
        <w:tabs>
          <w:tab w:val="num" w:pos="720"/>
        </w:tabs>
        <w:rPr>
          <w:rFonts w:ascii="Core Sans D 35 Regular" w:hAnsi="Core Sans D 35 Regular" w:cstheme="minorHAnsi"/>
          <w:sz w:val="22"/>
          <w:szCs w:val="22"/>
        </w:rPr>
      </w:pPr>
      <w:r w:rsidRPr="008A3A5D">
        <w:rPr>
          <w:rFonts w:ascii="Core Sans D 35 Regular" w:hAnsi="Core Sans D 35 Regular" w:cstheme="minorHAnsi"/>
          <w:sz w:val="22"/>
          <w:szCs w:val="22"/>
        </w:rPr>
        <w:tab/>
      </w:r>
      <w:r w:rsidR="009A76A9" w:rsidRPr="008A3A5D">
        <w:rPr>
          <w:rFonts w:ascii="Core Sans D 35 Regular" w:hAnsi="Core Sans D 35 Regular" w:cstheme="minorHAnsi"/>
          <w:sz w:val="22"/>
          <w:szCs w:val="22"/>
        </w:rPr>
        <w:t>To achieve these critical objectives</w:t>
      </w:r>
      <w:r w:rsidR="00E5474C">
        <w:rPr>
          <w:rFonts w:ascii="Core Sans D 35 Regular" w:hAnsi="Core Sans D 35 Regular" w:cstheme="minorHAnsi"/>
          <w:sz w:val="22"/>
          <w:szCs w:val="22"/>
        </w:rPr>
        <w:t>,</w:t>
      </w:r>
      <w:r w:rsidR="009A76A9" w:rsidRPr="008A3A5D">
        <w:rPr>
          <w:rFonts w:ascii="Core Sans D 35 Regular" w:hAnsi="Core Sans D 35 Regular" w:cstheme="minorHAnsi"/>
          <w:sz w:val="22"/>
          <w:szCs w:val="22"/>
        </w:rPr>
        <w:t xml:space="preserve"> the Department of Energy </w:t>
      </w:r>
      <w:r w:rsidR="001A4858" w:rsidRPr="008A3A5D">
        <w:rPr>
          <w:rFonts w:ascii="Core Sans D 35 Regular" w:hAnsi="Core Sans D 35 Regular" w:cstheme="minorHAnsi"/>
          <w:sz w:val="22"/>
          <w:szCs w:val="22"/>
        </w:rPr>
        <w:t xml:space="preserve">(DOE) </w:t>
      </w:r>
      <w:r w:rsidR="00750385" w:rsidRPr="008A3A5D">
        <w:rPr>
          <w:rFonts w:ascii="Core Sans D 35 Regular" w:hAnsi="Core Sans D 35 Regular" w:cstheme="minorHAnsi"/>
          <w:sz w:val="22"/>
          <w:szCs w:val="22"/>
        </w:rPr>
        <w:t>and Department of Electricity shoul</w:t>
      </w:r>
      <w:r w:rsidR="0089504C" w:rsidRPr="008A3A5D">
        <w:rPr>
          <w:rFonts w:ascii="Core Sans D 35 Regular" w:hAnsi="Core Sans D 35 Regular" w:cstheme="minorHAnsi"/>
          <w:sz w:val="22"/>
          <w:szCs w:val="22"/>
        </w:rPr>
        <w:t xml:space="preserve">d fully leverage </w:t>
      </w:r>
      <w:r w:rsidR="00E5474C">
        <w:rPr>
          <w:rFonts w:ascii="Core Sans D 35 Regular" w:hAnsi="Core Sans D 35 Regular" w:cstheme="minorHAnsi"/>
          <w:sz w:val="22"/>
          <w:szCs w:val="22"/>
        </w:rPr>
        <w:t>The Office of Cybersecurity, Energy, Security, and Emergency Response (</w:t>
      </w:r>
      <w:r w:rsidR="0089504C" w:rsidRPr="008A3A5D">
        <w:rPr>
          <w:rFonts w:ascii="Core Sans D 35 Regular" w:hAnsi="Core Sans D 35 Regular" w:cstheme="minorHAnsi"/>
          <w:sz w:val="22"/>
          <w:szCs w:val="22"/>
        </w:rPr>
        <w:t>CESER</w:t>
      </w:r>
      <w:r w:rsidR="00E5474C">
        <w:rPr>
          <w:rFonts w:ascii="Core Sans D 35 Regular" w:hAnsi="Core Sans D 35 Regular" w:cstheme="minorHAnsi"/>
          <w:sz w:val="22"/>
          <w:szCs w:val="22"/>
        </w:rPr>
        <w:t>)</w:t>
      </w:r>
      <w:r w:rsidR="0089504C" w:rsidRPr="008A3A5D">
        <w:rPr>
          <w:rFonts w:ascii="Core Sans D 35 Regular" w:hAnsi="Core Sans D 35 Regular" w:cstheme="minorHAnsi"/>
          <w:sz w:val="22"/>
          <w:szCs w:val="22"/>
        </w:rPr>
        <w:t xml:space="preserve"> or</w:t>
      </w:r>
      <w:r w:rsidR="00143C8D">
        <w:rPr>
          <w:rFonts w:ascii="Core Sans D 35 Regular" w:hAnsi="Core Sans D 35 Regular" w:cstheme="minorHAnsi"/>
          <w:sz w:val="22"/>
          <w:szCs w:val="22"/>
        </w:rPr>
        <w:t xml:space="preserve"> DOE</w:t>
      </w:r>
      <w:r w:rsidR="0089504C" w:rsidRPr="008A3A5D">
        <w:rPr>
          <w:rFonts w:ascii="Core Sans D 35 Regular" w:hAnsi="Core Sans D 35 Regular" w:cstheme="minorHAnsi"/>
          <w:sz w:val="22"/>
          <w:szCs w:val="22"/>
        </w:rPr>
        <w:t xml:space="preserve"> CIO JC2 to manage the continuous </w:t>
      </w:r>
      <w:r w:rsidR="009A76A9" w:rsidRPr="008A3A5D">
        <w:rPr>
          <w:rFonts w:ascii="Core Sans D 35 Regular" w:hAnsi="Core Sans D 35 Regular" w:cstheme="minorHAnsi"/>
          <w:sz w:val="22"/>
          <w:szCs w:val="22"/>
        </w:rPr>
        <w:t>identif</w:t>
      </w:r>
      <w:r w:rsidR="0089504C" w:rsidRPr="008A3A5D">
        <w:rPr>
          <w:rFonts w:ascii="Core Sans D 35 Regular" w:hAnsi="Core Sans D 35 Regular" w:cstheme="minorHAnsi"/>
          <w:sz w:val="22"/>
          <w:szCs w:val="22"/>
        </w:rPr>
        <w:t>ication</w:t>
      </w:r>
      <w:r w:rsidR="009A76A9" w:rsidRPr="008A3A5D">
        <w:rPr>
          <w:rFonts w:ascii="Core Sans D 35 Regular" w:hAnsi="Core Sans D 35 Regular" w:cstheme="minorHAnsi"/>
          <w:sz w:val="22"/>
          <w:szCs w:val="22"/>
        </w:rPr>
        <w:t xml:space="preserve"> and prioriti</w:t>
      </w:r>
      <w:r w:rsidR="0089504C" w:rsidRPr="008A3A5D">
        <w:rPr>
          <w:rFonts w:ascii="Core Sans D 35 Regular" w:hAnsi="Core Sans D 35 Regular" w:cstheme="minorHAnsi"/>
          <w:sz w:val="22"/>
          <w:szCs w:val="22"/>
        </w:rPr>
        <w:t>zation of c</w:t>
      </w:r>
      <w:r w:rsidR="009A76A9" w:rsidRPr="008A3A5D">
        <w:rPr>
          <w:rFonts w:ascii="Core Sans D 35 Regular" w:hAnsi="Core Sans D 35 Regular" w:cstheme="minorHAnsi"/>
          <w:sz w:val="22"/>
          <w:szCs w:val="22"/>
        </w:rPr>
        <w:t xml:space="preserve">yber threat </w:t>
      </w:r>
      <w:r w:rsidR="0089504C" w:rsidRPr="008A3A5D">
        <w:rPr>
          <w:rFonts w:ascii="Core Sans D 35 Regular" w:hAnsi="Core Sans D 35 Regular" w:cstheme="minorHAnsi"/>
          <w:sz w:val="22"/>
          <w:szCs w:val="22"/>
        </w:rPr>
        <w:t xml:space="preserve">and risk </w:t>
      </w:r>
      <w:r w:rsidR="009A76A9" w:rsidRPr="008A3A5D">
        <w:rPr>
          <w:rFonts w:ascii="Core Sans D 35 Regular" w:hAnsi="Core Sans D 35 Regular" w:cstheme="minorHAnsi"/>
          <w:sz w:val="22"/>
          <w:szCs w:val="22"/>
        </w:rPr>
        <w:t>trends across the Energy Sector</w:t>
      </w:r>
      <w:r w:rsidR="0089504C" w:rsidRPr="008A3A5D">
        <w:rPr>
          <w:rFonts w:ascii="Core Sans D 35 Regular" w:hAnsi="Core Sans D 35 Regular" w:cstheme="minorHAnsi"/>
          <w:sz w:val="22"/>
          <w:szCs w:val="22"/>
        </w:rPr>
        <w:t xml:space="preserve">, </w:t>
      </w:r>
      <w:r w:rsidR="009A76A9" w:rsidRPr="008A3A5D">
        <w:rPr>
          <w:rFonts w:ascii="Core Sans D 35 Regular" w:hAnsi="Core Sans D 35 Regular" w:cstheme="minorHAnsi"/>
          <w:sz w:val="22"/>
          <w:szCs w:val="22"/>
        </w:rPr>
        <w:t>map</w:t>
      </w:r>
      <w:r w:rsidR="0089504C" w:rsidRPr="008A3A5D">
        <w:rPr>
          <w:rFonts w:ascii="Core Sans D 35 Regular" w:hAnsi="Core Sans D 35 Regular" w:cstheme="minorHAnsi"/>
          <w:sz w:val="22"/>
          <w:szCs w:val="22"/>
        </w:rPr>
        <w:t>ping</w:t>
      </w:r>
      <w:r w:rsidR="009A76A9" w:rsidRPr="008A3A5D">
        <w:rPr>
          <w:rFonts w:ascii="Core Sans D 35 Regular" w:hAnsi="Core Sans D 35 Regular" w:cstheme="minorHAnsi"/>
          <w:sz w:val="22"/>
          <w:szCs w:val="22"/>
        </w:rPr>
        <w:t xml:space="preserve"> those </w:t>
      </w:r>
      <w:r w:rsidR="0095697F" w:rsidRPr="008A3A5D">
        <w:rPr>
          <w:rFonts w:ascii="Core Sans D 35 Regular" w:hAnsi="Core Sans D 35 Regular" w:cstheme="minorHAnsi"/>
          <w:sz w:val="22"/>
          <w:szCs w:val="22"/>
        </w:rPr>
        <w:t xml:space="preserve">capability gaps to best practices and next generation </w:t>
      </w:r>
      <w:r w:rsidR="009A76A9" w:rsidRPr="008A3A5D">
        <w:rPr>
          <w:rFonts w:ascii="Core Sans D 35 Regular" w:hAnsi="Core Sans D 35 Regular" w:cstheme="minorHAnsi"/>
          <w:sz w:val="22"/>
          <w:szCs w:val="22"/>
        </w:rPr>
        <w:t>solutions that achieve an acceptable level of security and resilience.</w:t>
      </w:r>
      <w:r w:rsidR="001A4858" w:rsidRPr="008A3A5D">
        <w:rPr>
          <w:rFonts w:ascii="Core Sans D 35 Regular" w:hAnsi="Core Sans D 35 Regular" w:cstheme="minorHAnsi"/>
          <w:sz w:val="22"/>
          <w:szCs w:val="22"/>
        </w:rPr>
        <w:t xml:space="preserve"> This requires that </w:t>
      </w:r>
      <w:r w:rsidR="0095697F" w:rsidRPr="008A3A5D">
        <w:rPr>
          <w:rFonts w:ascii="Core Sans D 35 Regular" w:hAnsi="Core Sans D 35 Regular" w:cstheme="minorHAnsi"/>
          <w:sz w:val="22"/>
          <w:szCs w:val="22"/>
        </w:rPr>
        <w:t xml:space="preserve">DOE’s </w:t>
      </w:r>
      <w:r w:rsidR="001A4858" w:rsidRPr="008A3A5D">
        <w:rPr>
          <w:rFonts w:ascii="Core Sans D 35 Regular" w:hAnsi="Core Sans D 35 Regular" w:cstheme="minorHAnsi"/>
          <w:sz w:val="22"/>
          <w:szCs w:val="22"/>
        </w:rPr>
        <w:t>designated organization determine</w:t>
      </w:r>
      <w:r w:rsidR="00D76A5C" w:rsidRPr="008A3A5D">
        <w:rPr>
          <w:rFonts w:ascii="Core Sans D 35 Regular" w:hAnsi="Core Sans D 35 Regular" w:cstheme="minorHAnsi"/>
          <w:sz w:val="22"/>
          <w:szCs w:val="22"/>
        </w:rPr>
        <w:t>s</w:t>
      </w:r>
      <w:r w:rsidR="001A4858" w:rsidRPr="008A3A5D">
        <w:rPr>
          <w:rFonts w:ascii="Core Sans D 35 Regular" w:hAnsi="Core Sans D 35 Regular" w:cstheme="minorHAnsi"/>
          <w:sz w:val="22"/>
          <w:szCs w:val="22"/>
        </w:rPr>
        <w:t xml:space="preserve"> and prioritize</w:t>
      </w:r>
      <w:r w:rsidR="00D76A5C" w:rsidRPr="008A3A5D">
        <w:rPr>
          <w:rFonts w:ascii="Core Sans D 35 Regular" w:hAnsi="Core Sans D 35 Regular" w:cstheme="minorHAnsi"/>
          <w:sz w:val="22"/>
          <w:szCs w:val="22"/>
        </w:rPr>
        <w:t>s</w:t>
      </w:r>
      <w:r w:rsidR="001A4858" w:rsidRPr="008A3A5D">
        <w:rPr>
          <w:rFonts w:ascii="Core Sans D 35 Regular" w:hAnsi="Core Sans D 35 Regular" w:cstheme="minorHAnsi"/>
          <w:sz w:val="22"/>
          <w:szCs w:val="22"/>
        </w:rPr>
        <w:t xml:space="preserve"> key cyber risk scenarios </w:t>
      </w:r>
      <w:r w:rsidR="00556DA9" w:rsidRPr="008A3A5D">
        <w:rPr>
          <w:rFonts w:ascii="Core Sans D 35 Regular" w:hAnsi="Core Sans D 35 Regular" w:cstheme="minorHAnsi"/>
          <w:sz w:val="22"/>
          <w:szCs w:val="22"/>
        </w:rPr>
        <w:t>and</w:t>
      </w:r>
      <w:r w:rsidR="001A4858" w:rsidRPr="008A3A5D">
        <w:rPr>
          <w:rFonts w:ascii="Core Sans D 35 Regular" w:hAnsi="Core Sans D 35 Regular" w:cstheme="minorHAnsi"/>
          <w:sz w:val="22"/>
          <w:szCs w:val="22"/>
        </w:rPr>
        <w:t xml:space="preserve"> response</w:t>
      </w:r>
      <w:r w:rsidR="00556DA9" w:rsidRPr="008A3A5D">
        <w:rPr>
          <w:rFonts w:ascii="Core Sans D 35 Regular" w:hAnsi="Core Sans D 35 Regular" w:cstheme="minorHAnsi"/>
          <w:sz w:val="22"/>
          <w:szCs w:val="22"/>
        </w:rPr>
        <w:t xml:space="preserve"> and </w:t>
      </w:r>
      <w:r w:rsidR="001A4858" w:rsidRPr="008A3A5D">
        <w:rPr>
          <w:rFonts w:ascii="Core Sans D 35 Regular" w:hAnsi="Core Sans D 35 Regular" w:cstheme="minorHAnsi"/>
          <w:sz w:val="22"/>
          <w:szCs w:val="22"/>
        </w:rPr>
        <w:t xml:space="preserve">recovery requirements </w:t>
      </w:r>
      <w:r w:rsidR="00D76A5C" w:rsidRPr="008A3A5D">
        <w:rPr>
          <w:rFonts w:ascii="Core Sans D 35 Regular" w:hAnsi="Core Sans D 35 Regular" w:cstheme="minorHAnsi"/>
          <w:sz w:val="22"/>
          <w:szCs w:val="22"/>
        </w:rPr>
        <w:t>while also identifying</w:t>
      </w:r>
      <w:r w:rsidR="001A4858" w:rsidRPr="008A3A5D">
        <w:rPr>
          <w:rFonts w:ascii="Core Sans D 35 Regular" w:hAnsi="Core Sans D 35 Regular" w:cstheme="minorHAnsi"/>
          <w:sz w:val="22"/>
          <w:szCs w:val="22"/>
        </w:rPr>
        <w:t xml:space="preserve"> cost effective solutions that can scale from small municipal providers to multi-state enterprises</w:t>
      </w:r>
      <w:r w:rsidR="00E07D44" w:rsidRPr="008A3A5D">
        <w:rPr>
          <w:rFonts w:ascii="Core Sans D 35 Regular" w:hAnsi="Core Sans D 35 Regular" w:cstheme="minorHAnsi"/>
          <w:sz w:val="22"/>
          <w:szCs w:val="22"/>
        </w:rPr>
        <w:t xml:space="preserve">. In </w:t>
      </w:r>
      <w:r w:rsidR="008E1217" w:rsidRPr="008A3A5D">
        <w:rPr>
          <w:rFonts w:ascii="Core Sans D 35 Regular" w:hAnsi="Core Sans D 35 Regular" w:cstheme="minorHAnsi"/>
          <w:sz w:val="22"/>
          <w:szCs w:val="22"/>
        </w:rPr>
        <w:t>addition,</w:t>
      </w:r>
      <w:r w:rsidR="00E07D44" w:rsidRPr="008A3A5D">
        <w:rPr>
          <w:rFonts w:ascii="Core Sans D 35 Regular" w:hAnsi="Core Sans D 35 Regular" w:cstheme="minorHAnsi"/>
          <w:sz w:val="22"/>
          <w:szCs w:val="22"/>
        </w:rPr>
        <w:t xml:space="preserve"> the </w:t>
      </w:r>
      <w:r w:rsidR="00E5474C">
        <w:rPr>
          <w:rFonts w:ascii="Core Sans D 35 Regular" w:hAnsi="Core Sans D 35 Regular" w:cstheme="minorHAnsi"/>
          <w:sz w:val="22"/>
          <w:szCs w:val="22"/>
        </w:rPr>
        <w:t>Department of Electricity</w:t>
      </w:r>
      <w:r w:rsidR="00E07D44" w:rsidRPr="008A3A5D">
        <w:rPr>
          <w:rFonts w:ascii="Core Sans D 35 Regular" w:hAnsi="Core Sans D 35 Regular" w:cstheme="minorHAnsi"/>
          <w:sz w:val="22"/>
          <w:szCs w:val="22"/>
        </w:rPr>
        <w:t xml:space="preserve"> needs to establish </w:t>
      </w:r>
      <w:r w:rsidR="008E1217" w:rsidRPr="008A3A5D">
        <w:rPr>
          <w:rFonts w:ascii="Core Sans D 35 Regular" w:hAnsi="Core Sans D 35 Regular" w:cstheme="minorHAnsi"/>
          <w:sz w:val="22"/>
          <w:szCs w:val="22"/>
        </w:rPr>
        <w:t>consistent resilience criteri</w:t>
      </w:r>
      <w:r w:rsidR="00D76A5C" w:rsidRPr="008A3A5D">
        <w:rPr>
          <w:rFonts w:ascii="Core Sans D 35 Regular" w:hAnsi="Core Sans D 35 Regular" w:cstheme="minorHAnsi"/>
          <w:sz w:val="22"/>
          <w:szCs w:val="22"/>
        </w:rPr>
        <w:t>a</w:t>
      </w:r>
      <w:r w:rsidR="00E07D44" w:rsidRPr="008A3A5D">
        <w:rPr>
          <w:rFonts w:ascii="Core Sans D 35 Regular" w:hAnsi="Core Sans D 35 Regular" w:cstheme="minorHAnsi"/>
          <w:sz w:val="22"/>
          <w:szCs w:val="22"/>
        </w:rPr>
        <w:t xml:space="preserve"> and reporting metrics based on evolving threat vectors and technologies</w:t>
      </w:r>
      <w:r w:rsidR="008E1217" w:rsidRPr="008A3A5D">
        <w:rPr>
          <w:rFonts w:ascii="Core Sans D 35 Regular" w:hAnsi="Core Sans D 35 Regular" w:cstheme="minorHAnsi"/>
          <w:sz w:val="22"/>
          <w:szCs w:val="22"/>
        </w:rPr>
        <w:t xml:space="preserve">. This assessment and prioritization of </w:t>
      </w:r>
      <w:r w:rsidR="00556DA9" w:rsidRPr="008A3A5D">
        <w:rPr>
          <w:rFonts w:ascii="Core Sans D 35 Regular" w:hAnsi="Core Sans D 35 Regular" w:cstheme="minorHAnsi"/>
          <w:sz w:val="22"/>
          <w:szCs w:val="22"/>
        </w:rPr>
        <w:t>k</w:t>
      </w:r>
      <w:r w:rsidR="008E1217" w:rsidRPr="008A3A5D">
        <w:rPr>
          <w:rFonts w:ascii="Core Sans D 35 Regular" w:hAnsi="Core Sans D 35 Regular" w:cstheme="minorHAnsi"/>
          <w:sz w:val="22"/>
          <w:szCs w:val="22"/>
        </w:rPr>
        <w:t xml:space="preserve">ey </w:t>
      </w:r>
      <w:r w:rsidR="00556DA9" w:rsidRPr="008A3A5D">
        <w:rPr>
          <w:rFonts w:ascii="Core Sans D 35 Regular" w:hAnsi="Core Sans D 35 Regular" w:cstheme="minorHAnsi"/>
          <w:sz w:val="22"/>
          <w:szCs w:val="22"/>
        </w:rPr>
        <w:t>c</w:t>
      </w:r>
      <w:r w:rsidR="008E1217" w:rsidRPr="008A3A5D">
        <w:rPr>
          <w:rFonts w:ascii="Core Sans D 35 Regular" w:hAnsi="Core Sans D 35 Regular" w:cstheme="minorHAnsi"/>
          <w:sz w:val="22"/>
          <w:szCs w:val="22"/>
        </w:rPr>
        <w:t xml:space="preserve">yber </w:t>
      </w:r>
      <w:r w:rsidR="00556DA9" w:rsidRPr="008A3A5D">
        <w:rPr>
          <w:rFonts w:ascii="Core Sans D 35 Regular" w:hAnsi="Core Sans D 35 Regular" w:cstheme="minorHAnsi"/>
          <w:sz w:val="22"/>
          <w:szCs w:val="22"/>
        </w:rPr>
        <w:t>r</w:t>
      </w:r>
      <w:r w:rsidR="008E1217" w:rsidRPr="008A3A5D">
        <w:rPr>
          <w:rFonts w:ascii="Core Sans D 35 Regular" w:hAnsi="Core Sans D 35 Regular" w:cstheme="minorHAnsi"/>
          <w:sz w:val="22"/>
          <w:szCs w:val="22"/>
        </w:rPr>
        <w:t xml:space="preserve">isk </w:t>
      </w:r>
      <w:r w:rsidR="00D76A5C" w:rsidRPr="008A3A5D">
        <w:rPr>
          <w:rFonts w:ascii="Core Sans D 35 Regular" w:hAnsi="Core Sans D 35 Regular" w:cstheme="minorHAnsi"/>
          <w:sz w:val="22"/>
          <w:szCs w:val="22"/>
        </w:rPr>
        <w:t>s</w:t>
      </w:r>
      <w:r w:rsidR="008E1217" w:rsidRPr="008A3A5D">
        <w:rPr>
          <w:rFonts w:ascii="Core Sans D 35 Regular" w:hAnsi="Core Sans D 35 Regular" w:cstheme="minorHAnsi"/>
          <w:sz w:val="22"/>
          <w:szCs w:val="22"/>
        </w:rPr>
        <w:t xml:space="preserve">cenarios can be mapped to </w:t>
      </w:r>
      <w:r w:rsidR="00E5474C">
        <w:rPr>
          <w:rFonts w:ascii="Core Sans D 35 Regular" w:hAnsi="Core Sans D 35 Regular" w:cstheme="minorHAnsi"/>
          <w:sz w:val="22"/>
          <w:szCs w:val="22"/>
        </w:rPr>
        <w:t xml:space="preserve">RD&amp;D </w:t>
      </w:r>
      <w:r w:rsidR="008E1217" w:rsidRPr="008A3A5D">
        <w:rPr>
          <w:rFonts w:ascii="Core Sans D 35 Regular" w:hAnsi="Core Sans D 35 Regular" w:cstheme="minorHAnsi"/>
          <w:sz w:val="22"/>
          <w:szCs w:val="22"/>
        </w:rPr>
        <w:t xml:space="preserve">requirement objectives enabling the development of innovative </w:t>
      </w:r>
      <w:r w:rsidR="00BA0ABA" w:rsidRPr="008A3A5D">
        <w:rPr>
          <w:rFonts w:ascii="Core Sans D 35 Regular" w:hAnsi="Core Sans D 35 Regular" w:cstheme="minorHAnsi"/>
          <w:sz w:val="22"/>
          <w:szCs w:val="22"/>
        </w:rPr>
        <w:t xml:space="preserve">cyber-resilient energy infrastructure through the RD&amp;D of new tools and technologies to reduce the risk that energy </w:t>
      </w:r>
      <w:r w:rsidR="00D76A5C" w:rsidRPr="008A3A5D">
        <w:rPr>
          <w:rFonts w:ascii="Core Sans D 35 Regular" w:hAnsi="Core Sans D 35 Regular" w:cstheme="minorHAnsi"/>
          <w:sz w:val="22"/>
          <w:szCs w:val="22"/>
        </w:rPr>
        <w:t xml:space="preserve">production and </w:t>
      </w:r>
      <w:r w:rsidR="00BA0ABA" w:rsidRPr="008A3A5D">
        <w:rPr>
          <w:rFonts w:ascii="Core Sans D 35 Regular" w:hAnsi="Core Sans D 35 Regular" w:cstheme="minorHAnsi"/>
          <w:sz w:val="22"/>
          <w:szCs w:val="22"/>
        </w:rPr>
        <w:t xml:space="preserve">delivery might be disrupted by a cyber incident. </w:t>
      </w:r>
      <w:proofErr w:type="spellStart"/>
      <w:r w:rsidR="0093280E">
        <w:rPr>
          <w:rFonts w:ascii="Core Sans D 35 Regular" w:hAnsi="Core Sans D 35 Regular" w:cstheme="minorHAnsi"/>
          <w:sz w:val="22"/>
          <w:szCs w:val="22"/>
        </w:rPr>
        <w:t>WhiteHawk</w:t>
      </w:r>
      <w:proofErr w:type="spellEnd"/>
      <w:r w:rsidR="0093280E">
        <w:rPr>
          <w:rFonts w:ascii="Core Sans D 35 Regular" w:hAnsi="Core Sans D 35 Regular" w:cstheme="minorHAnsi"/>
          <w:sz w:val="22"/>
          <w:szCs w:val="22"/>
        </w:rPr>
        <w:t xml:space="preserve"> recommends the following goals, objectives, and methods In developing a long-term strategy for the Department of Electricity.</w:t>
      </w:r>
    </w:p>
    <w:p w14:paraId="38AAA66D" w14:textId="7075AEA7" w:rsidR="00BA0ABA" w:rsidRPr="008A3A5D" w:rsidRDefault="00BA0ABA" w:rsidP="00115820">
      <w:pPr>
        <w:pStyle w:val="ListParagraph"/>
        <w:ind w:firstLine="360"/>
        <w:rPr>
          <w:rFonts w:ascii="Core Sans D 35 Regular" w:hAnsi="Core Sans D 35 Regular" w:cstheme="minorHAnsi"/>
          <w:sz w:val="22"/>
          <w:szCs w:val="22"/>
        </w:rPr>
      </w:pPr>
    </w:p>
    <w:p w14:paraId="61385668" w14:textId="77777777" w:rsidR="007F49A8" w:rsidRPr="00143C8D" w:rsidRDefault="007F49A8" w:rsidP="00115820">
      <w:pPr>
        <w:rPr>
          <w:rFonts w:ascii="Core Sans D 35 Regular" w:hAnsi="Core Sans D 35 Regular" w:cstheme="minorHAnsi"/>
          <w:b/>
          <w:bCs/>
          <w:sz w:val="22"/>
          <w:szCs w:val="22"/>
        </w:rPr>
      </w:pPr>
      <w:r w:rsidRPr="00143C8D">
        <w:rPr>
          <w:rFonts w:ascii="Core Sans D 35 Regular" w:hAnsi="Core Sans D 35 Regular" w:cstheme="minorHAnsi"/>
          <w:b/>
          <w:bCs/>
          <w:sz w:val="22"/>
          <w:szCs w:val="22"/>
        </w:rPr>
        <w:t>Goals:</w:t>
      </w:r>
    </w:p>
    <w:p w14:paraId="4957B2F1" w14:textId="79B88620" w:rsidR="00137169" w:rsidRPr="008A3A5D" w:rsidRDefault="0095697F" w:rsidP="00115820">
      <w:pPr>
        <w:pStyle w:val="ListParagraph"/>
        <w:numPr>
          <w:ilvl w:val="0"/>
          <w:numId w:val="12"/>
        </w:numPr>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Establish an </w:t>
      </w:r>
      <w:r w:rsidR="00137169" w:rsidRPr="008A3A5D">
        <w:rPr>
          <w:rFonts w:ascii="Core Sans D 35 Regular" w:hAnsi="Core Sans D 35 Regular" w:cstheme="minorHAnsi"/>
          <w:sz w:val="22"/>
          <w:szCs w:val="22"/>
        </w:rPr>
        <w:t xml:space="preserve">Energy Sector Cyber Risk &amp; Resilience </w:t>
      </w:r>
      <w:r w:rsidRPr="008A3A5D">
        <w:rPr>
          <w:rFonts w:ascii="Core Sans D 35 Regular" w:hAnsi="Core Sans D 35 Regular" w:cstheme="minorHAnsi"/>
          <w:sz w:val="22"/>
          <w:szCs w:val="22"/>
        </w:rPr>
        <w:t xml:space="preserve">Management Framework </w:t>
      </w:r>
    </w:p>
    <w:p w14:paraId="44789540" w14:textId="301962B9" w:rsidR="00137169" w:rsidRPr="008A3A5D" w:rsidRDefault="0095697F" w:rsidP="00115820">
      <w:pPr>
        <w:pStyle w:val="ListParagraph"/>
        <w:numPr>
          <w:ilvl w:val="0"/>
          <w:numId w:val="12"/>
        </w:numPr>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Baseline the </w:t>
      </w:r>
      <w:r w:rsidR="00137169" w:rsidRPr="008A3A5D">
        <w:rPr>
          <w:rFonts w:ascii="Core Sans D 35 Regular" w:hAnsi="Core Sans D 35 Regular" w:cstheme="minorHAnsi"/>
          <w:sz w:val="22"/>
          <w:szCs w:val="22"/>
        </w:rPr>
        <w:t>Sector’s</w:t>
      </w:r>
      <w:r w:rsidRPr="008A3A5D">
        <w:rPr>
          <w:rFonts w:ascii="Core Sans D 35 Regular" w:hAnsi="Core Sans D 35 Regular" w:cstheme="minorHAnsi"/>
          <w:sz w:val="22"/>
          <w:szCs w:val="22"/>
        </w:rPr>
        <w:t xml:space="preserve"> current</w:t>
      </w:r>
      <w:r w:rsidR="00137169" w:rsidRPr="008A3A5D">
        <w:rPr>
          <w:rFonts w:ascii="Core Sans D 35 Regular" w:hAnsi="Core Sans D 35 Regular" w:cstheme="minorHAnsi"/>
          <w:sz w:val="22"/>
          <w:szCs w:val="22"/>
        </w:rPr>
        <w:t xml:space="preserve"> Cyber Risk </w:t>
      </w:r>
      <w:r w:rsidRPr="008A3A5D">
        <w:rPr>
          <w:rFonts w:ascii="Core Sans D 35 Regular" w:hAnsi="Core Sans D 35 Regular" w:cstheme="minorHAnsi"/>
          <w:sz w:val="22"/>
          <w:szCs w:val="22"/>
        </w:rPr>
        <w:t>Posture down to the entity level</w:t>
      </w:r>
      <w:r w:rsidR="00137169" w:rsidRPr="008A3A5D">
        <w:rPr>
          <w:rFonts w:ascii="Core Sans D 35 Regular" w:hAnsi="Core Sans D 35 Regular" w:cstheme="minorHAnsi"/>
          <w:sz w:val="22"/>
          <w:szCs w:val="22"/>
        </w:rPr>
        <w:t xml:space="preserve"> </w:t>
      </w:r>
    </w:p>
    <w:p w14:paraId="61029FF3" w14:textId="3779E305" w:rsidR="00137169" w:rsidRPr="008A3A5D" w:rsidRDefault="00137169" w:rsidP="00115820">
      <w:pPr>
        <w:pStyle w:val="ListParagraph"/>
        <w:numPr>
          <w:ilvl w:val="0"/>
          <w:numId w:val="12"/>
        </w:numPr>
        <w:rPr>
          <w:rFonts w:ascii="Core Sans D 35 Regular" w:hAnsi="Core Sans D 35 Regular" w:cstheme="minorHAnsi"/>
          <w:sz w:val="22"/>
          <w:szCs w:val="22"/>
        </w:rPr>
      </w:pPr>
      <w:r w:rsidRPr="008A3A5D">
        <w:rPr>
          <w:rFonts w:ascii="Core Sans D 35 Regular" w:hAnsi="Core Sans D 35 Regular" w:cstheme="minorHAnsi"/>
          <w:sz w:val="22"/>
          <w:szCs w:val="22"/>
        </w:rPr>
        <w:t>Map Initiatives to Address Priority Risks (Policies, Best Practices, Training, Tech</w:t>
      </w:r>
      <w:r w:rsidR="004656BB">
        <w:rPr>
          <w:rFonts w:ascii="Core Sans D 35 Regular" w:hAnsi="Core Sans D 35 Regular" w:cstheme="minorHAnsi"/>
          <w:sz w:val="22"/>
          <w:szCs w:val="22"/>
        </w:rPr>
        <w:t>nical</w:t>
      </w:r>
      <w:r w:rsidRPr="008A3A5D">
        <w:rPr>
          <w:rFonts w:ascii="Core Sans D 35 Regular" w:hAnsi="Core Sans D 35 Regular" w:cstheme="minorHAnsi"/>
          <w:sz w:val="22"/>
          <w:szCs w:val="22"/>
        </w:rPr>
        <w:t>)</w:t>
      </w:r>
    </w:p>
    <w:p w14:paraId="3CBF161A" w14:textId="0DE37517" w:rsidR="00137169" w:rsidRPr="008A3A5D" w:rsidRDefault="00137169" w:rsidP="00115820">
      <w:pPr>
        <w:pStyle w:val="ListParagraph"/>
        <w:numPr>
          <w:ilvl w:val="0"/>
          <w:numId w:val="12"/>
        </w:numPr>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Share </w:t>
      </w:r>
      <w:r w:rsidR="0095697F" w:rsidRPr="008A3A5D">
        <w:rPr>
          <w:rFonts w:ascii="Core Sans D 35 Regular" w:hAnsi="Core Sans D 35 Regular" w:cstheme="minorHAnsi"/>
          <w:sz w:val="22"/>
          <w:szCs w:val="22"/>
        </w:rPr>
        <w:t xml:space="preserve">on a quarterly basis </w:t>
      </w:r>
      <w:r w:rsidRPr="008A3A5D">
        <w:rPr>
          <w:rFonts w:ascii="Core Sans D 35 Regular" w:hAnsi="Core Sans D 35 Regular" w:cstheme="minorHAnsi"/>
          <w:sz w:val="22"/>
          <w:szCs w:val="22"/>
        </w:rPr>
        <w:t xml:space="preserve">with Key Stakeholder Executives &amp; Regulators </w:t>
      </w:r>
      <w:r w:rsidR="004656BB">
        <w:rPr>
          <w:rFonts w:ascii="Core Sans D 35 Regular" w:hAnsi="Core Sans D 35 Regular" w:cstheme="minorHAnsi"/>
          <w:sz w:val="22"/>
          <w:szCs w:val="22"/>
        </w:rPr>
        <w:t>s</w:t>
      </w:r>
      <w:r w:rsidRPr="008A3A5D">
        <w:rPr>
          <w:rFonts w:ascii="Core Sans D 35 Regular" w:hAnsi="Core Sans D 35 Regular" w:cstheme="minorHAnsi"/>
          <w:sz w:val="22"/>
          <w:szCs w:val="22"/>
        </w:rPr>
        <w:t>ector</w:t>
      </w:r>
      <w:r w:rsidR="004656BB">
        <w:rPr>
          <w:rFonts w:ascii="Core Sans D 35 Regular" w:hAnsi="Core Sans D 35 Regular" w:cstheme="minorHAnsi"/>
          <w:sz w:val="22"/>
          <w:szCs w:val="22"/>
        </w:rPr>
        <w:t>-w</w:t>
      </w:r>
      <w:r w:rsidRPr="008A3A5D">
        <w:rPr>
          <w:rFonts w:ascii="Core Sans D 35 Regular" w:hAnsi="Core Sans D 35 Regular" w:cstheme="minorHAnsi"/>
          <w:sz w:val="22"/>
          <w:szCs w:val="22"/>
        </w:rPr>
        <w:t>ide</w:t>
      </w:r>
    </w:p>
    <w:p w14:paraId="09BFC1B5" w14:textId="77777777" w:rsidR="007F49A8" w:rsidRPr="008A3A5D" w:rsidRDefault="007F49A8" w:rsidP="00115820">
      <w:pPr>
        <w:rPr>
          <w:rFonts w:ascii="Core Sans D 35 Regular" w:hAnsi="Core Sans D 35 Regular" w:cstheme="minorHAnsi"/>
          <w:sz w:val="22"/>
          <w:szCs w:val="22"/>
        </w:rPr>
      </w:pPr>
    </w:p>
    <w:p w14:paraId="1C770390" w14:textId="77777777" w:rsidR="007F49A8" w:rsidRPr="00143C8D" w:rsidRDefault="007F49A8" w:rsidP="00115820">
      <w:pPr>
        <w:rPr>
          <w:rFonts w:ascii="Core Sans D 35 Regular" w:hAnsi="Core Sans D 35 Regular" w:cstheme="minorHAnsi"/>
          <w:b/>
          <w:bCs/>
          <w:sz w:val="22"/>
          <w:szCs w:val="22"/>
        </w:rPr>
      </w:pPr>
      <w:r w:rsidRPr="00143C8D">
        <w:rPr>
          <w:rFonts w:ascii="Core Sans D 35 Regular" w:hAnsi="Core Sans D 35 Regular" w:cstheme="minorHAnsi"/>
          <w:b/>
          <w:bCs/>
          <w:sz w:val="22"/>
          <w:szCs w:val="22"/>
        </w:rPr>
        <w:t>Objectives:</w:t>
      </w:r>
    </w:p>
    <w:p w14:paraId="1CD077BE" w14:textId="58ED1CDC" w:rsidR="00167A02" w:rsidRPr="008A3A5D" w:rsidRDefault="00167A02" w:rsidP="00115820">
      <w:pPr>
        <w:pStyle w:val="ListParagraph"/>
        <w:numPr>
          <w:ilvl w:val="0"/>
          <w:numId w:val="13"/>
        </w:numPr>
        <w:rPr>
          <w:rFonts w:ascii="Core Sans D 35 Regular" w:hAnsi="Core Sans D 35 Regular" w:cstheme="minorHAnsi"/>
          <w:sz w:val="22"/>
          <w:szCs w:val="22"/>
        </w:rPr>
      </w:pPr>
      <w:r w:rsidRPr="008A3A5D">
        <w:rPr>
          <w:rFonts w:ascii="Core Sans D 35 Regular" w:hAnsi="Core Sans D 35 Regular" w:cstheme="minorHAnsi"/>
          <w:sz w:val="22"/>
          <w:szCs w:val="22"/>
        </w:rPr>
        <w:t>Continuous Cyber Risk Monitoring, Alerting, and Scoring of Cyber Risk Indicators across the Energy Sector, by sub-sector, by region, and down to the entity level (including all 3,</w:t>
      </w:r>
      <w:r w:rsidR="00CF3560" w:rsidRPr="008A3A5D">
        <w:rPr>
          <w:rFonts w:ascii="Core Sans D 35 Regular" w:hAnsi="Core Sans D 35 Regular" w:cstheme="minorHAnsi"/>
          <w:sz w:val="22"/>
          <w:szCs w:val="22"/>
        </w:rPr>
        <w:t>4</w:t>
      </w:r>
      <w:r w:rsidRPr="008A3A5D">
        <w:rPr>
          <w:rFonts w:ascii="Core Sans D 35 Regular" w:hAnsi="Core Sans D 35 Regular" w:cstheme="minorHAnsi"/>
          <w:sz w:val="22"/>
          <w:szCs w:val="22"/>
        </w:rPr>
        <w:t>00+ Private and Public Sector Energy Entities)</w:t>
      </w:r>
    </w:p>
    <w:p w14:paraId="048E71FE" w14:textId="77777777" w:rsidR="00167A02" w:rsidRPr="008A3A5D" w:rsidRDefault="00167A02" w:rsidP="00115820">
      <w:pPr>
        <w:pStyle w:val="ListParagraph"/>
        <w:numPr>
          <w:ilvl w:val="0"/>
          <w:numId w:val="13"/>
        </w:numPr>
        <w:rPr>
          <w:rFonts w:ascii="Core Sans D 35 Regular" w:hAnsi="Core Sans D 35 Regular" w:cstheme="minorHAnsi"/>
          <w:sz w:val="22"/>
          <w:szCs w:val="22"/>
        </w:rPr>
      </w:pPr>
      <w:r w:rsidRPr="008A3A5D">
        <w:rPr>
          <w:rFonts w:ascii="Core Sans D 35 Regular" w:hAnsi="Core Sans D 35 Regular" w:cstheme="minorHAnsi"/>
          <w:sz w:val="22"/>
          <w:szCs w:val="22"/>
        </w:rPr>
        <w:lastRenderedPageBreak/>
        <w:t>Detailed analysis and reporting of cyber risk trends by Energy Sub-Sector and Region </w:t>
      </w:r>
    </w:p>
    <w:p w14:paraId="05631588" w14:textId="77777777" w:rsidR="00A47E12" w:rsidRPr="008A3A5D" w:rsidRDefault="00167A02" w:rsidP="00115820">
      <w:pPr>
        <w:pStyle w:val="ListParagraph"/>
        <w:numPr>
          <w:ilvl w:val="0"/>
          <w:numId w:val="13"/>
        </w:numPr>
        <w:rPr>
          <w:rFonts w:ascii="Core Sans D 35 Regular" w:hAnsi="Core Sans D 35 Regular" w:cstheme="minorHAnsi"/>
          <w:sz w:val="22"/>
          <w:szCs w:val="22"/>
        </w:rPr>
      </w:pPr>
      <w:r w:rsidRPr="008A3A5D">
        <w:rPr>
          <w:rFonts w:ascii="Core Sans D 35 Regular" w:hAnsi="Core Sans D 35 Regular" w:cstheme="minorHAnsi"/>
          <w:sz w:val="22"/>
          <w:szCs w:val="22"/>
        </w:rPr>
        <w:t>Identification and tracking of priority cyber vulnerabilities and gaps across all Energy Sub-Sectors and Regions</w:t>
      </w:r>
    </w:p>
    <w:p w14:paraId="130F3912" w14:textId="2F2460BD" w:rsidR="00167A02" w:rsidRPr="008A3A5D" w:rsidRDefault="00167A02" w:rsidP="00115820">
      <w:pPr>
        <w:pStyle w:val="ListParagraph"/>
        <w:numPr>
          <w:ilvl w:val="0"/>
          <w:numId w:val="13"/>
        </w:numPr>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Integrated </w:t>
      </w:r>
      <w:r w:rsidR="008B37CC" w:rsidRPr="008A3A5D">
        <w:rPr>
          <w:rFonts w:ascii="Core Sans D 35 Regular" w:hAnsi="Core Sans D 35 Regular" w:cstheme="minorHAnsi"/>
          <w:sz w:val="22"/>
          <w:szCs w:val="22"/>
        </w:rPr>
        <w:t>Software as a Service (</w:t>
      </w:r>
      <w:r w:rsidRPr="008A3A5D">
        <w:rPr>
          <w:rFonts w:ascii="Core Sans D 35 Regular" w:hAnsi="Core Sans D 35 Regular" w:cstheme="minorHAnsi"/>
          <w:sz w:val="22"/>
          <w:szCs w:val="22"/>
        </w:rPr>
        <w:t>SaaS</w:t>
      </w:r>
      <w:r w:rsidR="008B37CC" w:rsidRPr="008A3A5D">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Dashboard and Portal access and insights into risk ratings and risk mitigation in real-time</w:t>
      </w:r>
    </w:p>
    <w:p w14:paraId="4A0D1D7D" w14:textId="77777777" w:rsidR="00167A02" w:rsidRPr="008A3A5D" w:rsidRDefault="00167A02" w:rsidP="00115820">
      <w:pPr>
        <w:pStyle w:val="ListParagraph"/>
        <w:numPr>
          <w:ilvl w:val="0"/>
          <w:numId w:val="13"/>
        </w:numPr>
        <w:rPr>
          <w:rFonts w:ascii="Core Sans D 35 Regular" w:hAnsi="Core Sans D 35 Regular" w:cstheme="minorHAnsi"/>
          <w:sz w:val="22"/>
          <w:szCs w:val="22"/>
        </w:rPr>
      </w:pPr>
      <w:r w:rsidRPr="008A3A5D">
        <w:rPr>
          <w:rFonts w:ascii="Core Sans D 35 Regular" w:hAnsi="Core Sans D 35 Regular" w:cstheme="minorHAnsi"/>
          <w:sz w:val="22"/>
          <w:szCs w:val="22"/>
        </w:rPr>
        <w:t>Creation and Tailoring of Executive Level Reporting of Trends, Measures, and Metrics to DOE CESER needs</w:t>
      </w:r>
    </w:p>
    <w:p w14:paraId="743115DB" w14:textId="77777777" w:rsidR="00167A02" w:rsidRPr="008A3A5D" w:rsidRDefault="00167A02" w:rsidP="00115820">
      <w:pPr>
        <w:pStyle w:val="ListParagraph"/>
        <w:numPr>
          <w:ilvl w:val="0"/>
          <w:numId w:val="13"/>
        </w:numPr>
        <w:rPr>
          <w:rFonts w:ascii="Core Sans D 35 Regular" w:hAnsi="Core Sans D 35 Regular" w:cstheme="minorHAnsi"/>
          <w:sz w:val="22"/>
          <w:szCs w:val="22"/>
        </w:rPr>
      </w:pPr>
      <w:r w:rsidRPr="008A3A5D">
        <w:rPr>
          <w:rFonts w:ascii="Core Sans D 35 Regular" w:hAnsi="Core Sans D 35 Regular" w:cstheme="minorHAnsi"/>
          <w:sz w:val="22"/>
          <w:szCs w:val="22"/>
        </w:rPr>
        <w:t>Foundational trend analysis and key gap overviews mapped to potential policy, standard, and technology recommendations and initiatives</w:t>
      </w:r>
    </w:p>
    <w:p w14:paraId="1A205D69" w14:textId="77777777" w:rsidR="00167A02" w:rsidRPr="008A3A5D" w:rsidRDefault="00167A02" w:rsidP="00115820">
      <w:pPr>
        <w:pStyle w:val="ListParagraph"/>
        <w:numPr>
          <w:ilvl w:val="0"/>
          <w:numId w:val="13"/>
        </w:numPr>
        <w:rPr>
          <w:rFonts w:ascii="Core Sans D 35 Regular" w:hAnsi="Core Sans D 35 Regular" w:cstheme="minorHAnsi"/>
          <w:sz w:val="22"/>
          <w:szCs w:val="22"/>
        </w:rPr>
      </w:pPr>
      <w:r w:rsidRPr="008A3A5D">
        <w:rPr>
          <w:rFonts w:ascii="Core Sans D 35 Regular" w:hAnsi="Core Sans D 35 Regular" w:cstheme="minorHAnsi"/>
          <w:sz w:val="22"/>
          <w:szCs w:val="22"/>
        </w:rPr>
        <w:t>Development of consistent measures and metrics of cyber risk mitigation, maturity levels, and continuous improvement</w:t>
      </w:r>
    </w:p>
    <w:p w14:paraId="66AC3984" w14:textId="77777777" w:rsidR="007F49A8" w:rsidRPr="008A3A5D" w:rsidRDefault="007F49A8" w:rsidP="00115820">
      <w:pPr>
        <w:rPr>
          <w:rFonts w:ascii="Core Sans D 35 Regular" w:hAnsi="Core Sans D 35 Regular" w:cstheme="minorHAnsi"/>
          <w:sz w:val="22"/>
          <w:szCs w:val="22"/>
        </w:rPr>
      </w:pPr>
    </w:p>
    <w:p w14:paraId="78277BE1" w14:textId="2A675137" w:rsidR="007F49A8" w:rsidRPr="00143C8D" w:rsidRDefault="007F49A8" w:rsidP="00115820">
      <w:pPr>
        <w:rPr>
          <w:rFonts w:ascii="Core Sans D 35 Regular" w:hAnsi="Core Sans D 35 Regular" w:cstheme="minorHAnsi"/>
          <w:b/>
          <w:bCs/>
          <w:sz w:val="22"/>
          <w:szCs w:val="22"/>
        </w:rPr>
      </w:pPr>
      <w:r w:rsidRPr="00143C8D">
        <w:rPr>
          <w:rFonts w:ascii="Core Sans D 35 Regular" w:hAnsi="Core Sans D 35 Regular" w:cstheme="minorHAnsi"/>
          <w:b/>
          <w:bCs/>
          <w:sz w:val="22"/>
          <w:szCs w:val="22"/>
        </w:rPr>
        <w:t>Methods:</w:t>
      </w:r>
    </w:p>
    <w:p w14:paraId="1DC85B67" w14:textId="6A0F9E51" w:rsidR="007F49A8" w:rsidRPr="008A3A5D" w:rsidRDefault="00863D66" w:rsidP="00115820">
      <w:pPr>
        <w:ind w:firstLine="720"/>
        <w:rPr>
          <w:rFonts w:ascii="Core Sans D 35 Regular" w:eastAsia="Times New Roman" w:hAnsi="Core Sans D 35 Regular" w:cstheme="minorHAnsi"/>
          <w:sz w:val="22"/>
          <w:szCs w:val="22"/>
        </w:rPr>
      </w:pPr>
      <w:r w:rsidRPr="008A3A5D">
        <w:rPr>
          <w:rFonts w:ascii="Core Sans D 35 Regular" w:hAnsi="Core Sans D 35 Regular" w:cstheme="minorHAnsi"/>
          <w:sz w:val="22"/>
          <w:szCs w:val="22"/>
        </w:rPr>
        <w:t xml:space="preserve">Monitor, </w:t>
      </w:r>
      <w:r w:rsidR="00945EC7" w:rsidRPr="008A3A5D">
        <w:rPr>
          <w:rFonts w:ascii="Core Sans D 35 Regular" w:hAnsi="Core Sans D 35 Regular" w:cstheme="minorHAnsi"/>
          <w:sz w:val="22"/>
          <w:szCs w:val="22"/>
        </w:rPr>
        <w:t>i</w:t>
      </w:r>
      <w:r w:rsidRPr="008A3A5D">
        <w:rPr>
          <w:rFonts w:ascii="Core Sans D 35 Regular" w:hAnsi="Core Sans D 35 Regular" w:cstheme="minorHAnsi"/>
          <w:sz w:val="22"/>
          <w:szCs w:val="22"/>
        </w:rPr>
        <w:t>dentif</w:t>
      </w:r>
      <w:r w:rsidR="00E46348" w:rsidRPr="008A3A5D">
        <w:rPr>
          <w:rFonts w:ascii="Core Sans D 35 Regular" w:hAnsi="Core Sans D 35 Regular" w:cstheme="minorHAnsi"/>
          <w:sz w:val="22"/>
          <w:szCs w:val="22"/>
        </w:rPr>
        <w:t>y</w:t>
      </w:r>
      <w:r w:rsidR="004656BB">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and track priority cyber vulnerabilities and gaps.</w:t>
      </w:r>
      <w:r w:rsidR="00E46348" w:rsidRPr="008A3A5D">
        <w:rPr>
          <w:rFonts w:ascii="Core Sans D 35 Regular" w:hAnsi="Core Sans D 35 Regular" w:cstheme="minorHAnsi"/>
          <w:sz w:val="22"/>
          <w:szCs w:val="22"/>
        </w:rPr>
        <w:t xml:space="preserve"> </w:t>
      </w:r>
      <w:r w:rsidR="007F49A8" w:rsidRPr="008A3A5D">
        <w:rPr>
          <w:rFonts w:ascii="Core Sans D 35 Regular" w:eastAsia="Times New Roman" w:hAnsi="Core Sans D 35 Regular" w:cstheme="minorHAnsi"/>
          <w:color w:val="000000"/>
          <w:sz w:val="22"/>
          <w:szCs w:val="22"/>
        </w:rPr>
        <w:t>Leverage AI</w:t>
      </w:r>
      <w:r w:rsidR="00D76A5C" w:rsidRPr="008A3A5D">
        <w:rPr>
          <w:rFonts w:ascii="Core Sans D 35 Regular" w:eastAsia="Times New Roman" w:hAnsi="Core Sans D 35 Regular" w:cstheme="minorHAnsi"/>
          <w:color w:val="000000"/>
          <w:sz w:val="22"/>
          <w:szCs w:val="22"/>
        </w:rPr>
        <w:t>-</w:t>
      </w:r>
      <w:r w:rsidR="007F49A8" w:rsidRPr="008A3A5D">
        <w:rPr>
          <w:rFonts w:ascii="Core Sans D 35 Regular" w:eastAsia="Times New Roman" w:hAnsi="Core Sans D 35 Regular" w:cstheme="minorHAnsi"/>
          <w:color w:val="000000"/>
          <w:sz w:val="22"/>
          <w:szCs w:val="22"/>
        </w:rPr>
        <w:t xml:space="preserve">based risk platforms </w:t>
      </w:r>
      <w:r w:rsidR="00945EC7" w:rsidRPr="008A3A5D">
        <w:rPr>
          <w:rFonts w:ascii="Core Sans D 35 Regular" w:eastAsia="Times New Roman" w:hAnsi="Core Sans D 35 Regular" w:cstheme="minorHAnsi"/>
          <w:color w:val="000000"/>
          <w:sz w:val="22"/>
          <w:szCs w:val="22"/>
        </w:rPr>
        <w:t>and</w:t>
      </w:r>
      <w:r w:rsidR="007F49A8" w:rsidRPr="008A3A5D">
        <w:rPr>
          <w:rFonts w:ascii="Core Sans D 35 Regular" w:eastAsia="Times New Roman" w:hAnsi="Core Sans D 35 Regular" w:cstheme="minorHAnsi"/>
          <w:color w:val="000000"/>
          <w:sz w:val="22"/>
          <w:szCs w:val="22"/>
        </w:rPr>
        <w:t xml:space="preserve"> </w:t>
      </w:r>
      <w:r w:rsidR="004656BB">
        <w:rPr>
          <w:rFonts w:ascii="Core Sans D 35 Regular" w:eastAsia="Times New Roman" w:hAnsi="Core Sans D 35 Regular" w:cstheme="minorHAnsi"/>
          <w:color w:val="000000"/>
          <w:sz w:val="22"/>
          <w:szCs w:val="22"/>
        </w:rPr>
        <w:t>advanced</w:t>
      </w:r>
      <w:r w:rsidR="007F49A8" w:rsidRPr="008A3A5D">
        <w:rPr>
          <w:rFonts w:ascii="Core Sans D 35 Regular" w:eastAsia="Times New Roman" w:hAnsi="Core Sans D 35 Regular" w:cstheme="minorHAnsi"/>
          <w:color w:val="000000"/>
          <w:sz w:val="22"/>
          <w:szCs w:val="22"/>
        </w:rPr>
        <w:t xml:space="preserve"> SaaS partners to identify, prioritize, and mitigate cyber risks impacting the revenue, reputation</w:t>
      </w:r>
      <w:r w:rsidR="0093280E">
        <w:rPr>
          <w:rFonts w:ascii="Core Sans D 35 Regular" w:eastAsia="Times New Roman" w:hAnsi="Core Sans D 35 Regular" w:cstheme="minorHAnsi"/>
          <w:color w:val="000000"/>
          <w:sz w:val="22"/>
          <w:szCs w:val="22"/>
        </w:rPr>
        <w:t>,</w:t>
      </w:r>
      <w:r w:rsidR="007F49A8" w:rsidRPr="008A3A5D">
        <w:rPr>
          <w:rFonts w:ascii="Core Sans D 35 Regular" w:eastAsia="Times New Roman" w:hAnsi="Core Sans D 35 Regular" w:cstheme="minorHAnsi"/>
          <w:color w:val="000000"/>
          <w:sz w:val="22"/>
          <w:szCs w:val="22"/>
        </w:rPr>
        <w:t xml:space="preserve"> and operations of the </w:t>
      </w:r>
      <w:r w:rsidR="00750385" w:rsidRPr="008A3A5D">
        <w:rPr>
          <w:rFonts w:ascii="Core Sans D 35 Regular" w:eastAsia="Times New Roman" w:hAnsi="Core Sans D 35 Regular" w:cstheme="minorHAnsi"/>
          <w:color w:val="000000"/>
          <w:sz w:val="22"/>
          <w:szCs w:val="22"/>
        </w:rPr>
        <w:t>E</w:t>
      </w:r>
      <w:r w:rsidR="007F49A8" w:rsidRPr="008A3A5D">
        <w:rPr>
          <w:rFonts w:ascii="Core Sans D 35 Regular" w:eastAsia="Times New Roman" w:hAnsi="Core Sans D 35 Regular" w:cstheme="minorHAnsi"/>
          <w:color w:val="000000"/>
          <w:sz w:val="22"/>
          <w:szCs w:val="22"/>
        </w:rPr>
        <w:t xml:space="preserve">nergy </w:t>
      </w:r>
      <w:r w:rsidR="00750385" w:rsidRPr="008A3A5D">
        <w:rPr>
          <w:rFonts w:ascii="Core Sans D 35 Regular" w:eastAsia="Times New Roman" w:hAnsi="Core Sans D 35 Regular" w:cstheme="minorHAnsi"/>
          <w:color w:val="000000"/>
          <w:sz w:val="22"/>
          <w:szCs w:val="22"/>
        </w:rPr>
        <w:t>S</w:t>
      </w:r>
      <w:r w:rsidR="007F49A8" w:rsidRPr="008A3A5D">
        <w:rPr>
          <w:rFonts w:ascii="Core Sans D 35 Regular" w:eastAsia="Times New Roman" w:hAnsi="Core Sans D 35 Regular" w:cstheme="minorHAnsi"/>
          <w:color w:val="000000"/>
          <w:sz w:val="22"/>
          <w:szCs w:val="22"/>
        </w:rPr>
        <w:t>ector. </w:t>
      </w:r>
    </w:p>
    <w:p w14:paraId="7EA8CB65" w14:textId="77777777" w:rsidR="00112F97" w:rsidRPr="008A3A5D" w:rsidRDefault="00112F97" w:rsidP="00115820">
      <w:pPr>
        <w:ind w:firstLine="720"/>
        <w:rPr>
          <w:rFonts w:ascii="Core Sans D 35 Regular" w:hAnsi="Core Sans D 35 Regular" w:cstheme="minorHAnsi"/>
          <w:b/>
          <w:bCs/>
          <w:sz w:val="22"/>
          <w:szCs w:val="22"/>
        </w:rPr>
      </w:pPr>
    </w:p>
    <w:p w14:paraId="5E55E5EE" w14:textId="0D6EC420" w:rsidR="0035747B" w:rsidRPr="008A3A5D" w:rsidRDefault="0035747B" w:rsidP="00115820">
      <w:pPr>
        <w:ind w:firstLine="720"/>
        <w:rPr>
          <w:rFonts w:ascii="Core Sans D 35 Regular" w:eastAsia="Times New Roman" w:hAnsi="Core Sans D 35 Regular" w:cstheme="minorHAnsi"/>
          <w:sz w:val="22"/>
          <w:szCs w:val="22"/>
        </w:rPr>
      </w:pPr>
      <w:r w:rsidRPr="00143C8D">
        <w:rPr>
          <w:rFonts w:ascii="Core Sans D 35 Regular" w:hAnsi="Core Sans D 35 Regular" w:cstheme="minorHAnsi"/>
          <w:sz w:val="22"/>
          <w:szCs w:val="22"/>
          <w:u w:val="single"/>
        </w:rPr>
        <w:t>Phase I:</w:t>
      </w:r>
      <w:r w:rsidRPr="008A3A5D">
        <w:rPr>
          <w:rFonts w:ascii="Core Sans D 35 Regular" w:hAnsi="Core Sans D 35 Regular" w:cstheme="minorHAnsi"/>
          <w:sz w:val="22"/>
          <w:szCs w:val="22"/>
        </w:rPr>
        <w:t xml:space="preserve"> Visualize some of the key risk indicator trends by </w:t>
      </w:r>
      <w:r w:rsidR="00945EC7" w:rsidRPr="008A3A5D">
        <w:rPr>
          <w:rFonts w:ascii="Core Sans D 35 Regular" w:hAnsi="Core Sans D 35 Regular" w:cstheme="minorHAnsi"/>
          <w:sz w:val="22"/>
          <w:szCs w:val="22"/>
        </w:rPr>
        <w:t>e</w:t>
      </w:r>
      <w:r w:rsidRPr="008A3A5D">
        <w:rPr>
          <w:rFonts w:ascii="Core Sans D 35 Regular" w:hAnsi="Core Sans D 35 Regular" w:cstheme="minorHAnsi"/>
          <w:sz w:val="22"/>
          <w:szCs w:val="22"/>
        </w:rPr>
        <w:t>ntity</w:t>
      </w:r>
      <w:r w:rsidR="00945EC7" w:rsidRPr="008A3A5D">
        <w:rPr>
          <w:rFonts w:ascii="Core Sans D 35 Regular" w:hAnsi="Core Sans D 35 Regular" w:cstheme="minorHAnsi"/>
          <w:sz w:val="22"/>
          <w:szCs w:val="22"/>
        </w:rPr>
        <w:t xml:space="preserve"> size</w:t>
      </w:r>
      <w:r w:rsidRPr="008A3A5D">
        <w:rPr>
          <w:rFonts w:ascii="Core Sans D 35 Regular" w:hAnsi="Core Sans D 35 Regular" w:cstheme="minorHAnsi"/>
          <w:sz w:val="22"/>
          <w:szCs w:val="22"/>
        </w:rPr>
        <w:t xml:space="preserve">, on a subset of data across the Energy </w:t>
      </w:r>
      <w:r w:rsidR="00750385" w:rsidRPr="008A3A5D">
        <w:rPr>
          <w:rFonts w:ascii="Core Sans D 35 Regular" w:hAnsi="Core Sans D 35 Regular" w:cstheme="minorHAnsi"/>
          <w:sz w:val="22"/>
          <w:szCs w:val="22"/>
        </w:rPr>
        <w:t>S</w:t>
      </w:r>
      <w:r w:rsidRPr="008A3A5D">
        <w:rPr>
          <w:rFonts w:ascii="Core Sans D 35 Regular" w:hAnsi="Core Sans D 35 Regular" w:cstheme="minorHAnsi"/>
          <w:sz w:val="22"/>
          <w:szCs w:val="22"/>
        </w:rPr>
        <w:t xml:space="preserve">ector. Each top trend is paired with a best practice or solution. </w:t>
      </w:r>
      <w:r w:rsidRPr="008A3A5D">
        <w:rPr>
          <w:rFonts w:ascii="Core Sans D 35 Regular" w:eastAsia="Times New Roman" w:hAnsi="Core Sans D 35 Regular" w:cstheme="minorHAnsi"/>
          <w:color w:val="000000"/>
          <w:sz w:val="22"/>
          <w:szCs w:val="22"/>
        </w:rPr>
        <w:t xml:space="preserve">Start with cyber risk monitoring </w:t>
      </w:r>
      <w:r w:rsidR="00945EC7" w:rsidRPr="008A3A5D">
        <w:rPr>
          <w:rFonts w:ascii="Core Sans D 35 Regular" w:eastAsia="Times New Roman" w:hAnsi="Core Sans D 35 Regular" w:cstheme="minorHAnsi"/>
          <w:color w:val="000000"/>
          <w:sz w:val="22"/>
          <w:szCs w:val="22"/>
        </w:rPr>
        <w:t>and</w:t>
      </w:r>
      <w:r w:rsidRPr="008A3A5D">
        <w:rPr>
          <w:rFonts w:ascii="Core Sans D 35 Regular" w:eastAsia="Times New Roman" w:hAnsi="Core Sans D 35 Regular" w:cstheme="minorHAnsi"/>
          <w:color w:val="000000"/>
          <w:sz w:val="22"/>
          <w:szCs w:val="22"/>
        </w:rPr>
        <w:t xml:space="preserve"> prioritization of risk indicators going back one year:</w:t>
      </w:r>
    </w:p>
    <w:p w14:paraId="2062B527" w14:textId="5A346745" w:rsidR="0035747B" w:rsidRPr="008A3A5D" w:rsidRDefault="0035747B" w:rsidP="00115820">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 xml:space="preserve">Know </w:t>
      </w:r>
      <w:r w:rsidR="0093280E">
        <w:rPr>
          <w:rFonts w:ascii="Core Sans D 35 Regular" w:eastAsia="Times New Roman" w:hAnsi="Core Sans D 35 Regular" w:cstheme="minorHAnsi"/>
          <w:color w:val="000000"/>
          <w:sz w:val="22"/>
          <w:szCs w:val="22"/>
        </w:rPr>
        <w:t xml:space="preserve">the </w:t>
      </w:r>
      <w:r w:rsidR="004656BB">
        <w:rPr>
          <w:rFonts w:ascii="Core Sans D 35 Regular" w:eastAsia="Times New Roman" w:hAnsi="Core Sans D 35 Regular" w:cstheme="minorHAnsi"/>
          <w:color w:val="000000"/>
          <w:sz w:val="22"/>
          <w:szCs w:val="22"/>
        </w:rPr>
        <w:t>s</w:t>
      </w:r>
      <w:r w:rsidRPr="008A3A5D">
        <w:rPr>
          <w:rFonts w:ascii="Core Sans D 35 Regular" w:eastAsia="Times New Roman" w:hAnsi="Core Sans D 35 Regular" w:cstheme="minorHAnsi"/>
          <w:color w:val="000000"/>
          <w:sz w:val="22"/>
          <w:szCs w:val="22"/>
        </w:rPr>
        <w:t>ector’s threat landscape and vector trends</w:t>
      </w:r>
    </w:p>
    <w:p w14:paraId="05CC5CE8" w14:textId="7016A8DA" w:rsidR="0035747B" w:rsidRPr="008A3A5D" w:rsidRDefault="0035747B" w:rsidP="00115820">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Receive Executive Level Cyber Risk Scorecard summation report on a quarterly basis</w:t>
      </w:r>
      <w:r w:rsidR="004656BB">
        <w:rPr>
          <w:rFonts w:ascii="Core Sans D 35 Regular" w:eastAsia="Times New Roman" w:hAnsi="Core Sans D 35 Regular" w:cstheme="minorHAnsi"/>
          <w:color w:val="000000"/>
          <w:sz w:val="22"/>
          <w:szCs w:val="22"/>
        </w:rPr>
        <w:t xml:space="preserve"> (Example included at Attachment A)</w:t>
      </w:r>
    </w:p>
    <w:p w14:paraId="0C14EB8E" w14:textId="0557A59C" w:rsidR="0035747B" w:rsidRPr="008A3A5D" w:rsidRDefault="0035747B" w:rsidP="00115820">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 xml:space="preserve">Leverage a real-time Red Team Assessment to validate all discovered &amp; Sector-wide risks </w:t>
      </w:r>
    </w:p>
    <w:p w14:paraId="199D4DB4" w14:textId="77777777" w:rsidR="0035747B" w:rsidRPr="008A3A5D" w:rsidRDefault="0035747B" w:rsidP="00115820">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Conduct Dark Net Assessment of obfuscated IP addresses &amp; lost data sets</w:t>
      </w:r>
    </w:p>
    <w:p w14:paraId="42BA9ED3" w14:textId="38BB1590" w:rsidR="0035747B" w:rsidRPr="008A3A5D" w:rsidRDefault="0035747B" w:rsidP="00115820">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Identify vetted, best</w:t>
      </w:r>
      <w:r w:rsidR="00945EC7"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of</w:t>
      </w:r>
      <w:r w:rsidR="00945EC7"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breed solution options to mitigate all validated cyber risks</w:t>
      </w:r>
    </w:p>
    <w:p w14:paraId="35E3B80B" w14:textId="7579FFF9" w:rsidR="00845576" w:rsidRPr="008A3A5D" w:rsidRDefault="0035747B" w:rsidP="00115820">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 xml:space="preserve">Be accountable to </w:t>
      </w:r>
      <w:r w:rsidR="00F61455" w:rsidRPr="008A3A5D">
        <w:rPr>
          <w:rFonts w:ascii="Core Sans D 35 Regular" w:eastAsia="Times New Roman" w:hAnsi="Core Sans D 35 Regular" w:cstheme="minorHAnsi"/>
          <w:color w:val="000000"/>
          <w:sz w:val="22"/>
          <w:szCs w:val="22"/>
        </w:rPr>
        <w:t>Leadership and S</w:t>
      </w:r>
      <w:r w:rsidR="00750385" w:rsidRPr="008A3A5D">
        <w:rPr>
          <w:rFonts w:ascii="Core Sans D 35 Regular" w:eastAsia="Times New Roman" w:hAnsi="Core Sans D 35 Regular" w:cstheme="minorHAnsi"/>
          <w:color w:val="000000"/>
          <w:sz w:val="22"/>
          <w:szCs w:val="22"/>
        </w:rPr>
        <w:t>takeholders</w:t>
      </w:r>
      <w:r w:rsidRPr="008A3A5D">
        <w:rPr>
          <w:rFonts w:ascii="Core Sans D 35 Regular" w:eastAsia="Times New Roman" w:hAnsi="Core Sans D 35 Regular" w:cstheme="minorHAnsi"/>
          <w:color w:val="000000"/>
          <w:sz w:val="22"/>
          <w:szCs w:val="22"/>
        </w:rPr>
        <w:t>, leveraged by the CIO/CISO/IT Team</w:t>
      </w:r>
    </w:p>
    <w:p w14:paraId="74BC5E16" w14:textId="34CDECD7" w:rsidR="00BA0ABA" w:rsidRPr="008A3A5D" w:rsidRDefault="0035747B" w:rsidP="00115820">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Ensure global reach, while tailoring and scaling to any size organization or company</w:t>
      </w:r>
    </w:p>
    <w:p w14:paraId="5B03D5BC" w14:textId="7DAED4F0" w:rsidR="00F61455" w:rsidRPr="008A3A5D" w:rsidRDefault="00F61455" w:rsidP="00115820">
      <w:pPr>
        <w:rPr>
          <w:rFonts w:ascii="Core Sans D 35 Regular" w:eastAsia="Times New Roman" w:hAnsi="Core Sans D 35 Regular" w:cstheme="minorHAnsi"/>
          <w:sz w:val="22"/>
          <w:szCs w:val="22"/>
        </w:rPr>
      </w:pPr>
      <w:r w:rsidRPr="008A3A5D">
        <w:rPr>
          <w:rFonts w:ascii="Core Sans D 35 Regular" w:hAnsi="Core Sans D 35 Regular"/>
          <w:noProof/>
          <w:sz w:val="22"/>
          <w:szCs w:val="22"/>
        </w:rPr>
        <w:drawing>
          <wp:inline distT="0" distB="0" distL="0" distR="0" wp14:anchorId="372C0043" wp14:editId="61A01D80">
            <wp:extent cx="5943600" cy="792815"/>
            <wp:effectExtent l="0" t="0" r="0" b="0"/>
            <wp:docPr id="1"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6="http://schemas.microsoft.com/office/drawing/2014/main" id="{74EDCCF9-BB68-C348-8F9B-3FB7CE54302E}"/>
                        </a:ext>
                      </a:extLst>
                    </a:blip>
                    <a:stretch>
                      <a:fillRect/>
                    </a:stretch>
                  </pic:blipFill>
                  <pic:spPr>
                    <a:xfrm>
                      <a:off x="0" y="0"/>
                      <a:ext cx="5943600" cy="792815"/>
                    </a:xfrm>
                    <a:prstGeom prst="rect">
                      <a:avLst/>
                    </a:prstGeom>
                  </pic:spPr>
                </pic:pic>
              </a:graphicData>
            </a:graphic>
          </wp:inline>
        </w:drawing>
      </w:r>
    </w:p>
    <w:p w14:paraId="63405219" w14:textId="359A7C53" w:rsidR="00137169" w:rsidRPr="008A3A5D" w:rsidRDefault="00137169" w:rsidP="00115820">
      <w:pPr>
        <w:pStyle w:val="ListParagraph"/>
        <w:rPr>
          <w:rFonts w:ascii="Core Sans D 35 Regular" w:hAnsi="Core Sans D 35 Regular" w:cstheme="minorHAnsi"/>
          <w:sz w:val="22"/>
          <w:szCs w:val="22"/>
        </w:rPr>
      </w:pPr>
    </w:p>
    <w:p w14:paraId="03ABA6FE" w14:textId="58B0E3E8" w:rsidR="00112F97" w:rsidRPr="008A3A5D" w:rsidRDefault="00112F97" w:rsidP="00115820">
      <w:pPr>
        <w:ind w:firstLine="720"/>
        <w:rPr>
          <w:rFonts w:ascii="Core Sans D 35 Regular" w:eastAsia="Times New Roman" w:hAnsi="Core Sans D 35 Regular" w:cstheme="minorHAnsi"/>
          <w:sz w:val="22"/>
          <w:szCs w:val="22"/>
        </w:rPr>
      </w:pPr>
      <w:r w:rsidRPr="00143C8D">
        <w:rPr>
          <w:rFonts w:ascii="Core Sans D 35 Regular" w:hAnsi="Core Sans D 35 Regular" w:cstheme="minorHAnsi"/>
          <w:sz w:val="22"/>
          <w:szCs w:val="22"/>
          <w:u w:val="single"/>
        </w:rPr>
        <w:t>Phase II:</w:t>
      </w:r>
      <w:r w:rsidRPr="008A3A5D">
        <w:rPr>
          <w:rFonts w:ascii="Core Sans D 35 Regular" w:hAnsi="Core Sans D 35 Regular" w:cstheme="minorHAnsi"/>
          <w:sz w:val="22"/>
          <w:szCs w:val="22"/>
        </w:rPr>
        <w:t xml:space="preserve"> Identif</w:t>
      </w:r>
      <w:r w:rsidR="00750385" w:rsidRPr="008A3A5D">
        <w:rPr>
          <w:rFonts w:ascii="Core Sans D 35 Regular" w:hAnsi="Core Sans D 35 Regular" w:cstheme="minorHAnsi"/>
          <w:sz w:val="22"/>
          <w:szCs w:val="22"/>
        </w:rPr>
        <w:t>y</w:t>
      </w:r>
      <w:r w:rsidRPr="008A3A5D">
        <w:rPr>
          <w:rFonts w:ascii="Core Sans D 35 Regular" w:hAnsi="Core Sans D 35 Regular" w:cstheme="minorHAnsi"/>
          <w:sz w:val="22"/>
          <w:szCs w:val="22"/>
        </w:rPr>
        <w:t xml:space="preserve"> additional macro level trends of cyber risk issues identified within specific segments of </w:t>
      </w:r>
      <w:r w:rsidR="00750385" w:rsidRPr="008A3A5D">
        <w:rPr>
          <w:rFonts w:ascii="Core Sans D 35 Regular" w:hAnsi="Core Sans D 35 Regular" w:cstheme="minorHAnsi"/>
          <w:sz w:val="22"/>
          <w:szCs w:val="22"/>
        </w:rPr>
        <w:t>E</w:t>
      </w:r>
      <w:r w:rsidRPr="008A3A5D">
        <w:rPr>
          <w:rFonts w:ascii="Core Sans D 35 Regular" w:hAnsi="Core Sans D 35 Regular" w:cstheme="minorHAnsi"/>
          <w:sz w:val="22"/>
          <w:szCs w:val="22"/>
        </w:rPr>
        <w:t xml:space="preserve">nergy </w:t>
      </w:r>
      <w:r w:rsidR="00750385" w:rsidRPr="008A3A5D">
        <w:rPr>
          <w:rFonts w:ascii="Core Sans D 35 Regular" w:hAnsi="Core Sans D 35 Regular" w:cstheme="minorHAnsi"/>
          <w:sz w:val="22"/>
          <w:szCs w:val="22"/>
        </w:rPr>
        <w:t>S</w:t>
      </w:r>
      <w:r w:rsidRPr="008A3A5D">
        <w:rPr>
          <w:rFonts w:ascii="Core Sans D 35 Regular" w:hAnsi="Core Sans D 35 Regular" w:cstheme="minorHAnsi"/>
          <w:sz w:val="22"/>
          <w:szCs w:val="22"/>
        </w:rPr>
        <w:t xml:space="preserve">ector monitored companies. </w:t>
      </w:r>
      <w:r w:rsidRPr="008A3A5D">
        <w:rPr>
          <w:rFonts w:ascii="Core Sans D 35 Regular" w:eastAsia="Times New Roman" w:hAnsi="Core Sans D 35 Regular" w:cstheme="minorHAnsi"/>
          <w:color w:val="000000"/>
          <w:sz w:val="22"/>
          <w:szCs w:val="22"/>
        </w:rPr>
        <w:t>Annually or semi-annually, integrate cutting edge SaaS based Red Team assessments:</w:t>
      </w:r>
    </w:p>
    <w:p w14:paraId="6B3210EC" w14:textId="4DE08E47" w:rsidR="00112F97" w:rsidRPr="008A3A5D" w:rsidRDefault="00112F97" w:rsidP="00115820">
      <w:pPr>
        <w:pStyle w:val="ListParagraph"/>
        <w:numPr>
          <w:ilvl w:val="0"/>
          <w:numId w:val="2"/>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Validate and prioritize Cyber Risk Scorecard key risk indicators </w:t>
      </w:r>
    </w:p>
    <w:p w14:paraId="7AC025D7" w14:textId="550D7576" w:rsidR="00112F97" w:rsidRPr="008A3A5D" w:rsidRDefault="00112F97" w:rsidP="00115820">
      <w:pPr>
        <w:pStyle w:val="ListParagraph"/>
        <w:numPr>
          <w:ilvl w:val="0"/>
          <w:numId w:val="2"/>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 xml:space="preserve">Stay </w:t>
      </w:r>
      <w:r w:rsidR="00945EC7" w:rsidRPr="008A3A5D">
        <w:rPr>
          <w:rFonts w:ascii="Core Sans D 35 Regular" w:eastAsia="Times New Roman" w:hAnsi="Core Sans D 35 Regular" w:cstheme="minorHAnsi"/>
          <w:color w:val="000000"/>
          <w:sz w:val="22"/>
          <w:szCs w:val="22"/>
        </w:rPr>
        <w:t>up to date</w:t>
      </w:r>
      <w:r w:rsidRPr="008A3A5D">
        <w:rPr>
          <w:rFonts w:ascii="Core Sans D 35 Regular" w:eastAsia="Times New Roman" w:hAnsi="Core Sans D 35 Regular" w:cstheme="minorHAnsi"/>
          <w:color w:val="000000"/>
          <w:sz w:val="22"/>
          <w:szCs w:val="22"/>
        </w:rPr>
        <w:t xml:space="preserve"> on hacker intentions, methods</w:t>
      </w:r>
      <w:r w:rsidR="00945EC7"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 xml:space="preserve"> and tools</w:t>
      </w:r>
    </w:p>
    <w:p w14:paraId="3878AFE7" w14:textId="4F0DA346" w:rsidR="00112F97" w:rsidRPr="008A3A5D" w:rsidRDefault="00112F97" w:rsidP="00115820">
      <w:pPr>
        <w:pStyle w:val="ListParagraph"/>
        <w:numPr>
          <w:ilvl w:val="0"/>
          <w:numId w:val="2"/>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Track major attack methods and impacts they are having globally –across all Sectors</w:t>
      </w:r>
    </w:p>
    <w:p w14:paraId="09010212" w14:textId="593D923D" w:rsidR="00112F97" w:rsidRPr="008A3A5D" w:rsidRDefault="00112F97" w:rsidP="00115820">
      <w:pPr>
        <w:pStyle w:val="ListParagraph"/>
        <w:numPr>
          <w:ilvl w:val="0"/>
          <w:numId w:val="2"/>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Compliment inside Red Team limited findings</w:t>
      </w:r>
    </w:p>
    <w:p w14:paraId="06B91527" w14:textId="2C411E42" w:rsidR="00112F97" w:rsidRPr="008A3A5D" w:rsidRDefault="00112F97" w:rsidP="00115820">
      <w:pPr>
        <w:pStyle w:val="ListParagraph"/>
        <w:numPr>
          <w:ilvl w:val="0"/>
          <w:numId w:val="2"/>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Determine where to focus your limited resources</w:t>
      </w:r>
    </w:p>
    <w:p w14:paraId="02A03D92" w14:textId="5866AD1B" w:rsidR="00137169" w:rsidRPr="008A3A5D" w:rsidRDefault="00137169" w:rsidP="00115820">
      <w:pPr>
        <w:pStyle w:val="ListParagraph"/>
        <w:rPr>
          <w:rFonts w:ascii="Core Sans D 35 Regular" w:hAnsi="Core Sans D 35 Regular" w:cstheme="minorHAnsi"/>
          <w:sz w:val="22"/>
          <w:szCs w:val="22"/>
        </w:rPr>
      </w:pPr>
    </w:p>
    <w:p w14:paraId="5BE01AF8" w14:textId="276A9A1C" w:rsidR="0093280E" w:rsidRPr="008A3A5D" w:rsidRDefault="00112F97" w:rsidP="00143C8D">
      <w:pPr>
        <w:ind w:firstLine="720"/>
        <w:rPr>
          <w:rFonts w:ascii="Core Sans D 35 Regular" w:eastAsia="Times New Roman" w:hAnsi="Core Sans D 35 Regular" w:cstheme="minorHAnsi"/>
          <w:sz w:val="22"/>
          <w:szCs w:val="22"/>
        </w:rPr>
      </w:pPr>
      <w:r w:rsidRPr="00143C8D">
        <w:rPr>
          <w:rFonts w:ascii="Core Sans D 35 Regular" w:hAnsi="Core Sans D 35 Regular" w:cstheme="minorHAnsi"/>
          <w:sz w:val="22"/>
          <w:szCs w:val="22"/>
          <w:u w:val="single"/>
        </w:rPr>
        <w:t>Phase III:</w:t>
      </w:r>
      <w:r w:rsidRPr="008A3A5D">
        <w:rPr>
          <w:rFonts w:ascii="Core Sans D 35 Regular" w:hAnsi="Core Sans D 35 Regular" w:cstheme="minorHAnsi"/>
          <w:b/>
          <w:bCs/>
          <w:sz w:val="22"/>
          <w:szCs w:val="22"/>
        </w:rPr>
        <w:t xml:space="preserve"> </w:t>
      </w:r>
      <w:r w:rsidR="0093280E" w:rsidRPr="00143C8D">
        <w:rPr>
          <w:rFonts w:ascii="Core Sans D 35 Regular" w:hAnsi="Core Sans D 35 Regular" w:cstheme="minorHAnsi"/>
          <w:sz w:val="22"/>
          <w:szCs w:val="22"/>
        </w:rPr>
        <w:t>Have a</w:t>
      </w:r>
      <w:r w:rsidR="0093280E">
        <w:rPr>
          <w:rFonts w:ascii="Core Sans D 35 Regular" w:hAnsi="Core Sans D 35 Regular" w:cstheme="minorHAnsi"/>
          <w:b/>
          <w:bCs/>
          <w:sz w:val="22"/>
          <w:szCs w:val="22"/>
        </w:rPr>
        <w:t xml:space="preserve"> </w:t>
      </w:r>
      <w:r w:rsidRPr="008A3A5D">
        <w:rPr>
          <w:rFonts w:ascii="Core Sans D 35 Regular" w:hAnsi="Core Sans D 35 Regular" w:cstheme="minorHAnsi"/>
          <w:sz w:val="22"/>
          <w:szCs w:val="22"/>
        </w:rPr>
        <w:t>matrix is developed showing high level trends from</w:t>
      </w:r>
      <w:r w:rsidR="0093280E">
        <w:rPr>
          <w:rFonts w:ascii="Core Sans D 35 Regular" w:hAnsi="Core Sans D 35 Regular" w:cstheme="minorHAnsi"/>
          <w:sz w:val="22"/>
          <w:szCs w:val="22"/>
        </w:rPr>
        <w:t>, for example,</w:t>
      </w:r>
      <w:r w:rsidRPr="008A3A5D">
        <w:rPr>
          <w:rFonts w:ascii="Core Sans D 35 Regular" w:hAnsi="Core Sans D 35 Regular" w:cstheme="minorHAnsi"/>
          <w:sz w:val="22"/>
          <w:szCs w:val="22"/>
        </w:rPr>
        <w:t xml:space="preserve"> </w:t>
      </w:r>
      <w:proofErr w:type="spellStart"/>
      <w:r w:rsidRPr="008A3A5D">
        <w:rPr>
          <w:rFonts w:ascii="Core Sans D 35 Regular" w:hAnsi="Core Sans D 35 Regular" w:cstheme="minorHAnsi"/>
          <w:sz w:val="22"/>
          <w:szCs w:val="22"/>
        </w:rPr>
        <w:t>WhiteHawk’s</w:t>
      </w:r>
      <w:proofErr w:type="spellEnd"/>
      <w:r w:rsidRPr="008A3A5D">
        <w:rPr>
          <w:rFonts w:ascii="Core Sans D 35 Regular" w:hAnsi="Core Sans D 35 Regular" w:cstheme="minorHAnsi"/>
          <w:sz w:val="22"/>
          <w:szCs w:val="22"/>
        </w:rPr>
        <w:t xml:space="preserve"> deep dive analysis of representative samples of the Energy Sector’s Small, Medium, </w:t>
      </w:r>
      <w:r w:rsidRPr="008A3A5D">
        <w:rPr>
          <w:rFonts w:ascii="Core Sans D 35 Regular" w:hAnsi="Core Sans D 35 Regular" w:cstheme="minorHAnsi"/>
          <w:sz w:val="22"/>
          <w:szCs w:val="22"/>
        </w:rPr>
        <w:lastRenderedPageBreak/>
        <w:t>and Large Enterprises.</w:t>
      </w:r>
      <w:r w:rsidR="0093280E">
        <w:rPr>
          <w:rFonts w:ascii="Core Sans D 35 Regular" w:hAnsi="Core Sans D 35 Regular" w:cstheme="minorHAnsi"/>
          <w:sz w:val="22"/>
          <w:szCs w:val="22"/>
        </w:rPr>
        <w:t xml:space="preserve"> Following this path will produce C</w:t>
      </w:r>
      <w:r w:rsidR="0093280E" w:rsidRPr="008A3A5D">
        <w:rPr>
          <w:rFonts w:ascii="Core Sans D 35 Regular" w:eastAsia="Times New Roman" w:hAnsi="Core Sans D 35 Regular" w:cstheme="minorHAnsi"/>
          <w:color w:val="000000"/>
          <w:sz w:val="22"/>
          <w:szCs w:val="22"/>
        </w:rPr>
        <w:t>yber Risk Scorecard</w:t>
      </w:r>
      <w:r w:rsidR="0093280E">
        <w:rPr>
          <w:rFonts w:ascii="Core Sans D 35 Regular" w:eastAsia="Times New Roman" w:hAnsi="Core Sans D 35 Regular" w:cstheme="minorHAnsi"/>
          <w:color w:val="000000"/>
          <w:sz w:val="22"/>
          <w:szCs w:val="22"/>
        </w:rPr>
        <w:t>s</w:t>
      </w:r>
      <w:r w:rsidR="009257DB">
        <w:rPr>
          <w:rFonts w:ascii="Core Sans D 35 Regular" w:eastAsia="Times New Roman" w:hAnsi="Core Sans D 35 Regular" w:cstheme="minorHAnsi"/>
          <w:color w:val="000000"/>
          <w:sz w:val="22"/>
          <w:szCs w:val="22"/>
        </w:rPr>
        <w:t xml:space="preserve"> </w:t>
      </w:r>
      <w:r w:rsidR="0093280E" w:rsidRPr="008A3A5D">
        <w:rPr>
          <w:rFonts w:ascii="Core Sans D 35 Regular" w:eastAsia="Times New Roman" w:hAnsi="Core Sans D 35 Regular" w:cstheme="minorHAnsi"/>
          <w:color w:val="000000"/>
          <w:sz w:val="22"/>
          <w:szCs w:val="22"/>
        </w:rPr>
        <w:t xml:space="preserve">designed to provide </w:t>
      </w:r>
      <w:r w:rsidR="0093280E">
        <w:rPr>
          <w:rFonts w:ascii="Core Sans D 35 Regular" w:eastAsia="Times New Roman" w:hAnsi="Core Sans D 35 Regular" w:cstheme="minorHAnsi"/>
          <w:color w:val="000000"/>
          <w:sz w:val="22"/>
          <w:szCs w:val="22"/>
        </w:rPr>
        <w:t xml:space="preserve">entities </w:t>
      </w:r>
      <w:r w:rsidR="0093280E" w:rsidRPr="008A3A5D">
        <w:rPr>
          <w:rFonts w:ascii="Core Sans D 35 Regular" w:eastAsia="Times New Roman" w:hAnsi="Core Sans D 35 Regular" w:cstheme="minorHAnsi"/>
          <w:color w:val="000000"/>
          <w:sz w:val="22"/>
          <w:szCs w:val="22"/>
        </w:rPr>
        <w:t>with actionable information to:</w:t>
      </w:r>
    </w:p>
    <w:p w14:paraId="7A28B7D7" w14:textId="77777777" w:rsidR="00112F97" w:rsidRPr="008A3A5D" w:rsidRDefault="00112F97" w:rsidP="00143C8D">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Enable budget-based, effective risk reduction decision making </w:t>
      </w:r>
    </w:p>
    <w:p w14:paraId="0721B350" w14:textId="77777777" w:rsidR="00112F97" w:rsidRPr="008A3A5D" w:rsidRDefault="00112F97" w:rsidP="00143C8D">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Facilitate smart and timely action </w:t>
      </w:r>
    </w:p>
    <w:p w14:paraId="32E8AF72" w14:textId="77777777" w:rsidR="00112F97" w:rsidRPr="008A3A5D" w:rsidRDefault="00112F97" w:rsidP="00143C8D">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Prevent online crime and fraud from disrupting operations </w:t>
      </w:r>
    </w:p>
    <w:p w14:paraId="239F88C6" w14:textId="1639E2DA" w:rsidR="00112F97" w:rsidRPr="008A3A5D" w:rsidRDefault="00112F97" w:rsidP="00143C8D">
      <w:pPr>
        <w:pStyle w:val="ListParagraph"/>
        <w:numPr>
          <w:ilvl w:val="0"/>
          <w:numId w:val="1"/>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 xml:space="preserve">Affordable and impactful options to mitigate key cyber risks </w:t>
      </w:r>
    </w:p>
    <w:p w14:paraId="6E454BAB" w14:textId="77777777" w:rsidR="00845576" w:rsidRPr="008A3A5D" w:rsidRDefault="00845576" w:rsidP="00115820">
      <w:pPr>
        <w:pStyle w:val="ListParagraph"/>
        <w:rPr>
          <w:rFonts w:ascii="Core Sans D 35 Regular" w:eastAsia="Times New Roman" w:hAnsi="Core Sans D 35 Regular" w:cstheme="minorHAnsi"/>
          <w:color w:val="000000"/>
          <w:sz w:val="22"/>
          <w:szCs w:val="22"/>
        </w:rPr>
      </w:pPr>
    </w:p>
    <w:p w14:paraId="22EDF594" w14:textId="05F8D81B" w:rsidR="00BA0ABA" w:rsidRPr="008A3A5D" w:rsidRDefault="0046324A" w:rsidP="00115820">
      <w:pPr>
        <w:rPr>
          <w:rFonts w:ascii="Core Sans D 35 Regular" w:hAnsi="Core Sans D 35 Regular" w:cstheme="minorHAnsi"/>
          <w:b/>
          <w:bCs/>
          <w:sz w:val="22"/>
          <w:szCs w:val="22"/>
        </w:rPr>
      </w:pPr>
      <w:r w:rsidRPr="008A3A5D">
        <w:rPr>
          <w:rFonts w:ascii="Core Sans D 35 Regular" w:hAnsi="Core Sans D 35 Regular" w:cstheme="minorHAnsi"/>
          <w:b/>
          <w:bCs/>
          <w:sz w:val="22"/>
          <w:szCs w:val="22"/>
        </w:rPr>
        <w:t xml:space="preserve">Enabling </w:t>
      </w:r>
      <w:r w:rsidR="00945EC7" w:rsidRPr="008A3A5D">
        <w:rPr>
          <w:rFonts w:ascii="Core Sans D 35 Regular" w:hAnsi="Core Sans D 35 Regular" w:cstheme="minorHAnsi"/>
          <w:b/>
          <w:bCs/>
          <w:sz w:val="22"/>
          <w:szCs w:val="22"/>
        </w:rPr>
        <w:t>B</w:t>
      </w:r>
      <w:r w:rsidRPr="008A3A5D">
        <w:rPr>
          <w:rFonts w:ascii="Core Sans D 35 Regular" w:hAnsi="Core Sans D 35 Regular" w:cstheme="minorHAnsi"/>
          <w:b/>
          <w:bCs/>
          <w:sz w:val="22"/>
          <w:szCs w:val="22"/>
        </w:rPr>
        <w:t>etter Testing of Critical Grid Equipment</w:t>
      </w:r>
    </w:p>
    <w:p w14:paraId="683B7FC3" w14:textId="77777777" w:rsidR="00A10010" w:rsidRDefault="00A10010" w:rsidP="00115820">
      <w:pPr>
        <w:pStyle w:val="ListParagraph"/>
        <w:ind w:left="0" w:firstLine="720"/>
        <w:rPr>
          <w:rFonts w:ascii="Core Sans D 35 Regular" w:eastAsia="Times New Roman" w:hAnsi="Core Sans D 35 Regular" w:cstheme="minorHAnsi"/>
          <w:color w:val="000000"/>
          <w:sz w:val="22"/>
          <w:szCs w:val="22"/>
        </w:rPr>
      </w:pPr>
    </w:p>
    <w:p w14:paraId="0D3A4491" w14:textId="4503BE40" w:rsidR="004940DE" w:rsidRDefault="004F1EBA" w:rsidP="00115820">
      <w:pPr>
        <w:pStyle w:val="ListParagraph"/>
        <w:ind w:left="0" w:firstLine="720"/>
        <w:rPr>
          <w:rFonts w:ascii="Core Sans D 35 Regular" w:eastAsia="Times New Roman" w:hAnsi="Core Sans D 35 Regular" w:cstheme="minorHAnsi"/>
          <w:color w:val="000000"/>
          <w:sz w:val="22"/>
          <w:szCs w:val="22"/>
        </w:rPr>
      </w:pPr>
      <w:proofErr w:type="spellStart"/>
      <w:r w:rsidRPr="008A3A5D">
        <w:rPr>
          <w:rFonts w:ascii="Core Sans D 35 Regular" w:eastAsia="Times New Roman" w:hAnsi="Core Sans D 35 Regular" w:cstheme="minorHAnsi"/>
          <w:color w:val="000000"/>
          <w:sz w:val="22"/>
          <w:szCs w:val="22"/>
        </w:rPr>
        <w:t>WhiteHawk</w:t>
      </w:r>
      <w:proofErr w:type="spellEnd"/>
      <w:r w:rsidRPr="008A3A5D">
        <w:rPr>
          <w:rFonts w:ascii="Core Sans D 35 Regular" w:eastAsia="Times New Roman" w:hAnsi="Core Sans D 35 Regular" w:cstheme="minorHAnsi"/>
          <w:color w:val="000000"/>
          <w:sz w:val="22"/>
          <w:szCs w:val="22"/>
        </w:rPr>
        <w:t xml:space="preserve"> continuously vets innovative, game-changing, </w:t>
      </w:r>
      <w:r w:rsidR="004C2504" w:rsidRPr="008A3A5D">
        <w:rPr>
          <w:rFonts w:ascii="Core Sans D 35 Regular" w:eastAsia="Times New Roman" w:hAnsi="Core Sans D 35 Regular" w:cstheme="minorHAnsi"/>
          <w:color w:val="000000"/>
          <w:sz w:val="22"/>
          <w:szCs w:val="22"/>
        </w:rPr>
        <w:t>scalable,</w:t>
      </w:r>
      <w:r w:rsidRPr="008A3A5D">
        <w:rPr>
          <w:rFonts w:ascii="Core Sans D 35 Regular" w:eastAsia="Times New Roman" w:hAnsi="Core Sans D 35 Regular" w:cstheme="minorHAnsi"/>
          <w:color w:val="000000"/>
          <w:sz w:val="22"/>
          <w:szCs w:val="22"/>
        </w:rPr>
        <w:t xml:space="preserve"> and cost-effective cybersecurity solutions (over 1,500 to date) in order to address any category of Digital Age Risk. Our continuous research enables us to provide expert-vetted risk mitigation solutions tailored to the enterprise’s needs.</w:t>
      </w:r>
      <w:r w:rsidR="001D6154" w:rsidRPr="008A3A5D">
        <w:rPr>
          <w:rFonts w:ascii="Core Sans D 35 Regular" w:eastAsia="Times New Roman" w:hAnsi="Core Sans D 35 Regular" w:cstheme="minorHAnsi"/>
          <w:color w:val="000000"/>
          <w:sz w:val="22"/>
          <w:szCs w:val="22"/>
        </w:rPr>
        <w:t xml:space="preserve"> What we have discovered through this process is that solutions exist for many of the problems </w:t>
      </w:r>
      <w:r w:rsidR="005F145E" w:rsidRPr="008A3A5D">
        <w:rPr>
          <w:rFonts w:ascii="Core Sans D 35 Regular" w:eastAsia="Times New Roman" w:hAnsi="Core Sans D 35 Regular" w:cstheme="minorHAnsi"/>
          <w:color w:val="000000"/>
          <w:sz w:val="22"/>
          <w:szCs w:val="22"/>
        </w:rPr>
        <w:t>concerning</w:t>
      </w:r>
      <w:r w:rsidR="001D6154" w:rsidRPr="008A3A5D">
        <w:rPr>
          <w:rFonts w:ascii="Core Sans D 35 Regular" w:eastAsia="Times New Roman" w:hAnsi="Core Sans D 35 Regular" w:cstheme="minorHAnsi"/>
          <w:color w:val="000000"/>
          <w:sz w:val="22"/>
          <w:szCs w:val="22"/>
        </w:rPr>
        <w:t xml:space="preserve"> testing and </w:t>
      </w:r>
      <w:r w:rsidR="00512FFE" w:rsidRPr="008A3A5D">
        <w:rPr>
          <w:rFonts w:ascii="Core Sans D 35 Regular" w:eastAsia="Times New Roman" w:hAnsi="Core Sans D 35 Regular" w:cstheme="minorHAnsi"/>
          <w:color w:val="000000"/>
          <w:sz w:val="22"/>
          <w:szCs w:val="22"/>
        </w:rPr>
        <w:t>cybersecurity,</w:t>
      </w:r>
      <w:r w:rsidR="001D6154" w:rsidRPr="008A3A5D">
        <w:rPr>
          <w:rFonts w:ascii="Core Sans D 35 Regular" w:eastAsia="Times New Roman" w:hAnsi="Core Sans D 35 Regular" w:cstheme="minorHAnsi"/>
          <w:color w:val="000000"/>
          <w:sz w:val="22"/>
          <w:szCs w:val="22"/>
        </w:rPr>
        <w:t xml:space="preserve"> but</w:t>
      </w:r>
      <w:r w:rsidR="0093280E">
        <w:rPr>
          <w:rFonts w:ascii="Core Sans D 35 Regular" w:eastAsia="Times New Roman" w:hAnsi="Core Sans D 35 Regular" w:cstheme="minorHAnsi"/>
          <w:color w:val="000000"/>
          <w:sz w:val="22"/>
          <w:szCs w:val="22"/>
        </w:rPr>
        <w:t xml:space="preserve"> organizations</w:t>
      </w:r>
      <w:r w:rsidR="001D6154" w:rsidRPr="008A3A5D">
        <w:rPr>
          <w:rFonts w:ascii="Core Sans D 35 Regular" w:eastAsia="Times New Roman" w:hAnsi="Core Sans D 35 Regular" w:cstheme="minorHAnsi"/>
          <w:color w:val="000000"/>
          <w:sz w:val="22"/>
          <w:szCs w:val="22"/>
        </w:rPr>
        <w:t xml:space="preserve"> are unwilling to invest in these solutions without a compelling </w:t>
      </w:r>
      <w:r w:rsidR="00A97F5A" w:rsidRPr="008A3A5D">
        <w:rPr>
          <w:rFonts w:ascii="Core Sans D 35 Regular" w:eastAsia="Times New Roman" w:hAnsi="Core Sans D 35 Regular" w:cstheme="minorHAnsi"/>
          <w:color w:val="000000"/>
          <w:sz w:val="22"/>
          <w:szCs w:val="22"/>
        </w:rPr>
        <w:t xml:space="preserve">requirement. </w:t>
      </w:r>
    </w:p>
    <w:p w14:paraId="208739BB" w14:textId="77777777" w:rsidR="0093280E" w:rsidRPr="008A3A5D" w:rsidRDefault="0093280E" w:rsidP="00115820">
      <w:pPr>
        <w:pStyle w:val="ListParagraph"/>
        <w:ind w:left="0" w:firstLine="720"/>
        <w:rPr>
          <w:rFonts w:ascii="Core Sans D 35 Regular" w:eastAsia="Times New Roman" w:hAnsi="Core Sans D 35 Regular" w:cstheme="minorHAnsi"/>
          <w:color w:val="000000"/>
          <w:sz w:val="22"/>
          <w:szCs w:val="22"/>
        </w:rPr>
      </w:pPr>
    </w:p>
    <w:p w14:paraId="35F01DA7" w14:textId="4064F553" w:rsidR="004F1EBA" w:rsidRPr="008A3A5D" w:rsidRDefault="00A97F5A" w:rsidP="00115820">
      <w:pPr>
        <w:pStyle w:val="ListParagraph"/>
        <w:ind w:left="0" w:firstLine="720"/>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For most manufactures and consumers of Critical Grid Equipment</w:t>
      </w:r>
      <w:r w:rsidR="005F145E"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 xml:space="preserve"> cybersecurity testing is an imposed cost for which they perceive little to no return on investment. This is especially true of small to mid-sized companies </w:t>
      </w:r>
      <w:r w:rsidR="004940DE" w:rsidRPr="008A3A5D">
        <w:rPr>
          <w:rFonts w:ascii="Core Sans D 35 Regular" w:eastAsia="Times New Roman" w:hAnsi="Core Sans D 35 Regular" w:cstheme="minorHAnsi"/>
          <w:color w:val="000000"/>
          <w:sz w:val="22"/>
          <w:szCs w:val="22"/>
        </w:rPr>
        <w:t xml:space="preserve">where cybersecurity risks are not well defined and the cost of securing the infrastructure from all threats would be prohibitive. To better enable these small to mid-sized </w:t>
      </w:r>
      <w:r w:rsidR="003B37C5" w:rsidRPr="008A3A5D">
        <w:rPr>
          <w:rFonts w:ascii="Core Sans D 35 Regular" w:eastAsia="Times New Roman" w:hAnsi="Core Sans D 35 Regular" w:cstheme="minorHAnsi"/>
          <w:color w:val="000000"/>
          <w:sz w:val="22"/>
          <w:szCs w:val="22"/>
        </w:rPr>
        <w:t>companies’ efforts to test and secure critical components</w:t>
      </w:r>
      <w:r w:rsidR="005F145E" w:rsidRPr="008A3A5D">
        <w:rPr>
          <w:rFonts w:ascii="Core Sans D 35 Regular" w:eastAsia="Times New Roman" w:hAnsi="Core Sans D 35 Regular" w:cstheme="minorHAnsi"/>
          <w:color w:val="000000"/>
          <w:sz w:val="22"/>
          <w:szCs w:val="22"/>
        </w:rPr>
        <w:t>,</w:t>
      </w:r>
      <w:r w:rsidR="003B37C5" w:rsidRPr="008A3A5D">
        <w:rPr>
          <w:rFonts w:ascii="Core Sans D 35 Regular" w:eastAsia="Times New Roman" w:hAnsi="Core Sans D 35 Regular" w:cstheme="minorHAnsi"/>
          <w:color w:val="000000"/>
          <w:sz w:val="22"/>
          <w:szCs w:val="22"/>
        </w:rPr>
        <w:t xml:space="preserve"> DOE should consider models that distribute the cost of this testing while leveraging sector analytics to focus testing on the areas of greatest risk. Establishing an analysis clearing house, similar to an Underwriters Laboratories</w:t>
      </w:r>
      <w:r w:rsidR="0037554B" w:rsidRPr="008A3A5D">
        <w:rPr>
          <w:rFonts w:ascii="Core Sans D 35 Regular" w:eastAsia="Times New Roman" w:hAnsi="Core Sans D 35 Regular" w:cstheme="minorHAnsi"/>
          <w:color w:val="000000"/>
          <w:sz w:val="22"/>
          <w:szCs w:val="22"/>
        </w:rPr>
        <w:t xml:space="preserve"> or the Energy ISAC</w:t>
      </w:r>
      <w:r w:rsidR="005F145E" w:rsidRPr="008A3A5D">
        <w:rPr>
          <w:rFonts w:ascii="Core Sans D 35 Regular" w:eastAsia="Times New Roman" w:hAnsi="Core Sans D 35 Regular" w:cstheme="minorHAnsi"/>
          <w:color w:val="000000"/>
          <w:sz w:val="22"/>
          <w:szCs w:val="22"/>
        </w:rPr>
        <w:t xml:space="preserve"> will help enable this effort. </w:t>
      </w:r>
    </w:p>
    <w:p w14:paraId="2812575C" w14:textId="65D0EA58" w:rsidR="004F1EBA" w:rsidRPr="008A3A5D" w:rsidRDefault="004F1EBA" w:rsidP="00115820">
      <w:pPr>
        <w:rPr>
          <w:rFonts w:ascii="Core Sans D 35 Regular" w:hAnsi="Core Sans D 35 Regular" w:cstheme="minorHAnsi"/>
          <w:sz w:val="22"/>
          <w:szCs w:val="22"/>
        </w:rPr>
      </w:pPr>
    </w:p>
    <w:p w14:paraId="1ABB2224" w14:textId="6907832D" w:rsidR="004F1EBA" w:rsidRPr="00143C8D" w:rsidRDefault="004F1EBA" w:rsidP="00115820">
      <w:pPr>
        <w:rPr>
          <w:rFonts w:ascii="Core Sans D 35 Regular" w:hAnsi="Core Sans D 35 Regular" w:cstheme="minorHAnsi"/>
          <w:b/>
          <w:bCs/>
          <w:sz w:val="22"/>
          <w:szCs w:val="22"/>
        </w:rPr>
      </w:pPr>
      <w:r w:rsidRPr="00143C8D">
        <w:rPr>
          <w:rFonts w:ascii="Core Sans D 35 Regular" w:hAnsi="Core Sans D 35 Regular" w:cstheme="minorHAnsi"/>
          <w:b/>
          <w:bCs/>
          <w:sz w:val="22"/>
          <w:szCs w:val="22"/>
        </w:rPr>
        <w:t>Objectives:</w:t>
      </w:r>
    </w:p>
    <w:p w14:paraId="60403CE6" w14:textId="44F46773" w:rsidR="004F1EBA" w:rsidRPr="008A3A5D" w:rsidRDefault="004F1EBA" w:rsidP="00115820">
      <w:pPr>
        <w:pStyle w:val="ListParagraph"/>
        <w:numPr>
          <w:ilvl w:val="0"/>
          <w:numId w:val="1"/>
        </w:numPr>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Deliver affordable and impactful options to mitigate cyber risks of small and midsize businesses and organizations, prioritized to reduce the most significant risks</w:t>
      </w:r>
      <w:r w:rsidR="005F145E"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 </w:t>
      </w:r>
    </w:p>
    <w:p w14:paraId="3A03D5A4" w14:textId="53F85B97" w:rsidR="004F1EBA" w:rsidRPr="008A3A5D" w:rsidRDefault="004F1EBA" w:rsidP="00115820">
      <w:pPr>
        <w:pStyle w:val="ListParagraph"/>
        <w:numPr>
          <w:ilvl w:val="0"/>
          <w:numId w:val="1"/>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Collect, analyze, and correlate openly available data into actionable intelligence.</w:t>
      </w:r>
    </w:p>
    <w:p w14:paraId="73EA4731" w14:textId="4027DA8E" w:rsidR="004F1EBA" w:rsidRPr="008A3A5D" w:rsidRDefault="004F1EBA" w:rsidP="00115820">
      <w:pPr>
        <w:rPr>
          <w:rFonts w:ascii="Core Sans D 35 Regular" w:hAnsi="Core Sans D 35 Regular" w:cstheme="minorHAnsi"/>
          <w:sz w:val="22"/>
          <w:szCs w:val="22"/>
        </w:rPr>
      </w:pPr>
    </w:p>
    <w:p w14:paraId="4435BB8E" w14:textId="09DD5BF7" w:rsidR="004F1EBA" w:rsidRPr="00143C8D" w:rsidRDefault="004F1EBA" w:rsidP="00115820">
      <w:pPr>
        <w:rPr>
          <w:rFonts w:ascii="Core Sans D 35 Regular" w:hAnsi="Core Sans D 35 Regular" w:cstheme="minorHAnsi"/>
          <w:b/>
          <w:bCs/>
          <w:sz w:val="22"/>
          <w:szCs w:val="22"/>
        </w:rPr>
      </w:pPr>
      <w:r w:rsidRPr="00143C8D">
        <w:rPr>
          <w:rFonts w:ascii="Core Sans D 35 Regular" w:hAnsi="Core Sans D 35 Regular" w:cstheme="minorHAnsi"/>
          <w:b/>
          <w:bCs/>
          <w:sz w:val="22"/>
          <w:szCs w:val="22"/>
        </w:rPr>
        <w:t>Methods:</w:t>
      </w:r>
    </w:p>
    <w:p w14:paraId="5E6A8A06" w14:textId="7B3C4A25" w:rsidR="003D15A9" w:rsidRPr="008A3A5D" w:rsidRDefault="003D15A9" w:rsidP="00115820">
      <w:pPr>
        <w:ind w:firstLine="720"/>
        <w:rPr>
          <w:rFonts w:ascii="Core Sans D 35 Regular" w:eastAsia="Times New Roman" w:hAnsi="Core Sans D 35 Regular" w:cstheme="minorHAnsi"/>
          <w:bCs/>
          <w:iCs/>
          <w:color w:val="000000"/>
          <w:sz w:val="22"/>
          <w:szCs w:val="22"/>
        </w:rPr>
      </w:pPr>
      <w:r w:rsidRPr="008A3A5D">
        <w:rPr>
          <w:rFonts w:ascii="Core Sans D 35 Regular" w:eastAsia="Times New Roman" w:hAnsi="Core Sans D 35 Regular" w:cstheme="minorHAnsi"/>
          <w:bCs/>
          <w:iCs/>
          <w:color w:val="000000"/>
          <w:sz w:val="22"/>
          <w:szCs w:val="22"/>
        </w:rPr>
        <w:t xml:space="preserve">In the Digital Age environment, hardware, software, solutions, and services interconnect at many levels to Private and Public Sector capabilities, platforms, and missions. Our economic, political adversaries and criminals continuously seek to steal, disrupt, and conduct industrial espionage against all that they can, gaining and holding root-level access across critical government systems and their suppliers. </w:t>
      </w:r>
      <w:r w:rsidR="0026643B">
        <w:rPr>
          <w:rFonts w:ascii="Core Sans D 35 Regular" w:eastAsia="Times New Roman" w:hAnsi="Core Sans D 35 Regular" w:cstheme="minorHAnsi"/>
          <w:bCs/>
          <w:iCs/>
          <w:color w:val="000000"/>
          <w:sz w:val="22"/>
          <w:szCs w:val="22"/>
        </w:rPr>
        <w:t xml:space="preserve">A </w:t>
      </w:r>
      <w:r w:rsidRPr="008A3A5D">
        <w:rPr>
          <w:rFonts w:ascii="Core Sans D 35 Regular" w:eastAsia="Times New Roman" w:hAnsi="Core Sans D 35 Regular" w:cstheme="minorHAnsi"/>
          <w:bCs/>
          <w:iCs/>
          <w:color w:val="000000"/>
          <w:sz w:val="22"/>
          <w:szCs w:val="22"/>
        </w:rPr>
        <w:t xml:space="preserve"> proven </w:t>
      </w:r>
      <w:r w:rsidR="002D20DE" w:rsidRPr="008A3A5D">
        <w:rPr>
          <w:rFonts w:ascii="Core Sans D 35 Regular" w:eastAsia="Times New Roman" w:hAnsi="Core Sans D 35 Regular" w:cstheme="minorHAnsi"/>
          <w:bCs/>
          <w:iCs/>
          <w:color w:val="000000"/>
          <w:sz w:val="22"/>
          <w:szCs w:val="22"/>
        </w:rPr>
        <w:t xml:space="preserve">external and internal </w:t>
      </w:r>
      <w:r w:rsidRPr="008A3A5D">
        <w:rPr>
          <w:rFonts w:ascii="Core Sans D 35 Regular" w:eastAsia="Times New Roman" w:hAnsi="Core Sans D 35 Regular" w:cstheme="minorHAnsi"/>
          <w:bCs/>
          <w:iCs/>
          <w:color w:val="000000"/>
          <w:sz w:val="22"/>
          <w:szCs w:val="22"/>
        </w:rPr>
        <w:t>Cyber Risk Assessment program</w:t>
      </w:r>
      <w:r w:rsidR="0026643B">
        <w:rPr>
          <w:rFonts w:ascii="Core Sans D 35 Regular" w:eastAsia="Times New Roman" w:hAnsi="Core Sans D 35 Regular" w:cstheme="minorHAnsi"/>
          <w:bCs/>
          <w:iCs/>
          <w:color w:val="000000"/>
          <w:sz w:val="22"/>
          <w:szCs w:val="22"/>
        </w:rPr>
        <w:t xml:space="preserve"> similar to </w:t>
      </w:r>
      <w:proofErr w:type="spellStart"/>
      <w:r w:rsidR="0026643B">
        <w:rPr>
          <w:rFonts w:ascii="Core Sans D 35 Regular" w:eastAsia="Times New Roman" w:hAnsi="Core Sans D 35 Regular" w:cstheme="minorHAnsi"/>
          <w:bCs/>
          <w:iCs/>
          <w:color w:val="000000"/>
          <w:sz w:val="22"/>
          <w:szCs w:val="22"/>
        </w:rPr>
        <w:t>WhiteHawk's</w:t>
      </w:r>
      <w:proofErr w:type="spellEnd"/>
      <w:r w:rsidRPr="008A3A5D">
        <w:rPr>
          <w:rFonts w:ascii="Core Sans D 35 Regular" w:eastAsia="Times New Roman" w:hAnsi="Core Sans D 35 Regular" w:cstheme="minorHAnsi"/>
          <w:bCs/>
          <w:iCs/>
          <w:color w:val="000000"/>
          <w:sz w:val="22"/>
          <w:szCs w:val="22"/>
        </w:rPr>
        <w:t xml:space="preserve"> is designed and optimized to ensure:</w:t>
      </w:r>
    </w:p>
    <w:p w14:paraId="383DEB50" w14:textId="2DC995B0" w:rsidR="003D15A9" w:rsidRPr="008A3A5D" w:rsidRDefault="0026643B" w:rsidP="00115820">
      <w:pPr>
        <w:pStyle w:val="ListParagraph"/>
        <w:numPr>
          <w:ilvl w:val="0"/>
          <w:numId w:val="15"/>
        </w:numPr>
        <w:rPr>
          <w:rFonts w:ascii="Core Sans D 35 Regular" w:eastAsia="Times New Roman" w:hAnsi="Core Sans D 35 Regular" w:cstheme="minorHAnsi"/>
          <w:color w:val="000000"/>
          <w:sz w:val="22"/>
          <w:szCs w:val="22"/>
        </w:rPr>
      </w:pPr>
      <w:r>
        <w:rPr>
          <w:rFonts w:ascii="Core Sans D 35 Regular" w:eastAsia="Times New Roman" w:hAnsi="Core Sans D 35 Regular" w:cstheme="minorHAnsi"/>
          <w:color w:val="000000"/>
          <w:sz w:val="22"/>
          <w:szCs w:val="22"/>
        </w:rPr>
        <w:t xml:space="preserve">The entity </w:t>
      </w:r>
      <w:r w:rsidR="003D15A9" w:rsidRPr="008A3A5D">
        <w:rPr>
          <w:rFonts w:ascii="Core Sans D 35 Regular" w:eastAsia="Times New Roman" w:hAnsi="Core Sans D 35 Regular" w:cstheme="minorHAnsi"/>
          <w:color w:val="000000"/>
          <w:sz w:val="22"/>
          <w:szCs w:val="22"/>
        </w:rPr>
        <w:t xml:space="preserve"> </w:t>
      </w:r>
      <w:r>
        <w:rPr>
          <w:rFonts w:ascii="Core Sans D 35 Regular" w:eastAsia="Times New Roman" w:hAnsi="Core Sans D 35 Regular" w:cstheme="minorHAnsi"/>
          <w:color w:val="000000"/>
          <w:sz w:val="22"/>
          <w:szCs w:val="22"/>
        </w:rPr>
        <w:t>k</w:t>
      </w:r>
      <w:r w:rsidR="003D15A9" w:rsidRPr="008A3A5D">
        <w:rPr>
          <w:rFonts w:ascii="Core Sans D 35 Regular" w:eastAsia="Times New Roman" w:hAnsi="Core Sans D 35 Regular" w:cstheme="minorHAnsi"/>
          <w:color w:val="000000"/>
          <w:sz w:val="22"/>
          <w:szCs w:val="22"/>
        </w:rPr>
        <w:t>now</w:t>
      </w:r>
      <w:r>
        <w:rPr>
          <w:rFonts w:ascii="Core Sans D 35 Regular" w:eastAsia="Times New Roman" w:hAnsi="Core Sans D 35 Regular" w:cstheme="minorHAnsi"/>
          <w:color w:val="000000"/>
          <w:sz w:val="22"/>
          <w:szCs w:val="22"/>
        </w:rPr>
        <w:t>s</w:t>
      </w:r>
      <w:r w:rsidR="003D15A9" w:rsidRPr="008A3A5D">
        <w:rPr>
          <w:rFonts w:ascii="Core Sans D 35 Regular" w:eastAsia="Times New Roman" w:hAnsi="Core Sans D 35 Regular" w:cstheme="minorHAnsi"/>
          <w:color w:val="000000"/>
          <w:sz w:val="22"/>
          <w:szCs w:val="22"/>
        </w:rPr>
        <w:t xml:space="preserve"> “The Truth About Your Cyber Resilience” </w:t>
      </w:r>
    </w:p>
    <w:p w14:paraId="3A791B74" w14:textId="29804F9D" w:rsidR="003D15A9" w:rsidRPr="008A3A5D" w:rsidRDefault="003D15A9" w:rsidP="00115820">
      <w:pPr>
        <w:pStyle w:val="ListParagraph"/>
        <w:numPr>
          <w:ilvl w:val="0"/>
          <w:numId w:val="15"/>
        </w:numPr>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Question</w:t>
      </w:r>
      <w:r w:rsidR="0026643B">
        <w:rPr>
          <w:rFonts w:ascii="Core Sans D 35 Regular" w:eastAsia="Times New Roman" w:hAnsi="Core Sans D 35 Regular" w:cstheme="minorHAnsi"/>
          <w:color w:val="000000"/>
          <w:sz w:val="22"/>
          <w:szCs w:val="22"/>
        </w:rPr>
        <w:t>s</w:t>
      </w:r>
      <w:r w:rsidRPr="008A3A5D">
        <w:rPr>
          <w:rFonts w:ascii="Core Sans D 35 Regular" w:eastAsia="Times New Roman" w:hAnsi="Core Sans D 35 Regular" w:cstheme="minorHAnsi"/>
          <w:color w:val="000000"/>
          <w:sz w:val="22"/>
          <w:szCs w:val="22"/>
        </w:rPr>
        <w:t xml:space="preserve"> and test</w:t>
      </w:r>
      <w:r w:rsidR="0026643B">
        <w:rPr>
          <w:rFonts w:ascii="Core Sans D 35 Regular" w:eastAsia="Times New Roman" w:hAnsi="Core Sans D 35 Regular" w:cstheme="minorHAnsi"/>
          <w:color w:val="000000"/>
          <w:sz w:val="22"/>
          <w:szCs w:val="22"/>
        </w:rPr>
        <w:t>s</w:t>
      </w:r>
      <w:r w:rsidRPr="008A3A5D">
        <w:rPr>
          <w:rFonts w:ascii="Core Sans D 35 Regular" w:eastAsia="Times New Roman" w:hAnsi="Core Sans D 35 Regular" w:cstheme="minorHAnsi"/>
          <w:color w:val="000000"/>
          <w:sz w:val="22"/>
          <w:szCs w:val="22"/>
        </w:rPr>
        <w:t xml:space="preserve"> </w:t>
      </w:r>
      <w:r w:rsidR="0026643B">
        <w:rPr>
          <w:rFonts w:ascii="Core Sans D 35 Regular" w:eastAsia="Times New Roman" w:hAnsi="Core Sans D 35 Regular" w:cstheme="minorHAnsi"/>
          <w:color w:val="000000"/>
          <w:sz w:val="22"/>
          <w:szCs w:val="22"/>
        </w:rPr>
        <w:t>the entity's</w:t>
      </w:r>
      <w:r w:rsidRPr="008A3A5D">
        <w:rPr>
          <w:rFonts w:ascii="Core Sans D 35 Regular" w:eastAsia="Times New Roman" w:hAnsi="Core Sans D 35 Regular" w:cstheme="minorHAnsi"/>
          <w:color w:val="000000"/>
          <w:sz w:val="22"/>
          <w:szCs w:val="22"/>
        </w:rPr>
        <w:t xml:space="preserve"> Risk </w:t>
      </w:r>
      <w:r w:rsidR="002D20DE" w:rsidRPr="008A3A5D">
        <w:rPr>
          <w:rFonts w:ascii="Core Sans D 35 Regular" w:eastAsia="Times New Roman" w:hAnsi="Core Sans D 35 Regular" w:cstheme="minorHAnsi"/>
          <w:color w:val="000000"/>
          <w:sz w:val="22"/>
          <w:szCs w:val="22"/>
        </w:rPr>
        <w:t>A</w:t>
      </w:r>
      <w:r w:rsidRPr="008A3A5D">
        <w:rPr>
          <w:rFonts w:ascii="Core Sans D 35 Regular" w:eastAsia="Times New Roman" w:hAnsi="Core Sans D 35 Regular" w:cstheme="minorHAnsi"/>
          <w:color w:val="000000"/>
          <w:sz w:val="22"/>
          <w:szCs w:val="22"/>
        </w:rPr>
        <w:t>ssumptions continuously</w:t>
      </w:r>
    </w:p>
    <w:p w14:paraId="531EFE3E" w14:textId="1D4C9B07" w:rsidR="003D15A9" w:rsidRPr="008A3A5D" w:rsidRDefault="003D15A9" w:rsidP="00115820">
      <w:pPr>
        <w:pStyle w:val="ListParagraph"/>
        <w:numPr>
          <w:ilvl w:val="0"/>
          <w:numId w:val="15"/>
        </w:numPr>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Provide</w:t>
      </w:r>
      <w:r w:rsidR="0026643B">
        <w:rPr>
          <w:rFonts w:ascii="Core Sans D 35 Regular" w:eastAsia="Times New Roman" w:hAnsi="Core Sans D 35 Regular" w:cstheme="minorHAnsi"/>
          <w:color w:val="000000"/>
          <w:sz w:val="22"/>
          <w:szCs w:val="22"/>
        </w:rPr>
        <w:t>s</w:t>
      </w:r>
      <w:r w:rsidRPr="008A3A5D">
        <w:rPr>
          <w:rFonts w:ascii="Core Sans D 35 Regular" w:eastAsia="Times New Roman" w:hAnsi="Core Sans D 35 Regular" w:cstheme="minorHAnsi"/>
          <w:color w:val="000000"/>
          <w:sz w:val="22"/>
          <w:szCs w:val="22"/>
        </w:rPr>
        <w:t xml:space="preserve"> a “High</w:t>
      </w:r>
      <w:r w:rsidR="002D20DE"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End Hacker</w:t>
      </w:r>
      <w:r w:rsidR="002D20DE"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View” across a Department’s infrastructure, operations</w:t>
      </w:r>
      <w:r w:rsidR="0026643B">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 xml:space="preserve"> and mission sets</w:t>
      </w:r>
    </w:p>
    <w:p w14:paraId="3246C5AD" w14:textId="3A7B093C" w:rsidR="00836AC4" w:rsidRPr="008A3A5D" w:rsidRDefault="003D15A9" w:rsidP="00115820">
      <w:pPr>
        <w:pStyle w:val="ListParagraph"/>
        <w:numPr>
          <w:ilvl w:val="0"/>
          <w:numId w:val="15"/>
        </w:numPr>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Implemen</w:t>
      </w:r>
      <w:r w:rsidR="00F52A55">
        <w:rPr>
          <w:rFonts w:ascii="Core Sans D 35 Regular" w:eastAsia="Times New Roman" w:hAnsi="Core Sans D 35 Regular" w:cstheme="minorHAnsi"/>
          <w:color w:val="000000"/>
          <w:sz w:val="22"/>
          <w:szCs w:val="22"/>
        </w:rPr>
        <w:t xml:space="preserve">tation of </w:t>
      </w:r>
      <w:r w:rsidRPr="008A3A5D">
        <w:rPr>
          <w:rFonts w:ascii="Core Sans D 35 Regular" w:eastAsia="Times New Roman" w:hAnsi="Core Sans D 35 Regular" w:cstheme="minorHAnsi"/>
          <w:color w:val="000000"/>
          <w:sz w:val="22"/>
          <w:szCs w:val="22"/>
        </w:rPr>
        <w:t>an independent, expert</w:t>
      </w:r>
      <w:r w:rsidR="0026643B">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 xml:space="preserve"> risk assessment and mitigation strategy from an innovative risk team, using best</w:t>
      </w:r>
      <w:r w:rsidR="002D20DE"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of</w:t>
      </w:r>
      <w:r w:rsidR="002D20DE"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breed technologies and a truth to power approach tailored to the Department</w:t>
      </w:r>
      <w:r w:rsidR="002D20DE" w:rsidRPr="008A3A5D">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s Leadership, Managers</w:t>
      </w:r>
      <w:r w:rsidR="0026643B">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 xml:space="preserve"> and OMB reporting requirements</w:t>
      </w:r>
    </w:p>
    <w:p w14:paraId="067FE7B5" w14:textId="02495BE3" w:rsidR="0026643B" w:rsidRDefault="0026643B" w:rsidP="00143C8D">
      <w:pPr>
        <w:textAlignment w:val="baseline"/>
        <w:rPr>
          <w:rFonts w:ascii="Core Sans D 35 Regular" w:eastAsia="Times New Roman" w:hAnsi="Core Sans D 35 Regular" w:cstheme="minorHAnsi"/>
          <w:color w:val="000000"/>
          <w:sz w:val="22"/>
          <w:szCs w:val="22"/>
        </w:rPr>
      </w:pPr>
    </w:p>
    <w:p w14:paraId="21F7393D" w14:textId="1D1E1C6A" w:rsidR="007A0F7C" w:rsidRPr="008A3A5D" w:rsidRDefault="007A0F7C" w:rsidP="00115820">
      <w:pPr>
        <w:ind w:firstLine="720"/>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DOE should leverage open source and industry</w:t>
      </w:r>
      <w:r w:rsidR="009257DB">
        <w:rPr>
          <w:rFonts w:ascii="Core Sans D 35 Regular" w:eastAsia="Times New Roman" w:hAnsi="Core Sans D 35 Regular" w:cstheme="minorHAnsi"/>
          <w:color w:val="000000"/>
          <w:sz w:val="22"/>
          <w:szCs w:val="22"/>
        </w:rPr>
        <w:t>-</w:t>
      </w:r>
      <w:r w:rsidRPr="008A3A5D">
        <w:rPr>
          <w:rFonts w:ascii="Core Sans D 35 Regular" w:eastAsia="Times New Roman" w:hAnsi="Core Sans D 35 Regular" w:cstheme="minorHAnsi"/>
          <w:color w:val="000000"/>
          <w:sz w:val="22"/>
          <w:szCs w:val="22"/>
        </w:rPr>
        <w:t>specific risk trends and threat data to conduct f</w:t>
      </w:r>
      <w:r w:rsidR="004F1EBA" w:rsidRPr="008A3A5D">
        <w:rPr>
          <w:rFonts w:ascii="Core Sans D 35 Regular" w:eastAsia="Times New Roman" w:hAnsi="Core Sans D 35 Regular" w:cstheme="minorHAnsi"/>
          <w:color w:val="000000"/>
          <w:sz w:val="22"/>
          <w:szCs w:val="22"/>
        </w:rPr>
        <w:t xml:space="preserve">ocused </w:t>
      </w:r>
      <w:r w:rsidRPr="008A3A5D">
        <w:rPr>
          <w:rFonts w:ascii="Core Sans D 35 Regular" w:eastAsia="Times New Roman" w:hAnsi="Core Sans D 35 Regular" w:cstheme="minorHAnsi"/>
          <w:color w:val="000000"/>
          <w:sz w:val="22"/>
          <w:szCs w:val="22"/>
        </w:rPr>
        <w:t>a</w:t>
      </w:r>
      <w:r w:rsidR="004F1EBA" w:rsidRPr="008A3A5D">
        <w:rPr>
          <w:rFonts w:ascii="Core Sans D 35 Regular" w:eastAsia="Times New Roman" w:hAnsi="Core Sans D 35 Regular" w:cstheme="minorHAnsi"/>
          <w:color w:val="000000"/>
          <w:sz w:val="22"/>
          <w:szCs w:val="22"/>
        </w:rPr>
        <w:t>nalytics</w:t>
      </w:r>
      <w:r w:rsidRPr="008A3A5D">
        <w:rPr>
          <w:rFonts w:ascii="Core Sans D 35 Regular" w:eastAsia="Times New Roman" w:hAnsi="Core Sans D 35 Regular" w:cstheme="minorHAnsi"/>
          <w:color w:val="000000"/>
          <w:sz w:val="22"/>
          <w:szCs w:val="22"/>
        </w:rPr>
        <w:t xml:space="preserve"> into critical grid equipment. This specific level of focus will allow </w:t>
      </w:r>
      <w:r w:rsidRPr="008A3A5D">
        <w:rPr>
          <w:rFonts w:ascii="Core Sans D 35 Regular" w:eastAsia="Times New Roman" w:hAnsi="Core Sans D 35 Regular" w:cstheme="minorHAnsi"/>
          <w:color w:val="000000"/>
          <w:sz w:val="22"/>
          <w:szCs w:val="22"/>
        </w:rPr>
        <w:lastRenderedPageBreak/>
        <w:t>industry to cost effectively test and secure these risk areas without having to test and secure the entire infrastructure</w:t>
      </w:r>
      <w:r w:rsidR="003D3C2D" w:rsidRPr="008A3A5D">
        <w:rPr>
          <w:rFonts w:ascii="Core Sans D 35 Regular" w:eastAsia="Times New Roman" w:hAnsi="Core Sans D 35 Regular" w:cstheme="minorHAnsi"/>
          <w:color w:val="000000"/>
          <w:sz w:val="22"/>
          <w:szCs w:val="22"/>
        </w:rPr>
        <w:t>. Industry can then p</w:t>
      </w:r>
      <w:r w:rsidR="004F1EBA" w:rsidRPr="008A3A5D">
        <w:rPr>
          <w:rFonts w:ascii="Core Sans D 35 Regular" w:eastAsia="Times New Roman" w:hAnsi="Core Sans D 35 Regular" w:cstheme="minorHAnsi"/>
          <w:color w:val="000000"/>
          <w:sz w:val="22"/>
          <w:szCs w:val="22"/>
        </w:rPr>
        <w:t>erform deep dives in the areas that need focus rather than into the entire dataset.</w:t>
      </w:r>
      <w:r w:rsidR="003D3C2D" w:rsidRPr="008A3A5D">
        <w:rPr>
          <w:rFonts w:ascii="Core Sans D 35 Regular" w:eastAsia="Times New Roman" w:hAnsi="Core Sans D 35 Regular" w:cstheme="minorHAnsi"/>
          <w:color w:val="000000"/>
          <w:sz w:val="22"/>
          <w:szCs w:val="22"/>
        </w:rPr>
        <w:t xml:space="preserve"> </w:t>
      </w:r>
    </w:p>
    <w:p w14:paraId="565A553C" w14:textId="77777777" w:rsidR="00F61455" w:rsidRPr="008A3A5D" w:rsidRDefault="00F61455" w:rsidP="00115820">
      <w:pPr>
        <w:rPr>
          <w:rFonts w:ascii="Core Sans D 35 Regular" w:hAnsi="Core Sans D 35 Regular" w:cstheme="minorHAnsi"/>
          <w:sz w:val="22"/>
          <w:szCs w:val="22"/>
        </w:rPr>
      </w:pPr>
    </w:p>
    <w:p w14:paraId="629E5DB0" w14:textId="0CC756D1" w:rsidR="007A0F7C" w:rsidRPr="008A3A5D" w:rsidRDefault="00BC410E" w:rsidP="00115820">
      <w:pPr>
        <w:rPr>
          <w:rFonts w:ascii="Core Sans D 35 Regular" w:hAnsi="Core Sans D 35 Regular" w:cstheme="minorHAnsi"/>
          <w:sz w:val="22"/>
          <w:szCs w:val="22"/>
        </w:rPr>
      </w:pPr>
      <w:r w:rsidRPr="008A3A5D">
        <w:rPr>
          <w:rFonts w:ascii="Core Sans D 35 Regular" w:eastAsia="Times New Roman" w:hAnsi="Core Sans D 35 Regular" w:cstheme="minorHAnsi"/>
          <w:bCs/>
          <w:iCs/>
          <w:noProof/>
          <w:color w:val="000000"/>
          <w:sz w:val="22"/>
          <w:szCs w:val="22"/>
        </w:rPr>
        <w:drawing>
          <wp:inline distT="0" distB="0" distL="0" distR="0" wp14:anchorId="70C57D94" wp14:editId="636F9D56">
            <wp:extent cx="5146737" cy="199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54333" cy="1996843"/>
                    </a:xfrm>
                    <a:prstGeom prst="rect">
                      <a:avLst/>
                    </a:prstGeom>
                  </pic:spPr>
                </pic:pic>
              </a:graphicData>
            </a:graphic>
          </wp:inline>
        </w:drawing>
      </w:r>
    </w:p>
    <w:p w14:paraId="6350564C" w14:textId="77777777" w:rsidR="00BC410E" w:rsidRPr="008A3A5D" w:rsidRDefault="00BC410E" w:rsidP="00115820">
      <w:pPr>
        <w:rPr>
          <w:rFonts w:ascii="Core Sans D 35 Regular" w:hAnsi="Core Sans D 35 Regular" w:cstheme="minorHAnsi"/>
          <w:b/>
          <w:bCs/>
          <w:sz w:val="22"/>
          <w:szCs w:val="22"/>
        </w:rPr>
      </w:pPr>
    </w:p>
    <w:p w14:paraId="20A819FB" w14:textId="371D9704" w:rsidR="009D29D6" w:rsidRPr="008A3A5D" w:rsidRDefault="0046324A" w:rsidP="00115820">
      <w:pPr>
        <w:rPr>
          <w:rFonts w:ascii="Core Sans D 35 Regular" w:hAnsi="Core Sans D 35 Regular" w:cstheme="minorHAnsi"/>
          <w:b/>
          <w:bCs/>
          <w:sz w:val="22"/>
          <w:szCs w:val="22"/>
        </w:rPr>
      </w:pPr>
      <w:r w:rsidRPr="008A3A5D">
        <w:rPr>
          <w:rFonts w:ascii="Core Sans D 35 Regular" w:hAnsi="Core Sans D 35 Regular" w:cstheme="minorHAnsi"/>
          <w:b/>
          <w:bCs/>
          <w:sz w:val="22"/>
          <w:szCs w:val="22"/>
        </w:rPr>
        <w:t xml:space="preserve">Encouraging </w:t>
      </w:r>
      <w:r w:rsidR="00143C8D">
        <w:rPr>
          <w:rFonts w:ascii="Core Sans D 35 Regular" w:hAnsi="Core Sans D 35 Regular" w:cstheme="minorHAnsi"/>
          <w:b/>
          <w:bCs/>
          <w:sz w:val="22"/>
          <w:szCs w:val="22"/>
        </w:rPr>
        <w:t>Advanced</w:t>
      </w:r>
      <w:r w:rsidRPr="008A3A5D">
        <w:rPr>
          <w:rFonts w:ascii="Core Sans D 35 Regular" w:hAnsi="Core Sans D 35 Regular" w:cstheme="minorHAnsi"/>
          <w:b/>
          <w:bCs/>
          <w:sz w:val="22"/>
          <w:szCs w:val="22"/>
        </w:rPr>
        <w:t xml:space="preserve"> </w:t>
      </w:r>
      <w:r w:rsidR="009D29D6" w:rsidRPr="008A3A5D">
        <w:rPr>
          <w:rFonts w:ascii="Core Sans D 35 Regular" w:hAnsi="Core Sans D 35 Regular" w:cstheme="minorHAnsi"/>
          <w:b/>
          <w:bCs/>
          <w:sz w:val="22"/>
          <w:szCs w:val="22"/>
        </w:rPr>
        <w:t>P</w:t>
      </w:r>
      <w:r w:rsidRPr="008A3A5D">
        <w:rPr>
          <w:rFonts w:ascii="Core Sans D 35 Regular" w:hAnsi="Core Sans D 35 Regular" w:cstheme="minorHAnsi"/>
          <w:b/>
          <w:bCs/>
          <w:sz w:val="22"/>
          <w:szCs w:val="22"/>
        </w:rPr>
        <w:t xml:space="preserve">rocurement and Risk Management </w:t>
      </w:r>
      <w:r w:rsidR="009D29D6" w:rsidRPr="008A3A5D">
        <w:rPr>
          <w:rFonts w:ascii="Core Sans D 35 Regular" w:hAnsi="Core Sans D 35 Regular" w:cstheme="minorHAnsi"/>
          <w:b/>
          <w:bCs/>
          <w:sz w:val="22"/>
          <w:szCs w:val="22"/>
        </w:rPr>
        <w:t>P</w:t>
      </w:r>
      <w:r w:rsidRPr="008A3A5D">
        <w:rPr>
          <w:rFonts w:ascii="Core Sans D 35 Regular" w:hAnsi="Core Sans D 35 Regular" w:cstheme="minorHAnsi"/>
          <w:b/>
          <w:bCs/>
          <w:sz w:val="22"/>
          <w:szCs w:val="22"/>
        </w:rPr>
        <w:t>ractices</w:t>
      </w:r>
      <w:r w:rsidR="009D29D6" w:rsidRPr="008A3A5D">
        <w:rPr>
          <w:rFonts w:ascii="Core Sans D 35 Regular" w:hAnsi="Core Sans D 35 Regular" w:cstheme="minorHAnsi"/>
          <w:b/>
          <w:bCs/>
          <w:sz w:val="22"/>
          <w:szCs w:val="22"/>
        </w:rPr>
        <w:t>:</w:t>
      </w:r>
    </w:p>
    <w:p w14:paraId="5D38EDF9" w14:textId="77777777" w:rsidR="009D29D6" w:rsidRPr="008A3A5D" w:rsidRDefault="009D29D6" w:rsidP="00115820">
      <w:pPr>
        <w:rPr>
          <w:rFonts w:ascii="Core Sans D 35 Regular" w:hAnsi="Core Sans D 35 Regular" w:cstheme="minorHAnsi"/>
          <w:sz w:val="22"/>
          <w:szCs w:val="22"/>
        </w:rPr>
      </w:pPr>
    </w:p>
    <w:p w14:paraId="4114C5B7" w14:textId="71E77376" w:rsidR="00EF461F" w:rsidRDefault="00466033" w:rsidP="00115820">
      <w:pPr>
        <w:ind w:left="270" w:firstLine="450"/>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DOE should enable resilience by encouraging improved procurement practices, informed by risk management practices. </w:t>
      </w:r>
      <w:r w:rsidR="00845576" w:rsidRPr="008A3A5D">
        <w:rPr>
          <w:rFonts w:ascii="Core Sans D 35 Regular" w:hAnsi="Core Sans D 35 Regular" w:cstheme="minorHAnsi"/>
          <w:sz w:val="22"/>
          <w:szCs w:val="22"/>
        </w:rPr>
        <w:t>Through contracting and purchasing agreements</w:t>
      </w:r>
      <w:r w:rsidRPr="008A3A5D">
        <w:rPr>
          <w:rFonts w:ascii="Core Sans D 35 Regular" w:hAnsi="Core Sans D 35 Regular" w:cstheme="minorHAnsi"/>
          <w:sz w:val="22"/>
          <w:szCs w:val="22"/>
        </w:rPr>
        <w:t>,</w:t>
      </w:r>
      <w:r w:rsidR="00845576" w:rsidRPr="008A3A5D">
        <w:rPr>
          <w:rFonts w:ascii="Core Sans D 35 Regular" w:hAnsi="Core Sans D 35 Regular" w:cstheme="minorHAnsi"/>
          <w:sz w:val="22"/>
          <w:szCs w:val="22"/>
        </w:rPr>
        <w:t xml:space="preserve"> </w:t>
      </w:r>
      <w:r w:rsidR="00CA53EA" w:rsidRPr="008A3A5D">
        <w:rPr>
          <w:rFonts w:ascii="Core Sans D 35 Regular" w:hAnsi="Core Sans D 35 Regular" w:cstheme="minorHAnsi"/>
          <w:sz w:val="22"/>
          <w:szCs w:val="22"/>
        </w:rPr>
        <w:t xml:space="preserve">DOE should </w:t>
      </w:r>
      <w:r w:rsidR="00845576" w:rsidRPr="008A3A5D">
        <w:rPr>
          <w:rFonts w:ascii="Core Sans D 35 Regular" w:hAnsi="Core Sans D 35 Regular" w:cstheme="minorHAnsi"/>
          <w:sz w:val="22"/>
          <w:szCs w:val="22"/>
        </w:rPr>
        <w:t>weigh vendor selection criteria related to meeting cyber risk trends and reporting requirements. These requirements sh</w:t>
      </w:r>
      <w:r w:rsidR="00CE1ECF" w:rsidRPr="008A3A5D">
        <w:rPr>
          <w:rFonts w:ascii="Core Sans D 35 Regular" w:hAnsi="Core Sans D 35 Regular" w:cstheme="minorHAnsi"/>
          <w:sz w:val="22"/>
          <w:szCs w:val="22"/>
        </w:rPr>
        <w:t>ould be based on the detailed analysis and reporting of cyber risk trends and evaluat</w:t>
      </w:r>
      <w:r w:rsidRPr="008A3A5D">
        <w:rPr>
          <w:rFonts w:ascii="Core Sans D 35 Regular" w:hAnsi="Core Sans D 35 Regular" w:cstheme="minorHAnsi"/>
          <w:sz w:val="22"/>
          <w:szCs w:val="22"/>
        </w:rPr>
        <w:t xml:space="preserve">ion of </w:t>
      </w:r>
      <w:r w:rsidR="00CE1ECF" w:rsidRPr="008A3A5D">
        <w:rPr>
          <w:rFonts w:ascii="Core Sans D 35 Regular" w:hAnsi="Core Sans D 35 Regular" w:cstheme="minorHAnsi"/>
          <w:sz w:val="22"/>
          <w:szCs w:val="22"/>
        </w:rPr>
        <w:t>the vendor’s ability to develop consistent measures and metrics</w:t>
      </w:r>
      <w:r w:rsidR="00CE1ECF" w:rsidRPr="008A3A5D">
        <w:rPr>
          <w:rFonts w:ascii="Core Sans D 35 Regular" w:hAnsi="Core Sans D 35 Regular" w:cstheme="minorHAnsi"/>
          <w:b/>
          <w:bCs/>
          <w:sz w:val="22"/>
          <w:szCs w:val="22"/>
        </w:rPr>
        <w:t xml:space="preserve"> </w:t>
      </w:r>
      <w:r w:rsidR="00CE1ECF" w:rsidRPr="008A3A5D">
        <w:rPr>
          <w:rFonts w:ascii="Core Sans D 35 Regular" w:hAnsi="Core Sans D 35 Regular" w:cstheme="minorHAnsi"/>
          <w:sz w:val="22"/>
          <w:szCs w:val="22"/>
        </w:rPr>
        <w:t>of cyber risk mitigation, maturity levels, and continuous improvement.</w:t>
      </w:r>
      <w:r w:rsidR="00CA38BE" w:rsidRPr="008A3A5D">
        <w:rPr>
          <w:rFonts w:ascii="Core Sans D 35 Regular" w:hAnsi="Core Sans D 35 Regular" w:cstheme="minorHAnsi"/>
          <w:sz w:val="22"/>
          <w:szCs w:val="22"/>
        </w:rPr>
        <w:t xml:space="preserve"> </w:t>
      </w:r>
    </w:p>
    <w:p w14:paraId="57455FE4" w14:textId="77777777" w:rsidR="001550FE" w:rsidRPr="008A3A5D" w:rsidRDefault="001550FE" w:rsidP="00115820">
      <w:pPr>
        <w:ind w:left="270" w:firstLine="450"/>
        <w:rPr>
          <w:rFonts w:ascii="Core Sans D 35 Regular" w:hAnsi="Core Sans D 35 Regular" w:cstheme="minorHAnsi"/>
          <w:sz w:val="22"/>
          <w:szCs w:val="22"/>
        </w:rPr>
      </w:pPr>
    </w:p>
    <w:p w14:paraId="0ACEBD0C" w14:textId="2F67222F" w:rsidR="00882BBE" w:rsidRPr="008A3A5D" w:rsidRDefault="00CA53EA" w:rsidP="00115820">
      <w:pPr>
        <w:ind w:left="270" w:firstLine="450"/>
        <w:rPr>
          <w:rFonts w:ascii="Core Sans D 35 Regular" w:eastAsia="Times New Roman" w:hAnsi="Core Sans D 35 Regular" w:cstheme="minorHAnsi"/>
          <w:color w:val="000000"/>
          <w:sz w:val="22"/>
          <w:szCs w:val="22"/>
        </w:rPr>
      </w:pPr>
      <w:r w:rsidRPr="008A3A5D">
        <w:rPr>
          <w:rFonts w:ascii="Core Sans D 35 Regular" w:hAnsi="Core Sans D 35 Regular" w:cstheme="minorHAnsi"/>
          <w:sz w:val="22"/>
          <w:szCs w:val="22"/>
        </w:rPr>
        <w:t>Compliance should be mapped to solutions to help close vulnerability gaps, validate current posture and document how vendors are meeting controls or achieving compliance. Implementing this process</w:t>
      </w:r>
      <w:r w:rsidR="00CA38BE" w:rsidRPr="008A3A5D">
        <w:rPr>
          <w:rFonts w:ascii="Core Sans D 35 Regular" w:hAnsi="Core Sans D 35 Regular" w:cstheme="minorHAnsi"/>
          <w:sz w:val="22"/>
          <w:szCs w:val="22"/>
        </w:rPr>
        <w:t xml:space="preserve"> should include the creation and tailoring of </w:t>
      </w:r>
      <w:r w:rsidR="00F61455" w:rsidRPr="008A3A5D">
        <w:rPr>
          <w:rFonts w:ascii="Core Sans D 35 Regular" w:hAnsi="Core Sans D 35 Regular" w:cstheme="minorHAnsi"/>
          <w:sz w:val="22"/>
          <w:szCs w:val="22"/>
        </w:rPr>
        <w:t>Leadership</w:t>
      </w:r>
      <w:r w:rsidR="00CA38BE" w:rsidRPr="008A3A5D">
        <w:rPr>
          <w:rFonts w:ascii="Core Sans D 35 Regular" w:hAnsi="Core Sans D 35 Regular" w:cstheme="minorHAnsi"/>
          <w:sz w:val="22"/>
          <w:szCs w:val="22"/>
        </w:rPr>
        <w:t xml:space="preserve"> </w:t>
      </w:r>
      <w:r w:rsidR="00466033" w:rsidRPr="008A3A5D">
        <w:rPr>
          <w:rFonts w:ascii="Core Sans D 35 Regular" w:hAnsi="Core Sans D 35 Regular" w:cstheme="minorHAnsi"/>
          <w:sz w:val="22"/>
          <w:szCs w:val="22"/>
        </w:rPr>
        <w:t>L</w:t>
      </w:r>
      <w:r w:rsidR="00CA38BE" w:rsidRPr="008A3A5D">
        <w:rPr>
          <w:rFonts w:ascii="Core Sans D 35 Regular" w:hAnsi="Core Sans D 35 Regular" w:cstheme="minorHAnsi"/>
          <w:sz w:val="22"/>
          <w:szCs w:val="22"/>
        </w:rPr>
        <w:t xml:space="preserve">evel </w:t>
      </w:r>
      <w:r w:rsidR="00466033" w:rsidRPr="008A3A5D">
        <w:rPr>
          <w:rFonts w:ascii="Core Sans D 35 Regular" w:hAnsi="Core Sans D 35 Regular" w:cstheme="minorHAnsi"/>
          <w:sz w:val="22"/>
          <w:szCs w:val="22"/>
        </w:rPr>
        <w:t>Trend R</w:t>
      </w:r>
      <w:r w:rsidR="00CA38BE" w:rsidRPr="008A3A5D">
        <w:rPr>
          <w:rFonts w:ascii="Core Sans D 35 Regular" w:hAnsi="Core Sans D 35 Regular" w:cstheme="minorHAnsi"/>
          <w:sz w:val="22"/>
          <w:szCs w:val="22"/>
        </w:rPr>
        <w:t>eporting</w:t>
      </w:r>
      <w:r w:rsidR="00466033" w:rsidRPr="008A3A5D">
        <w:rPr>
          <w:rFonts w:ascii="Core Sans D 35 Regular" w:hAnsi="Core Sans D 35 Regular" w:cstheme="minorHAnsi"/>
          <w:sz w:val="22"/>
          <w:szCs w:val="22"/>
        </w:rPr>
        <w:t>, including measures and metrics,</w:t>
      </w:r>
      <w:r w:rsidR="00CA38BE" w:rsidRPr="008A3A5D">
        <w:rPr>
          <w:rFonts w:ascii="Core Sans D 35 Regular" w:hAnsi="Core Sans D 35 Regular" w:cstheme="minorHAnsi"/>
          <w:sz w:val="22"/>
          <w:szCs w:val="22"/>
        </w:rPr>
        <w:t xml:space="preserve"> to DOE</w:t>
      </w:r>
      <w:r w:rsidR="001550FE">
        <w:rPr>
          <w:rFonts w:ascii="Core Sans D 35 Regular" w:hAnsi="Core Sans D 35 Regular" w:cstheme="minorHAnsi"/>
          <w:sz w:val="22"/>
          <w:szCs w:val="22"/>
        </w:rPr>
        <w:t>,</w:t>
      </w:r>
      <w:r w:rsidR="00CA38BE" w:rsidRPr="008A3A5D">
        <w:rPr>
          <w:rFonts w:ascii="Core Sans D 35 Regular" w:hAnsi="Core Sans D 35 Regular" w:cstheme="minorHAnsi"/>
          <w:sz w:val="22"/>
          <w:szCs w:val="22"/>
        </w:rPr>
        <w:t xml:space="preserve"> and an integrated SaaS Dashboard</w:t>
      </w:r>
      <w:r w:rsidR="00EF461F" w:rsidRPr="008A3A5D">
        <w:rPr>
          <w:rFonts w:ascii="Core Sans D 35 Regular" w:hAnsi="Core Sans D 35 Regular" w:cstheme="minorHAnsi"/>
          <w:sz w:val="22"/>
          <w:szCs w:val="22"/>
        </w:rPr>
        <w:t xml:space="preserve">. </w:t>
      </w:r>
      <w:r w:rsidR="00F61455" w:rsidRPr="008A3A5D">
        <w:rPr>
          <w:rFonts w:ascii="Core Sans D 35 Regular" w:hAnsi="Core Sans D 35 Regular" w:cstheme="minorHAnsi"/>
          <w:sz w:val="22"/>
          <w:szCs w:val="22"/>
        </w:rPr>
        <w:t>Leadership</w:t>
      </w:r>
      <w:r w:rsidR="00EF461F" w:rsidRPr="008A3A5D">
        <w:rPr>
          <w:rFonts w:ascii="Core Sans D 35 Regular" w:eastAsia="Times New Roman" w:hAnsi="Core Sans D 35 Regular" w:cstheme="minorHAnsi"/>
          <w:color w:val="000000"/>
          <w:sz w:val="22"/>
          <w:szCs w:val="22"/>
        </w:rPr>
        <w:t xml:space="preserve"> Level Trend Reporting should gather and analyze cyber risk data and analytic outputs for each ‘supplier/vendor’ in the company’s portfolio. </w:t>
      </w:r>
      <w:r w:rsidR="00466033" w:rsidRPr="008A3A5D">
        <w:rPr>
          <w:rFonts w:ascii="Core Sans D 35 Regular" w:eastAsia="Times New Roman" w:hAnsi="Core Sans D 35 Regular" w:cstheme="minorHAnsi"/>
          <w:color w:val="000000"/>
          <w:sz w:val="22"/>
          <w:szCs w:val="22"/>
        </w:rPr>
        <w:t>D</w:t>
      </w:r>
      <w:r w:rsidR="00EF461F" w:rsidRPr="008A3A5D">
        <w:rPr>
          <w:rFonts w:ascii="Core Sans D 35 Regular" w:eastAsia="Times New Roman" w:hAnsi="Core Sans D 35 Regular" w:cstheme="minorHAnsi"/>
          <w:color w:val="000000"/>
          <w:sz w:val="22"/>
          <w:szCs w:val="22"/>
        </w:rPr>
        <w:t>ata collection, assessment, and analytics</w:t>
      </w:r>
      <w:r w:rsidR="00466033" w:rsidRPr="008A3A5D">
        <w:rPr>
          <w:rFonts w:ascii="Core Sans D 35 Regular" w:eastAsia="Times New Roman" w:hAnsi="Core Sans D 35 Regular" w:cstheme="minorHAnsi"/>
          <w:color w:val="000000"/>
          <w:sz w:val="22"/>
          <w:szCs w:val="22"/>
        </w:rPr>
        <w:t xml:space="preserve"> is performed</w:t>
      </w:r>
      <w:r w:rsidR="00EF461F" w:rsidRPr="008A3A5D">
        <w:rPr>
          <w:rFonts w:ascii="Core Sans D 35 Regular" w:eastAsia="Times New Roman" w:hAnsi="Core Sans D 35 Regular" w:cstheme="minorHAnsi"/>
          <w:color w:val="000000"/>
          <w:sz w:val="22"/>
          <w:szCs w:val="22"/>
        </w:rPr>
        <w:t xml:space="preserve"> using externally available open data. </w:t>
      </w:r>
      <w:r w:rsidR="00E21E8E" w:rsidRPr="008A3A5D">
        <w:rPr>
          <w:rFonts w:ascii="Core Sans D 35 Regular" w:eastAsia="Times New Roman" w:hAnsi="Core Sans D 35 Regular" w:cstheme="minorHAnsi"/>
          <w:color w:val="000000"/>
          <w:sz w:val="22"/>
          <w:szCs w:val="22"/>
        </w:rPr>
        <w:t>Ecosystem Maps allow industry to visualize the enterprise by understanding supplier and vendor interconnections and provide industry</w:t>
      </w:r>
      <w:r w:rsidR="001550FE">
        <w:rPr>
          <w:rFonts w:ascii="Core Sans D 35 Regular" w:eastAsia="Times New Roman" w:hAnsi="Core Sans D 35 Regular" w:cstheme="minorHAnsi"/>
          <w:color w:val="000000"/>
          <w:sz w:val="22"/>
          <w:szCs w:val="22"/>
        </w:rPr>
        <w:t>-</w:t>
      </w:r>
      <w:r w:rsidR="00E21E8E" w:rsidRPr="008A3A5D">
        <w:rPr>
          <w:rFonts w:ascii="Core Sans D 35 Regular" w:eastAsia="Times New Roman" w:hAnsi="Core Sans D 35 Regular" w:cstheme="minorHAnsi"/>
          <w:color w:val="000000"/>
          <w:sz w:val="22"/>
          <w:szCs w:val="22"/>
        </w:rPr>
        <w:t>wide visibility into threats and mitigation strategies that enable development of cost-effective solutions that can be implemented across the sector.</w:t>
      </w:r>
    </w:p>
    <w:p w14:paraId="6B1F1BBA" w14:textId="23778FFB" w:rsidR="009D29D6" w:rsidRPr="008A3A5D" w:rsidRDefault="009D29D6" w:rsidP="00115820">
      <w:pPr>
        <w:rPr>
          <w:rFonts w:ascii="Core Sans D 35 Regular" w:eastAsia="Times New Roman" w:hAnsi="Core Sans D 35 Regular" w:cstheme="minorHAnsi"/>
          <w:color w:val="000000"/>
          <w:sz w:val="22"/>
          <w:szCs w:val="22"/>
        </w:rPr>
      </w:pPr>
    </w:p>
    <w:p w14:paraId="3CDB48C1" w14:textId="06E2E628" w:rsidR="009D29D6" w:rsidRPr="00143C8D" w:rsidRDefault="009D29D6" w:rsidP="00115820">
      <w:pPr>
        <w:rPr>
          <w:rFonts w:ascii="Core Sans D 35 Regular" w:eastAsia="Times New Roman" w:hAnsi="Core Sans D 35 Regular" w:cstheme="minorHAnsi"/>
          <w:b/>
          <w:bCs/>
          <w:color w:val="000000"/>
          <w:sz w:val="22"/>
          <w:szCs w:val="22"/>
        </w:rPr>
      </w:pPr>
      <w:r w:rsidRPr="00143C8D">
        <w:rPr>
          <w:rFonts w:ascii="Core Sans D 35 Regular" w:eastAsia="Times New Roman" w:hAnsi="Core Sans D 35 Regular" w:cstheme="minorHAnsi"/>
          <w:b/>
          <w:bCs/>
          <w:color w:val="000000"/>
          <w:sz w:val="22"/>
          <w:szCs w:val="22"/>
        </w:rPr>
        <w:t>Objectives:</w:t>
      </w:r>
    </w:p>
    <w:p w14:paraId="6EA45814" w14:textId="6373ED25" w:rsidR="00466033" w:rsidRPr="008A3A5D" w:rsidRDefault="00BC2AAC" w:rsidP="00115820">
      <w:pPr>
        <w:pStyle w:val="ListParagraph"/>
        <w:numPr>
          <w:ilvl w:val="0"/>
          <w:numId w:val="16"/>
        </w:numPr>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 xml:space="preserve">Gather and analyze cyber risk data </w:t>
      </w:r>
      <w:r w:rsidR="000C04C4" w:rsidRPr="008A3A5D">
        <w:rPr>
          <w:rFonts w:ascii="Core Sans D 35 Regular" w:eastAsia="Times New Roman" w:hAnsi="Core Sans D 35 Regular" w:cstheme="minorHAnsi"/>
          <w:color w:val="000000"/>
          <w:sz w:val="22"/>
          <w:szCs w:val="22"/>
        </w:rPr>
        <w:t>&amp;</w:t>
      </w:r>
      <w:r w:rsidRPr="008A3A5D">
        <w:rPr>
          <w:rFonts w:ascii="Core Sans D 35 Regular" w:eastAsia="Times New Roman" w:hAnsi="Core Sans D 35 Regular" w:cstheme="minorHAnsi"/>
          <w:color w:val="000000"/>
          <w:sz w:val="22"/>
          <w:szCs w:val="22"/>
        </w:rPr>
        <w:t xml:space="preserve"> analytic outputs for each ‘supplier/vendor’ in the company’s portfolio</w:t>
      </w:r>
    </w:p>
    <w:p w14:paraId="446F8CEF" w14:textId="7EDD1987" w:rsidR="00BC2AAC" w:rsidRPr="008A3A5D" w:rsidRDefault="00BC2AAC" w:rsidP="00115820">
      <w:pPr>
        <w:pStyle w:val="ListParagraph"/>
        <w:numPr>
          <w:ilvl w:val="0"/>
          <w:numId w:val="16"/>
        </w:numPr>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 xml:space="preserve">Perform data collection, assessment, </w:t>
      </w:r>
      <w:r w:rsidR="000C04C4" w:rsidRPr="008A3A5D">
        <w:rPr>
          <w:rFonts w:ascii="Core Sans D 35 Regular" w:eastAsia="Times New Roman" w:hAnsi="Core Sans D 35 Regular" w:cstheme="minorHAnsi"/>
          <w:color w:val="000000"/>
          <w:sz w:val="22"/>
          <w:szCs w:val="22"/>
        </w:rPr>
        <w:t>&amp;</w:t>
      </w:r>
      <w:r w:rsidRPr="008A3A5D">
        <w:rPr>
          <w:rFonts w:ascii="Core Sans D 35 Regular" w:eastAsia="Times New Roman" w:hAnsi="Core Sans D 35 Regular" w:cstheme="minorHAnsi"/>
          <w:color w:val="000000"/>
          <w:sz w:val="22"/>
          <w:szCs w:val="22"/>
        </w:rPr>
        <w:t xml:space="preserve"> analytics using externally available open data</w:t>
      </w:r>
    </w:p>
    <w:p w14:paraId="28C3B824" w14:textId="77777777" w:rsidR="00BC2AAC" w:rsidRPr="008A3A5D" w:rsidRDefault="00BC2AAC" w:rsidP="00115820">
      <w:pPr>
        <w:pStyle w:val="ListParagraph"/>
        <w:numPr>
          <w:ilvl w:val="0"/>
          <w:numId w:val="16"/>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Summary of top findings for prioritization &amp; action</w:t>
      </w:r>
    </w:p>
    <w:p w14:paraId="777C059B" w14:textId="1C8331AD" w:rsidR="00BC2AAC" w:rsidRPr="008A3A5D" w:rsidRDefault="00BC2AAC" w:rsidP="00115820">
      <w:pPr>
        <w:pStyle w:val="ListParagraph"/>
        <w:numPr>
          <w:ilvl w:val="0"/>
          <w:numId w:val="16"/>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Report of top risk vectors mapped to best practices &amp; solution options</w:t>
      </w:r>
    </w:p>
    <w:p w14:paraId="6BF004EA" w14:textId="701577BC" w:rsidR="00BC2AAC" w:rsidRPr="008A3A5D" w:rsidRDefault="00BC2AAC" w:rsidP="00115820">
      <w:pPr>
        <w:pStyle w:val="ListParagraph"/>
        <w:numPr>
          <w:ilvl w:val="0"/>
          <w:numId w:val="17"/>
        </w:numPr>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Prioritized risk mitigation resourcing strategies</w:t>
      </w:r>
    </w:p>
    <w:p w14:paraId="49A43F68" w14:textId="067E74C2" w:rsidR="009D29D6" w:rsidRPr="008A3A5D" w:rsidRDefault="009D29D6" w:rsidP="00115820">
      <w:pPr>
        <w:rPr>
          <w:rFonts w:ascii="Core Sans D 35 Regular" w:eastAsia="Times New Roman" w:hAnsi="Core Sans D 35 Regular" w:cstheme="minorHAnsi"/>
          <w:color w:val="000000"/>
          <w:sz w:val="22"/>
          <w:szCs w:val="22"/>
        </w:rPr>
      </w:pPr>
    </w:p>
    <w:p w14:paraId="4456F952" w14:textId="2F58A99C" w:rsidR="009D29D6" w:rsidRPr="00143C8D" w:rsidRDefault="009D29D6" w:rsidP="00115820">
      <w:pPr>
        <w:rPr>
          <w:rFonts w:ascii="Core Sans D 35 Regular" w:eastAsia="Times New Roman" w:hAnsi="Core Sans D 35 Regular" w:cstheme="minorHAnsi"/>
          <w:b/>
          <w:bCs/>
          <w:color w:val="000000"/>
          <w:sz w:val="22"/>
          <w:szCs w:val="22"/>
        </w:rPr>
      </w:pPr>
      <w:r w:rsidRPr="00143C8D">
        <w:rPr>
          <w:rFonts w:ascii="Core Sans D 35 Regular" w:eastAsia="Times New Roman" w:hAnsi="Core Sans D 35 Regular" w:cstheme="minorHAnsi"/>
          <w:b/>
          <w:bCs/>
          <w:color w:val="000000"/>
          <w:sz w:val="22"/>
          <w:szCs w:val="22"/>
        </w:rPr>
        <w:t>Methods:</w:t>
      </w:r>
    </w:p>
    <w:p w14:paraId="0CAE4FC5" w14:textId="2297322D" w:rsidR="003D15A9" w:rsidRPr="008A3A5D" w:rsidRDefault="003D15A9" w:rsidP="00115820">
      <w:pPr>
        <w:rPr>
          <w:rFonts w:ascii="Core Sans D 35 Regular" w:eastAsia="Times New Roman" w:hAnsi="Core Sans D 35 Regular" w:cstheme="minorHAnsi"/>
          <w:bCs/>
          <w:iCs/>
          <w:color w:val="000000"/>
          <w:sz w:val="22"/>
          <w:szCs w:val="22"/>
        </w:rPr>
      </w:pPr>
      <w:r w:rsidRPr="008A3A5D">
        <w:rPr>
          <w:rFonts w:ascii="Core Sans D 35 Regular" w:eastAsia="Times New Roman" w:hAnsi="Core Sans D 35 Regular" w:cstheme="minorHAnsi"/>
          <w:bCs/>
          <w:iCs/>
          <w:color w:val="000000"/>
          <w:sz w:val="22"/>
          <w:szCs w:val="22"/>
        </w:rPr>
        <w:t xml:space="preserve">Summary of top-findings for prioritization </w:t>
      </w:r>
      <w:r w:rsidR="0026643B">
        <w:rPr>
          <w:rFonts w:ascii="Core Sans D 35 Regular" w:eastAsia="Times New Roman" w:hAnsi="Core Sans D 35 Regular" w:cstheme="minorHAnsi"/>
          <w:bCs/>
          <w:iCs/>
          <w:color w:val="000000"/>
          <w:sz w:val="22"/>
          <w:szCs w:val="22"/>
        </w:rPr>
        <w:t>and</w:t>
      </w:r>
      <w:r w:rsidRPr="008A3A5D">
        <w:rPr>
          <w:rFonts w:ascii="Core Sans D 35 Regular" w:eastAsia="Times New Roman" w:hAnsi="Core Sans D 35 Regular" w:cstheme="minorHAnsi"/>
          <w:bCs/>
          <w:iCs/>
          <w:color w:val="000000"/>
          <w:sz w:val="22"/>
          <w:szCs w:val="22"/>
        </w:rPr>
        <w:t xml:space="preserve"> action</w:t>
      </w:r>
      <w:r w:rsidR="008A6B96" w:rsidRPr="008A3A5D">
        <w:rPr>
          <w:rFonts w:ascii="Core Sans D 35 Regular" w:eastAsia="Times New Roman" w:hAnsi="Core Sans D 35 Regular" w:cstheme="minorHAnsi"/>
          <w:bCs/>
          <w:iCs/>
          <w:color w:val="000000"/>
          <w:sz w:val="22"/>
          <w:szCs w:val="22"/>
        </w:rPr>
        <w:t>:</w:t>
      </w:r>
    </w:p>
    <w:p w14:paraId="1636E6A6" w14:textId="66F15128" w:rsidR="003D15A9" w:rsidRPr="008A3A5D" w:rsidRDefault="003D15A9" w:rsidP="00115820">
      <w:pPr>
        <w:numPr>
          <w:ilvl w:val="1"/>
          <w:numId w:val="6"/>
        </w:numPr>
        <w:rPr>
          <w:rFonts w:ascii="Core Sans D 35 Regular" w:eastAsia="Times New Roman" w:hAnsi="Core Sans D 35 Regular" w:cstheme="minorHAnsi"/>
          <w:bCs/>
          <w:iCs/>
          <w:color w:val="000000"/>
          <w:sz w:val="22"/>
          <w:szCs w:val="22"/>
        </w:rPr>
      </w:pPr>
      <w:r w:rsidRPr="008A3A5D">
        <w:rPr>
          <w:rFonts w:ascii="Core Sans D 35 Regular" w:eastAsia="Times New Roman" w:hAnsi="Core Sans D 35 Regular" w:cstheme="minorHAnsi"/>
          <w:bCs/>
          <w:iCs/>
          <w:color w:val="000000"/>
          <w:sz w:val="22"/>
          <w:szCs w:val="22"/>
        </w:rPr>
        <w:lastRenderedPageBreak/>
        <w:t xml:space="preserve">Continuous monitoring of control measures linked to NIST Cybersecurity Frameworks and other frameworks (NIST 800-53, NIST 800-171, HIPPA, CMMC, ISO, </w:t>
      </w:r>
      <w:r w:rsidR="004B5DEF" w:rsidRPr="008A3A5D">
        <w:rPr>
          <w:rFonts w:ascii="Core Sans D 35 Regular" w:eastAsia="Times New Roman" w:hAnsi="Core Sans D 35 Regular" w:cstheme="minorHAnsi"/>
          <w:bCs/>
          <w:iCs/>
          <w:color w:val="000000"/>
          <w:sz w:val="22"/>
          <w:szCs w:val="22"/>
        </w:rPr>
        <w:t>etc.</w:t>
      </w:r>
      <w:r w:rsidRPr="008A3A5D">
        <w:rPr>
          <w:rFonts w:ascii="Core Sans D 35 Regular" w:eastAsia="Times New Roman" w:hAnsi="Core Sans D 35 Regular" w:cstheme="minorHAnsi"/>
          <w:bCs/>
          <w:iCs/>
          <w:color w:val="000000"/>
          <w:sz w:val="22"/>
          <w:szCs w:val="22"/>
        </w:rPr>
        <w:t xml:space="preserve">) for FISMA compliance </w:t>
      </w:r>
    </w:p>
    <w:p w14:paraId="533B3CFB" w14:textId="6FDB632F" w:rsidR="003D15A9" w:rsidRPr="008A3A5D" w:rsidRDefault="003D15A9" w:rsidP="00115820">
      <w:pPr>
        <w:numPr>
          <w:ilvl w:val="1"/>
          <w:numId w:val="6"/>
        </w:numPr>
        <w:rPr>
          <w:rFonts w:ascii="Core Sans D 35 Regular" w:eastAsia="Times New Roman" w:hAnsi="Core Sans D 35 Regular" w:cstheme="minorHAnsi"/>
          <w:bCs/>
          <w:iCs/>
          <w:color w:val="000000"/>
          <w:sz w:val="22"/>
          <w:szCs w:val="22"/>
        </w:rPr>
      </w:pPr>
      <w:r w:rsidRPr="008A3A5D">
        <w:rPr>
          <w:rFonts w:ascii="Core Sans D 35 Regular" w:eastAsia="Times New Roman" w:hAnsi="Core Sans D 35 Regular" w:cstheme="minorHAnsi"/>
          <w:bCs/>
          <w:iCs/>
          <w:color w:val="000000"/>
          <w:sz w:val="22"/>
          <w:szCs w:val="22"/>
        </w:rPr>
        <w:t xml:space="preserve">Risk Categorization compliance requirements for FIPS 199 (Confidentiality, Integrity, </w:t>
      </w:r>
      <w:r w:rsidR="00F52A55" w:rsidRPr="008A3A5D">
        <w:rPr>
          <w:rFonts w:ascii="Core Sans D 35 Regular" w:eastAsia="Times New Roman" w:hAnsi="Core Sans D 35 Regular" w:cstheme="minorHAnsi"/>
          <w:bCs/>
          <w:iCs/>
          <w:color w:val="000000"/>
          <w:sz w:val="22"/>
          <w:szCs w:val="22"/>
        </w:rPr>
        <w:t>Availability,</w:t>
      </w:r>
      <w:r w:rsidRPr="008A3A5D">
        <w:rPr>
          <w:rFonts w:ascii="Core Sans D 35 Regular" w:eastAsia="Times New Roman" w:hAnsi="Core Sans D 35 Regular" w:cstheme="minorHAnsi"/>
          <w:bCs/>
          <w:iCs/>
          <w:color w:val="000000"/>
          <w:sz w:val="22"/>
          <w:szCs w:val="22"/>
        </w:rPr>
        <w:t xml:space="preserve"> and Impact)</w:t>
      </w:r>
    </w:p>
    <w:p w14:paraId="229F3863" w14:textId="2A0CAF51" w:rsidR="003D15A9" w:rsidRPr="008A3A5D" w:rsidRDefault="003D15A9" w:rsidP="00115820">
      <w:pPr>
        <w:rPr>
          <w:rFonts w:ascii="Core Sans D 35 Regular" w:eastAsia="Times New Roman" w:hAnsi="Core Sans D 35 Regular" w:cstheme="minorHAnsi"/>
          <w:bCs/>
          <w:iCs/>
          <w:color w:val="000000"/>
          <w:sz w:val="22"/>
          <w:szCs w:val="22"/>
        </w:rPr>
      </w:pPr>
      <w:r w:rsidRPr="008A3A5D">
        <w:rPr>
          <w:rFonts w:ascii="Core Sans D 35 Regular" w:eastAsia="Times New Roman" w:hAnsi="Core Sans D 35 Regular" w:cstheme="minorHAnsi"/>
          <w:bCs/>
          <w:iCs/>
          <w:color w:val="000000"/>
          <w:sz w:val="22"/>
          <w:szCs w:val="22"/>
        </w:rPr>
        <w:t>Report of top risk vectors mapped to best practices &amp; solution options</w:t>
      </w:r>
      <w:r w:rsidR="008A6B96" w:rsidRPr="008A3A5D">
        <w:rPr>
          <w:rFonts w:ascii="Core Sans D 35 Regular" w:eastAsia="Times New Roman" w:hAnsi="Core Sans D 35 Regular" w:cstheme="minorHAnsi"/>
          <w:bCs/>
          <w:iCs/>
          <w:color w:val="000000"/>
          <w:sz w:val="22"/>
          <w:szCs w:val="22"/>
        </w:rPr>
        <w:t>:</w:t>
      </w:r>
    </w:p>
    <w:p w14:paraId="5142E137" w14:textId="366F8BEC" w:rsidR="003D15A9" w:rsidRPr="008A3A5D" w:rsidRDefault="003D15A9" w:rsidP="00115820">
      <w:pPr>
        <w:numPr>
          <w:ilvl w:val="1"/>
          <w:numId w:val="7"/>
        </w:numPr>
        <w:rPr>
          <w:rFonts w:ascii="Core Sans D 35 Regular" w:eastAsia="Times New Roman" w:hAnsi="Core Sans D 35 Regular" w:cstheme="minorHAnsi"/>
          <w:bCs/>
          <w:iCs/>
          <w:color w:val="000000"/>
          <w:sz w:val="22"/>
          <w:szCs w:val="22"/>
        </w:rPr>
      </w:pPr>
      <w:r w:rsidRPr="008A3A5D">
        <w:rPr>
          <w:rFonts w:ascii="Core Sans D 35 Regular" w:eastAsia="Times New Roman" w:hAnsi="Core Sans D 35 Regular" w:cstheme="minorHAnsi"/>
          <w:bCs/>
          <w:iCs/>
          <w:color w:val="000000"/>
          <w:sz w:val="22"/>
          <w:szCs w:val="22"/>
        </w:rPr>
        <w:t>Risks identified by category and severity with mitigation recommendations</w:t>
      </w:r>
    </w:p>
    <w:p w14:paraId="70CA4E26" w14:textId="77777777" w:rsidR="00BC410E" w:rsidRPr="008A3A5D" w:rsidRDefault="00BC410E" w:rsidP="00115820">
      <w:pPr>
        <w:numPr>
          <w:ilvl w:val="1"/>
          <w:numId w:val="7"/>
        </w:numPr>
        <w:rPr>
          <w:rFonts w:ascii="Core Sans D 35 Regular" w:eastAsia="Times New Roman" w:hAnsi="Core Sans D 35 Regular" w:cstheme="minorHAnsi"/>
          <w:bCs/>
          <w:iCs/>
          <w:color w:val="000000"/>
          <w:sz w:val="22"/>
          <w:szCs w:val="22"/>
        </w:rPr>
      </w:pPr>
      <w:r w:rsidRPr="008A3A5D">
        <w:rPr>
          <w:rFonts w:ascii="Core Sans D 35 Regular" w:eastAsia="Times New Roman" w:hAnsi="Core Sans D 35 Regular" w:cstheme="minorHAnsi"/>
          <w:bCs/>
          <w:iCs/>
          <w:color w:val="000000"/>
          <w:sz w:val="22"/>
          <w:szCs w:val="22"/>
        </w:rPr>
        <w:t>Risks linked to compliance frameworks to understand overall impact to compliance and security</w:t>
      </w:r>
    </w:p>
    <w:p w14:paraId="2143BDED" w14:textId="176BFA36" w:rsidR="003D15A9" w:rsidRPr="008A3A5D" w:rsidRDefault="003D15A9" w:rsidP="00115820">
      <w:pPr>
        <w:rPr>
          <w:rFonts w:ascii="Core Sans D 35 Regular" w:eastAsia="Times New Roman" w:hAnsi="Core Sans D 35 Regular" w:cstheme="minorHAnsi"/>
          <w:bCs/>
          <w:iCs/>
          <w:color w:val="000000"/>
          <w:sz w:val="22"/>
          <w:szCs w:val="22"/>
        </w:rPr>
      </w:pPr>
      <w:r w:rsidRPr="008A3A5D">
        <w:rPr>
          <w:rFonts w:ascii="Core Sans D 35 Regular" w:eastAsia="Times New Roman" w:hAnsi="Core Sans D 35 Regular" w:cstheme="minorHAnsi"/>
          <w:bCs/>
          <w:iCs/>
          <w:color w:val="000000"/>
          <w:sz w:val="22"/>
          <w:szCs w:val="22"/>
        </w:rPr>
        <w:t>Prioritized risk mitigation resourcing strategies</w:t>
      </w:r>
      <w:r w:rsidR="008A6B96" w:rsidRPr="008A3A5D">
        <w:rPr>
          <w:rFonts w:ascii="Core Sans D 35 Regular" w:eastAsia="Times New Roman" w:hAnsi="Core Sans D 35 Regular" w:cstheme="minorHAnsi"/>
          <w:bCs/>
          <w:iCs/>
          <w:color w:val="000000"/>
          <w:sz w:val="22"/>
          <w:szCs w:val="22"/>
        </w:rPr>
        <w:t>:</w:t>
      </w:r>
    </w:p>
    <w:p w14:paraId="61D63D42" w14:textId="77777777" w:rsidR="00BC2AAC" w:rsidRPr="008A3A5D" w:rsidRDefault="00BC2AAC" w:rsidP="00115820">
      <w:pPr>
        <w:pStyle w:val="ListParagraph"/>
        <w:numPr>
          <w:ilvl w:val="0"/>
          <w:numId w:val="18"/>
        </w:numPr>
        <w:rPr>
          <w:rFonts w:ascii="Core Sans D 35 Regular" w:eastAsia="Times New Roman" w:hAnsi="Core Sans D 35 Regular" w:cstheme="minorHAnsi"/>
          <w:sz w:val="22"/>
          <w:szCs w:val="22"/>
        </w:rPr>
      </w:pPr>
      <w:proofErr w:type="spellStart"/>
      <w:r w:rsidRPr="008A3A5D">
        <w:rPr>
          <w:rFonts w:ascii="Core Sans D 35 Regular" w:eastAsia="Times New Roman" w:hAnsi="Core Sans D 35 Regular" w:cstheme="minorHAnsi"/>
          <w:color w:val="000000"/>
          <w:sz w:val="22"/>
          <w:szCs w:val="22"/>
        </w:rPr>
        <w:t>WhiteHawk</w:t>
      </w:r>
      <w:proofErr w:type="spellEnd"/>
      <w:r w:rsidRPr="008A3A5D">
        <w:rPr>
          <w:rFonts w:ascii="Core Sans D 35 Regular" w:eastAsia="Times New Roman" w:hAnsi="Core Sans D 35 Regular" w:cstheme="minorHAnsi"/>
          <w:color w:val="000000"/>
          <w:sz w:val="22"/>
          <w:szCs w:val="22"/>
        </w:rPr>
        <w:t xml:space="preserve"> designed the Cyber Risk Scorecard to provide clients with actionable information to:</w:t>
      </w:r>
    </w:p>
    <w:p w14:paraId="72F9090E" w14:textId="77777777" w:rsidR="00BC2AAC" w:rsidRPr="008A3A5D" w:rsidRDefault="00BC2AAC" w:rsidP="00115820">
      <w:pPr>
        <w:numPr>
          <w:ilvl w:val="0"/>
          <w:numId w:val="19"/>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Facilitate budget-based and impactful, risk reduction decision making based upon cyber risk vector indicators</w:t>
      </w:r>
    </w:p>
    <w:p w14:paraId="56DD567F" w14:textId="77777777" w:rsidR="00BC2AAC" w:rsidRPr="008A3A5D" w:rsidRDefault="00BC2AAC" w:rsidP="00115820">
      <w:pPr>
        <w:numPr>
          <w:ilvl w:val="0"/>
          <w:numId w:val="19"/>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Enable smart and timely action </w:t>
      </w:r>
    </w:p>
    <w:p w14:paraId="044C1C15" w14:textId="77777777" w:rsidR="00BC2AAC" w:rsidRPr="008A3A5D" w:rsidRDefault="00BC2AAC" w:rsidP="00115820">
      <w:pPr>
        <w:numPr>
          <w:ilvl w:val="0"/>
          <w:numId w:val="19"/>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Prevent online crime and fraud from disrupting operations </w:t>
      </w:r>
    </w:p>
    <w:p w14:paraId="76DE1237" w14:textId="77777777" w:rsidR="00BC2AAC" w:rsidRPr="008A3A5D" w:rsidRDefault="00BC2AAC" w:rsidP="00115820">
      <w:pPr>
        <w:pStyle w:val="ListParagraph"/>
        <w:numPr>
          <w:ilvl w:val="0"/>
          <w:numId w:val="18"/>
        </w:numPr>
        <w:rPr>
          <w:rFonts w:ascii="Core Sans D 35 Regular" w:eastAsia="Times New Roman" w:hAnsi="Core Sans D 35 Regular" w:cstheme="minorHAnsi"/>
          <w:sz w:val="22"/>
          <w:szCs w:val="22"/>
        </w:rPr>
      </w:pPr>
      <w:proofErr w:type="spellStart"/>
      <w:r w:rsidRPr="008A3A5D">
        <w:rPr>
          <w:rFonts w:ascii="Core Sans D 35 Regular" w:eastAsia="Times New Roman" w:hAnsi="Core Sans D 35 Regular" w:cstheme="minorHAnsi"/>
          <w:color w:val="000000"/>
          <w:sz w:val="22"/>
          <w:szCs w:val="22"/>
        </w:rPr>
        <w:t>WhiteHawk</w:t>
      </w:r>
      <w:proofErr w:type="spellEnd"/>
      <w:r w:rsidRPr="008A3A5D">
        <w:rPr>
          <w:rFonts w:ascii="Core Sans D 35 Regular" w:eastAsia="Times New Roman" w:hAnsi="Core Sans D 35 Regular" w:cstheme="minorHAnsi"/>
          <w:color w:val="000000"/>
          <w:sz w:val="22"/>
          <w:szCs w:val="22"/>
        </w:rPr>
        <w:t xml:space="preserve"> Cyber Analysts perform customized analytics to: </w:t>
      </w:r>
    </w:p>
    <w:p w14:paraId="406DB7D9" w14:textId="77777777" w:rsidR="00BC2AAC" w:rsidRPr="008A3A5D" w:rsidRDefault="00BC2AAC" w:rsidP="00115820">
      <w:pPr>
        <w:numPr>
          <w:ilvl w:val="0"/>
          <w:numId w:val="19"/>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Deliver affordable and impactful options to mitigate cyber risks of small and midsize businesses and organizations, prioritized to reduce the most significant risks </w:t>
      </w:r>
    </w:p>
    <w:p w14:paraId="4C32E103" w14:textId="77777777" w:rsidR="00BC2AAC" w:rsidRPr="008A3A5D" w:rsidRDefault="00BC2AAC" w:rsidP="00115820">
      <w:pPr>
        <w:numPr>
          <w:ilvl w:val="0"/>
          <w:numId w:val="19"/>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Track key actions and mitigations to accept or address known risks</w:t>
      </w:r>
    </w:p>
    <w:p w14:paraId="56EF207B" w14:textId="77777777" w:rsidR="00BC2AAC" w:rsidRPr="008A3A5D" w:rsidRDefault="00BC2AAC" w:rsidP="00115820">
      <w:pPr>
        <w:numPr>
          <w:ilvl w:val="0"/>
          <w:numId w:val="19"/>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Provide maturity planning in the form of an achievable risk reduction roadmap, enabling data-driven decision making in terms of business risk and budget constraints</w:t>
      </w:r>
    </w:p>
    <w:p w14:paraId="2EBDFA35" w14:textId="77777777" w:rsidR="00BC2AAC" w:rsidRPr="008A3A5D" w:rsidRDefault="00BC2AAC" w:rsidP="00115820">
      <w:pPr>
        <w:numPr>
          <w:ilvl w:val="0"/>
          <w:numId w:val="19"/>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Maintain informed and enable engagement</w:t>
      </w:r>
    </w:p>
    <w:p w14:paraId="62E454CA" w14:textId="7EAABA1D" w:rsidR="004F1EBA" w:rsidRPr="008A3A5D" w:rsidRDefault="001550FE" w:rsidP="00115820">
      <w:pPr>
        <w:rPr>
          <w:rFonts w:ascii="Core Sans D 35 Regular" w:eastAsia="Times New Roman" w:hAnsi="Core Sans D 35 Regular" w:cstheme="minorHAnsi"/>
          <w:color w:val="000000"/>
          <w:sz w:val="22"/>
          <w:szCs w:val="22"/>
        </w:rPr>
      </w:pPr>
      <w:r>
        <w:rPr>
          <w:rFonts w:ascii="Core Sans D 35 Regular" w:eastAsia="Times New Roman" w:hAnsi="Core Sans D 35 Regular" w:cstheme="minorHAnsi"/>
          <w:color w:val="000000"/>
          <w:sz w:val="22"/>
          <w:szCs w:val="22"/>
        </w:rPr>
        <w:t>I</w:t>
      </w:r>
      <w:r w:rsidR="004F1EBA" w:rsidRPr="008A3A5D">
        <w:rPr>
          <w:rFonts w:ascii="Core Sans D 35 Regular" w:eastAsia="Times New Roman" w:hAnsi="Core Sans D 35 Regular" w:cstheme="minorHAnsi"/>
          <w:color w:val="000000"/>
          <w:sz w:val="22"/>
          <w:szCs w:val="22"/>
        </w:rPr>
        <w:t xml:space="preserve">ntegration into One </w:t>
      </w:r>
      <w:r w:rsidR="00143C8D">
        <w:rPr>
          <w:rFonts w:ascii="Core Sans D 35 Regular" w:eastAsia="Times New Roman" w:hAnsi="Core Sans D 35 Regular" w:cstheme="minorHAnsi"/>
          <w:color w:val="000000"/>
          <w:sz w:val="22"/>
          <w:szCs w:val="22"/>
        </w:rPr>
        <w:t xml:space="preserve">Vendor </w:t>
      </w:r>
      <w:r w:rsidR="004F1EBA" w:rsidRPr="008A3A5D">
        <w:rPr>
          <w:rFonts w:ascii="Core Sans D 35 Regular" w:eastAsia="Times New Roman" w:hAnsi="Core Sans D 35 Regular" w:cstheme="minorHAnsi"/>
          <w:color w:val="000000"/>
          <w:sz w:val="22"/>
          <w:szCs w:val="22"/>
        </w:rPr>
        <w:t>Risk Management Dashboard</w:t>
      </w:r>
      <w:r w:rsidR="008A6B96" w:rsidRPr="008A3A5D">
        <w:rPr>
          <w:rFonts w:ascii="Core Sans D 35 Regular" w:eastAsia="Times New Roman" w:hAnsi="Core Sans D 35 Regular" w:cstheme="minorHAnsi"/>
          <w:color w:val="000000"/>
          <w:sz w:val="22"/>
          <w:szCs w:val="22"/>
        </w:rPr>
        <w:t>:</w:t>
      </w:r>
    </w:p>
    <w:p w14:paraId="31FB0A73" w14:textId="6B5AD83F" w:rsidR="00EF461F" w:rsidRPr="008A3A5D" w:rsidRDefault="004F1EBA" w:rsidP="00115820">
      <w:pPr>
        <w:pStyle w:val="ListParagraph"/>
        <w:numPr>
          <w:ilvl w:val="0"/>
          <w:numId w:val="18"/>
        </w:numPr>
        <w:rPr>
          <w:rFonts w:ascii="Core Sans D 35 Regular" w:hAnsi="Core Sans D 35 Regular" w:cstheme="minorHAnsi"/>
          <w:sz w:val="22"/>
          <w:szCs w:val="22"/>
        </w:rPr>
      </w:pPr>
      <w:r w:rsidRPr="008A3A5D">
        <w:rPr>
          <w:rFonts w:ascii="Core Sans D 35 Regular" w:eastAsia="Times New Roman" w:hAnsi="Core Sans D 35 Regular" w:cstheme="minorHAnsi"/>
          <w:color w:val="000000"/>
          <w:sz w:val="22"/>
          <w:szCs w:val="22"/>
        </w:rPr>
        <w:t>Continuous situational awareness, tracking, mitigation, and management of the Supply Chain Risk Management (SCRM)/Vendor Relationship Management (VRM) program.</w:t>
      </w:r>
    </w:p>
    <w:p w14:paraId="769BBAD8" w14:textId="77777777" w:rsidR="00EF461F" w:rsidRPr="008A3A5D" w:rsidRDefault="00EF461F" w:rsidP="00115820">
      <w:pPr>
        <w:ind w:firstLine="720"/>
        <w:rPr>
          <w:rFonts w:ascii="Core Sans D 35 Regular" w:hAnsi="Core Sans D 35 Regular" w:cstheme="minorHAnsi"/>
          <w:sz w:val="22"/>
          <w:szCs w:val="22"/>
        </w:rPr>
      </w:pPr>
    </w:p>
    <w:p w14:paraId="4131B9D2" w14:textId="27E495BC" w:rsidR="0046324A" w:rsidRPr="008A3A5D" w:rsidRDefault="0046324A" w:rsidP="00115820">
      <w:pPr>
        <w:rPr>
          <w:rFonts w:ascii="Core Sans D 35 Regular" w:hAnsi="Core Sans D 35 Regular" w:cstheme="minorHAnsi"/>
          <w:b/>
          <w:bCs/>
          <w:sz w:val="22"/>
          <w:szCs w:val="22"/>
        </w:rPr>
      </w:pPr>
      <w:r w:rsidRPr="008A3A5D">
        <w:rPr>
          <w:rFonts w:ascii="Core Sans D 35 Regular" w:hAnsi="Core Sans D 35 Regular" w:cstheme="minorHAnsi"/>
          <w:b/>
          <w:bCs/>
          <w:sz w:val="22"/>
          <w:szCs w:val="22"/>
        </w:rPr>
        <w:t>Developing a Strong Domestic Manufacturing Base with High Levels of Security and Resilience</w:t>
      </w:r>
    </w:p>
    <w:p w14:paraId="507A6178" w14:textId="4249141F" w:rsidR="003D15A9" w:rsidRPr="008A3A5D" w:rsidRDefault="003D15A9" w:rsidP="00115820">
      <w:pPr>
        <w:pStyle w:val="ListParagraph"/>
        <w:rPr>
          <w:rFonts w:ascii="Core Sans D 35 Regular" w:hAnsi="Core Sans D 35 Regular" w:cstheme="minorHAnsi"/>
          <w:sz w:val="22"/>
          <w:szCs w:val="22"/>
        </w:rPr>
      </w:pPr>
    </w:p>
    <w:p w14:paraId="695F959A" w14:textId="77777777" w:rsidR="001550FE" w:rsidRDefault="003F344C" w:rsidP="00115820">
      <w:pPr>
        <w:ind w:firstLine="720"/>
        <w:rPr>
          <w:rFonts w:ascii="Core Sans D 35 Regular" w:hAnsi="Core Sans D 35 Regular" w:cstheme="minorHAnsi"/>
          <w:sz w:val="22"/>
          <w:szCs w:val="22"/>
        </w:rPr>
      </w:pPr>
      <w:r w:rsidRPr="008A3A5D">
        <w:rPr>
          <w:rFonts w:ascii="Core Sans D 35 Regular" w:hAnsi="Core Sans D 35 Regular" w:cstheme="minorHAnsi"/>
          <w:sz w:val="22"/>
          <w:szCs w:val="22"/>
        </w:rPr>
        <w:t>Development of a strong, secure</w:t>
      </w:r>
      <w:r w:rsidR="009257DB">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and resilient domestic manufacturing base </w:t>
      </w:r>
      <w:r w:rsidR="003C2CF5" w:rsidRPr="008A3A5D">
        <w:rPr>
          <w:rFonts w:ascii="Core Sans D 35 Regular" w:hAnsi="Core Sans D 35 Regular" w:cstheme="minorHAnsi"/>
          <w:sz w:val="22"/>
          <w:szCs w:val="22"/>
        </w:rPr>
        <w:t>requires consistent targeted incentives that extend beyond voluntary measures existing to date under DOE and FERC programs. While these programs should be expanded, they lack the specificity and focus required to address the most critical vulnerabilities in a timely and cost-effective manner. Additionally, under the current framework</w:t>
      </w:r>
      <w:r w:rsidR="001550FE">
        <w:rPr>
          <w:rFonts w:ascii="Core Sans D 35 Regular" w:hAnsi="Core Sans D 35 Regular" w:cstheme="minorHAnsi"/>
          <w:sz w:val="22"/>
          <w:szCs w:val="22"/>
        </w:rPr>
        <w:t>,</w:t>
      </w:r>
      <w:r w:rsidR="003C2CF5" w:rsidRPr="008A3A5D">
        <w:rPr>
          <w:rFonts w:ascii="Core Sans D 35 Regular" w:hAnsi="Core Sans D 35 Regular" w:cstheme="minorHAnsi"/>
          <w:sz w:val="22"/>
          <w:szCs w:val="22"/>
        </w:rPr>
        <w:t xml:space="preserve"> each company is responsible for testing and securing its own infrastructure forcing multiple companies to pay to test and evaluate the same common sets of core infrastructure. </w:t>
      </w:r>
    </w:p>
    <w:p w14:paraId="45EE759F" w14:textId="77777777" w:rsidR="001550FE" w:rsidRDefault="001550FE" w:rsidP="00115820">
      <w:pPr>
        <w:ind w:firstLine="720"/>
        <w:rPr>
          <w:rFonts w:ascii="Core Sans D 35 Regular" w:hAnsi="Core Sans D 35 Regular" w:cstheme="minorHAnsi"/>
          <w:sz w:val="22"/>
          <w:szCs w:val="22"/>
        </w:rPr>
      </w:pPr>
    </w:p>
    <w:p w14:paraId="0895BEC2" w14:textId="12FB18AE" w:rsidR="003F344C" w:rsidRPr="008A3A5D" w:rsidRDefault="003C2CF5" w:rsidP="00115820">
      <w:pPr>
        <w:ind w:firstLine="720"/>
        <w:rPr>
          <w:rFonts w:ascii="Core Sans D 35 Regular" w:hAnsi="Core Sans D 35 Regular" w:cstheme="minorHAnsi"/>
          <w:sz w:val="22"/>
          <w:szCs w:val="22"/>
        </w:rPr>
      </w:pPr>
      <w:r w:rsidRPr="008A3A5D">
        <w:rPr>
          <w:rFonts w:ascii="Core Sans D 35 Regular" w:hAnsi="Core Sans D 35 Regular" w:cstheme="minorHAnsi"/>
          <w:sz w:val="22"/>
          <w:szCs w:val="22"/>
        </w:rPr>
        <w:t>To mitigate these</w:t>
      </w:r>
      <w:r w:rsidR="00C71E1E" w:rsidRPr="008A3A5D">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DOE should employ a commercial testing approach similar to Underwriters Laboratories or Consumer Re</w:t>
      </w:r>
      <w:r w:rsidR="00254A8F" w:rsidRPr="008A3A5D">
        <w:rPr>
          <w:rFonts w:ascii="Core Sans D 35 Regular" w:hAnsi="Core Sans D 35 Regular" w:cstheme="minorHAnsi"/>
          <w:sz w:val="22"/>
          <w:szCs w:val="22"/>
        </w:rPr>
        <w:t>ports. This model</w:t>
      </w:r>
      <w:r w:rsidR="00182B72" w:rsidRPr="008A3A5D">
        <w:rPr>
          <w:rFonts w:ascii="Core Sans D 35 Regular" w:hAnsi="Core Sans D 35 Regular" w:cstheme="minorHAnsi"/>
          <w:sz w:val="22"/>
          <w:szCs w:val="22"/>
        </w:rPr>
        <w:t>,</w:t>
      </w:r>
      <w:r w:rsidR="00254A8F" w:rsidRPr="008A3A5D">
        <w:rPr>
          <w:rFonts w:ascii="Core Sans D 35 Regular" w:hAnsi="Core Sans D 35 Regular" w:cstheme="minorHAnsi"/>
          <w:sz w:val="22"/>
          <w:szCs w:val="22"/>
        </w:rPr>
        <w:t xml:space="preserve"> which could be run by DOE and</w:t>
      </w:r>
      <w:r w:rsidR="00C71E1E" w:rsidRPr="008A3A5D">
        <w:rPr>
          <w:rFonts w:ascii="Core Sans D 35 Regular" w:hAnsi="Core Sans D 35 Regular" w:cstheme="minorHAnsi"/>
          <w:sz w:val="22"/>
          <w:szCs w:val="22"/>
        </w:rPr>
        <w:t>/or an</w:t>
      </w:r>
      <w:r w:rsidR="00254A8F" w:rsidRPr="008A3A5D">
        <w:rPr>
          <w:rFonts w:ascii="Core Sans D 35 Regular" w:hAnsi="Core Sans D 35 Regular" w:cstheme="minorHAnsi"/>
          <w:sz w:val="22"/>
          <w:szCs w:val="22"/>
        </w:rPr>
        <w:t xml:space="preserve"> independent body such as the E-ISAC</w:t>
      </w:r>
      <w:r w:rsidR="00182B72" w:rsidRPr="008A3A5D">
        <w:rPr>
          <w:rFonts w:ascii="Core Sans D 35 Regular" w:hAnsi="Core Sans D 35 Regular" w:cstheme="minorHAnsi"/>
          <w:sz w:val="22"/>
          <w:szCs w:val="22"/>
        </w:rPr>
        <w:t>,</w:t>
      </w:r>
      <w:r w:rsidR="00254A8F" w:rsidRPr="008A3A5D">
        <w:rPr>
          <w:rFonts w:ascii="Core Sans D 35 Regular" w:hAnsi="Core Sans D 35 Regular" w:cstheme="minorHAnsi"/>
          <w:sz w:val="22"/>
          <w:szCs w:val="22"/>
        </w:rPr>
        <w:t xml:space="preserve"> could prioritize the testing and validation of domestically manufactured products. Linking this testing to the critical areas of risk identified by sector analytics and threat data would enable domestic producers to identify and develop solutions with the greatest impact</w:t>
      </w:r>
      <w:r w:rsidR="00182B72" w:rsidRPr="008A3A5D">
        <w:rPr>
          <w:rFonts w:ascii="Core Sans D 35 Regular" w:hAnsi="Core Sans D 35 Regular" w:cstheme="minorHAnsi"/>
          <w:sz w:val="22"/>
          <w:szCs w:val="22"/>
        </w:rPr>
        <w:t>,</w:t>
      </w:r>
      <w:r w:rsidR="00254A8F" w:rsidRPr="008A3A5D">
        <w:rPr>
          <w:rFonts w:ascii="Core Sans D 35 Regular" w:hAnsi="Core Sans D 35 Regular" w:cstheme="minorHAnsi"/>
          <w:sz w:val="22"/>
          <w:szCs w:val="22"/>
        </w:rPr>
        <w:t xml:space="preserve"> shortening the time to transition these areas away from foreign</w:t>
      </w:r>
      <w:r w:rsidR="00182B72" w:rsidRPr="008A3A5D">
        <w:rPr>
          <w:rFonts w:ascii="Core Sans D 35 Regular" w:hAnsi="Core Sans D 35 Regular" w:cstheme="minorHAnsi"/>
          <w:sz w:val="22"/>
          <w:szCs w:val="22"/>
        </w:rPr>
        <w:t>-</w:t>
      </w:r>
      <w:r w:rsidR="00254A8F" w:rsidRPr="008A3A5D">
        <w:rPr>
          <w:rFonts w:ascii="Core Sans D 35 Regular" w:hAnsi="Core Sans D 35 Regular" w:cstheme="minorHAnsi"/>
          <w:sz w:val="22"/>
          <w:szCs w:val="22"/>
        </w:rPr>
        <w:t>based manufacturers.</w:t>
      </w:r>
    </w:p>
    <w:p w14:paraId="0209D7B8" w14:textId="77777777" w:rsidR="00AB2824" w:rsidRPr="008A3A5D" w:rsidRDefault="00AB2824" w:rsidP="00115820">
      <w:pPr>
        <w:pStyle w:val="ListParagraph"/>
        <w:ind w:left="0"/>
        <w:rPr>
          <w:rFonts w:ascii="Core Sans D 35 Regular" w:hAnsi="Core Sans D 35 Regular" w:cstheme="minorHAnsi"/>
          <w:sz w:val="22"/>
          <w:szCs w:val="22"/>
        </w:rPr>
      </w:pPr>
    </w:p>
    <w:p w14:paraId="7484BCC2" w14:textId="79B3CE9A" w:rsidR="003D15A9" w:rsidRPr="00143C8D" w:rsidRDefault="003D15A9" w:rsidP="00115820">
      <w:pPr>
        <w:pStyle w:val="ListParagraph"/>
        <w:ind w:left="0"/>
        <w:rPr>
          <w:rFonts w:ascii="Core Sans D 35 Regular" w:hAnsi="Core Sans D 35 Regular" w:cstheme="minorHAnsi"/>
          <w:b/>
          <w:bCs/>
          <w:sz w:val="22"/>
          <w:szCs w:val="22"/>
        </w:rPr>
      </w:pPr>
      <w:r w:rsidRPr="00143C8D">
        <w:rPr>
          <w:rFonts w:ascii="Core Sans D 35 Regular" w:hAnsi="Core Sans D 35 Regular" w:cstheme="minorHAnsi"/>
          <w:b/>
          <w:bCs/>
          <w:sz w:val="22"/>
          <w:szCs w:val="22"/>
        </w:rPr>
        <w:t>Objectives:</w:t>
      </w:r>
    </w:p>
    <w:p w14:paraId="16BDC630" w14:textId="77777777" w:rsidR="00AB2824" w:rsidRPr="008A3A5D" w:rsidRDefault="00254A8F" w:rsidP="00115820">
      <w:pPr>
        <w:pStyle w:val="ListParagraph"/>
        <w:numPr>
          <w:ilvl w:val="0"/>
          <w:numId w:val="18"/>
        </w:numPr>
        <w:rPr>
          <w:rFonts w:ascii="Core Sans D 35 Regular" w:hAnsi="Core Sans D 35 Regular" w:cstheme="minorHAnsi"/>
          <w:sz w:val="22"/>
          <w:szCs w:val="22"/>
        </w:rPr>
      </w:pPr>
      <w:r w:rsidRPr="008A3A5D">
        <w:rPr>
          <w:rFonts w:ascii="Core Sans D 35 Regular" w:hAnsi="Core Sans D 35 Regular" w:cstheme="minorHAnsi"/>
          <w:sz w:val="22"/>
          <w:szCs w:val="22"/>
        </w:rPr>
        <w:lastRenderedPageBreak/>
        <w:t>Provide incentives for Domestic Manufacturing Base to develop the required solutions that improve the security and resiliency of the US power grid</w:t>
      </w:r>
    </w:p>
    <w:p w14:paraId="6B3F2929" w14:textId="77777777" w:rsidR="00AB2824" w:rsidRPr="008A3A5D" w:rsidRDefault="00AB2824" w:rsidP="00115820">
      <w:pPr>
        <w:pStyle w:val="ListParagraph"/>
        <w:numPr>
          <w:ilvl w:val="0"/>
          <w:numId w:val="18"/>
        </w:numPr>
        <w:rPr>
          <w:rFonts w:ascii="Core Sans D 35 Regular" w:hAnsi="Core Sans D 35 Regular" w:cstheme="minorHAnsi"/>
          <w:sz w:val="22"/>
          <w:szCs w:val="22"/>
        </w:rPr>
      </w:pPr>
      <w:r w:rsidRPr="008A3A5D">
        <w:rPr>
          <w:rFonts w:ascii="Core Sans D 35 Regular" w:hAnsi="Core Sans D 35 Regular" w:cstheme="minorHAnsi"/>
          <w:sz w:val="22"/>
          <w:szCs w:val="22"/>
        </w:rPr>
        <w:t>Leverage sector and industry analytics to ensure that domestic manufacturers are focused on the most critical risk areas associated with the utilization of foreign manufactured infrastructure and equipment</w:t>
      </w:r>
    </w:p>
    <w:p w14:paraId="3BE701F9" w14:textId="11E783B1" w:rsidR="003D15A9" w:rsidRPr="008A3A5D" w:rsidRDefault="00AB2824" w:rsidP="00115820">
      <w:pPr>
        <w:pStyle w:val="ListParagraph"/>
        <w:numPr>
          <w:ilvl w:val="0"/>
          <w:numId w:val="18"/>
        </w:numPr>
        <w:rPr>
          <w:rFonts w:ascii="Core Sans D 35 Regular" w:hAnsi="Core Sans D 35 Regular" w:cstheme="minorHAnsi"/>
          <w:sz w:val="22"/>
          <w:szCs w:val="22"/>
        </w:rPr>
      </w:pPr>
      <w:r w:rsidRPr="008A3A5D">
        <w:rPr>
          <w:rFonts w:ascii="Core Sans D 35 Regular" w:hAnsi="Core Sans D 35 Regular" w:cstheme="minorHAnsi"/>
          <w:sz w:val="22"/>
          <w:szCs w:val="22"/>
        </w:rPr>
        <w:t>Utilize cost effective methods for testing the security and resiliency of components and equipment enabling identification and continuous monitoring of trusted suppliers</w:t>
      </w:r>
      <w:r w:rsidR="00254A8F" w:rsidRPr="008A3A5D">
        <w:rPr>
          <w:rFonts w:ascii="Core Sans D 35 Regular" w:hAnsi="Core Sans D 35 Regular" w:cstheme="minorHAnsi"/>
          <w:sz w:val="22"/>
          <w:szCs w:val="22"/>
        </w:rPr>
        <w:tab/>
      </w:r>
    </w:p>
    <w:p w14:paraId="3A2E917B" w14:textId="77777777" w:rsidR="00AB2824" w:rsidRPr="008A3A5D" w:rsidRDefault="00AB2824" w:rsidP="00115820">
      <w:pPr>
        <w:pStyle w:val="ListParagraph"/>
        <w:ind w:left="0"/>
        <w:rPr>
          <w:rFonts w:ascii="Core Sans D 35 Regular" w:hAnsi="Core Sans D 35 Regular" w:cstheme="minorHAnsi"/>
          <w:sz w:val="22"/>
          <w:szCs w:val="22"/>
        </w:rPr>
      </w:pPr>
    </w:p>
    <w:p w14:paraId="424E18E9" w14:textId="22CD4C81" w:rsidR="003D15A9" w:rsidRPr="00143C8D" w:rsidRDefault="003D15A9" w:rsidP="00115820">
      <w:pPr>
        <w:pStyle w:val="ListParagraph"/>
        <w:ind w:left="0"/>
        <w:rPr>
          <w:rFonts w:ascii="Core Sans D 35 Regular" w:hAnsi="Core Sans D 35 Regular" w:cstheme="minorHAnsi"/>
          <w:b/>
          <w:bCs/>
          <w:sz w:val="22"/>
          <w:szCs w:val="22"/>
        </w:rPr>
      </w:pPr>
      <w:r w:rsidRPr="00143C8D">
        <w:rPr>
          <w:rFonts w:ascii="Core Sans D 35 Regular" w:hAnsi="Core Sans D 35 Regular" w:cstheme="minorHAnsi"/>
          <w:b/>
          <w:bCs/>
          <w:sz w:val="22"/>
          <w:szCs w:val="22"/>
        </w:rPr>
        <w:t>Method</w:t>
      </w:r>
      <w:r w:rsidR="001550FE" w:rsidRPr="00143C8D">
        <w:rPr>
          <w:rFonts w:ascii="Core Sans D 35 Regular" w:hAnsi="Core Sans D 35 Regular" w:cstheme="minorHAnsi"/>
          <w:b/>
          <w:bCs/>
          <w:sz w:val="22"/>
          <w:szCs w:val="22"/>
        </w:rPr>
        <w:t>s</w:t>
      </w:r>
      <w:r w:rsidRPr="00143C8D">
        <w:rPr>
          <w:rFonts w:ascii="Core Sans D 35 Regular" w:hAnsi="Core Sans D 35 Regular" w:cstheme="minorHAnsi"/>
          <w:b/>
          <w:bCs/>
          <w:sz w:val="22"/>
          <w:szCs w:val="22"/>
        </w:rPr>
        <w:t>:</w:t>
      </w:r>
    </w:p>
    <w:p w14:paraId="468C5485" w14:textId="17678945" w:rsidR="00AB2824" w:rsidRPr="008A3A5D" w:rsidRDefault="00AB2824" w:rsidP="00115820">
      <w:pPr>
        <w:numPr>
          <w:ilvl w:val="0"/>
          <w:numId w:val="4"/>
        </w:numPr>
        <w:tabs>
          <w:tab w:val="clear" w:pos="720"/>
          <w:tab w:val="num" w:pos="1080"/>
        </w:tabs>
        <w:ind w:left="1080"/>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Tax incentive</w:t>
      </w:r>
      <w:r w:rsidR="004A1211" w:rsidRPr="008A3A5D">
        <w:rPr>
          <w:rFonts w:ascii="Core Sans D 35 Regular" w:eastAsia="Times New Roman" w:hAnsi="Core Sans D 35 Regular" w:cstheme="minorHAnsi"/>
          <w:color w:val="000000"/>
          <w:sz w:val="22"/>
          <w:szCs w:val="22"/>
        </w:rPr>
        <w:t>s linked to development and production of equipment and components critical to the security and resiliency of the US Power Grid</w:t>
      </w:r>
    </w:p>
    <w:p w14:paraId="6FE8FE91" w14:textId="37DA2363" w:rsidR="003F344C" w:rsidRPr="008A3A5D" w:rsidRDefault="003F344C" w:rsidP="00115820">
      <w:pPr>
        <w:numPr>
          <w:ilvl w:val="0"/>
          <w:numId w:val="4"/>
        </w:numPr>
        <w:tabs>
          <w:tab w:val="clear" w:pos="720"/>
          <w:tab w:val="num" w:pos="1080"/>
        </w:tabs>
        <w:ind w:left="1080"/>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 xml:space="preserve">Continue FERC </w:t>
      </w:r>
      <w:hyperlink r:id="rId18" w:history="1">
        <w:r w:rsidRPr="008A3A5D">
          <w:rPr>
            <w:rFonts w:ascii="Core Sans D 35 Regular" w:eastAsia="Times New Roman" w:hAnsi="Core Sans D 35 Regular" w:cstheme="minorHAnsi"/>
            <w:color w:val="000000"/>
            <w:sz w:val="22"/>
            <w:szCs w:val="22"/>
          </w:rPr>
          <w:t>E-2-RM21-3-000</w:t>
        </w:r>
      </w:hyperlink>
    </w:p>
    <w:p w14:paraId="587AFD5B" w14:textId="594883E0" w:rsidR="003F344C" w:rsidRPr="008A3A5D" w:rsidRDefault="003F344C" w:rsidP="00115820">
      <w:pPr>
        <w:numPr>
          <w:ilvl w:val="1"/>
          <w:numId w:val="8"/>
        </w:numPr>
        <w:textAlignment w:val="baseline"/>
        <w:rPr>
          <w:rFonts w:ascii="Core Sans D 35 Regular" w:eastAsia="Times New Roman" w:hAnsi="Core Sans D 35 Regular" w:cs="Arial"/>
          <w:color w:val="000000"/>
          <w:sz w:val="22"/>
          <w:szCs w:val="22"/>
        </w:rPr>
      </w:pPr>
      <w:r w:rsidRPr="008A3A5D">
        <w:rPr>
          <w:rFonts w:ascii="Core Sans D 35 Regular" w:eastAsia="Times New Roman" w:hAnsi="Core Sans D 35 Regular" w:cs="Arial"/>
          <w:color w:val="000000"/>
          <w:sz w:val="22"/>
          <w:szCs w:val="22"/>
        </w:rPr>
        <w:t>Voluntary incentive program</w:t>
      </w:r>
      <w:r w:rsidR="00182B72" w:rsidRPr="008A3A5D">
        <w:rPr>
          <w:rFonts w:ascii="Core Sans D 35 Regular" w:eastAsia="Times New Roman" w:hAnsi="Core Sans D 35 Regular" w:cs="Arial"/>
          <w:color w:val="000000"/>
          <w:sz w:val="22"/>
          <w:szCs w:val="22"/>
        </w:rPr>
        <w:t xml:space="preserve">, reimbursing or crediting enterprises </w:t>
      </w:r>
      <w:r w:rsidRPr="008A3A5D">
        <w:rPr>
          <w:rFonts w:ascii="Core Sans D 35 Regular" w:eastAsia="Times New Roman" w:hAnsi="Core Sans D 35 Regular" w:cs="Arial"/>
          <w:color w:val="000000"/>
          <w:sz w:val="22"/>
          <w:szCs w:val="22"/>
        </w:rPr>
        <w:t>for cybersecurity investments/upgrades meeting or going beyond minimums</w:t>
      </w:r>
    </w:p>
    <w:p w14:paraId="01566F7E" w14:textId="138FCD29" w:rsidR="003F344C" w:rsidRPr="008A3A5D" w:rsidRDefault="00182B72" w:rsidP="00115820">
      <w:pPr>
        <w:numPr>
          <w:ilvl w:val="1"/>
          <w:numId w:val="8"/>
        </w:numPr>
        <w:textAlignment w:val="baseline"/>
        <w:rPr>
          <w:rFonts w:ascii="Core Sans D 35 Regular" w:eastAsia="Times New Roman" w:hAnsi="Core Sans D 35 Regular" w:cs="Arial"/>
          <w:color w:val="000000"/>
          <w:sz w:val="22"/>
          <w:szCs w:val="22"/>
        </w:rPr>
      </w:pPr>
      <w:r w:rsidRPr="008A3A5D">
        <w:rPr>
          <w:rFonts w:ascii="Core Sans D 35 Regular" w:eastAsia="Times New Roman" w:hAnsi="Core Sans D 35 Regular" w:cs="Arial"/>
          <w:color w:val="000000"/>
          <w:sz w:val="22"/>
          <w:szCs w:val="22"/>
        </w:rPr>
        <w:t>Consider making this</w:t>
      </w:r>
      <w:r w:rsidR="003F344C" w:rsidRPr="008A3A5D">
        <w:rPr>
          <w:rFonts w:ascii="Core Sans D 35 Regular" w:eastAsia="Times New Roman" w:hAnsi="Core Sans D 35 Regular" w:cs="Arial"/>
          <w:color w:val="000000"/>
          <w:sz w:val="22"/>
          <w:szCs w:val="22"/>
        </w:rPr>
        <w:t xml:space="preserve"> compulsory</w:t>
      </w:r>
      <w:r w:rsidR="00F52A55">
        <w:rPr>
          <w:rFonts w:ascii="Core Sans D 35 Regular" w:eastAsia="Times New Roman" w:hAnsi="Core Sans D 35 Regular" w:cs="Arial"/>
          <w:color w:val="000000"/>
          <w:sz w:val="22"/>
          <w:szCs w:val="22"/>
        </w:rPr>
        <w:t>;</w:t>
      </w:r>
      <w:r w:rsidRPr="008A3A5D">
        <w:rPr>
          <w:rFonts w:ascii="Core Sans D 35 Regular" w:eastAsia="Times New Roman" w:hAnsi="Core Sans D 35 Regular" w:cs="Arial"/>
          <w:color w:val="000000"/>
          <w:sz w:val="22"/>
          <w:szCs w:val="22"/>
        </w:rPr>
        <w:t xml:space="preserve"> enterprises should be required to make upgrades but receive a level of reimbursement for upgrades</w:t>
      </w:r>
    </w:p>
    <w:p w14:paraId="6BFFE9AC" w14:textId="77777777" w:rsidR="003F344C" w:rsidRPr="008A3A5D" w:rsidRDefault="005E3FEF" w:rsidP="00115820">
      <w:pPr>
        <w:numPr>
          <w:ilvl w:val="0"/>
          <w:numId w:val="8"/>
        </w:numPr>
        <w:ind w:left="1080"/>
        <w:textAlignment w:val="baseline"/>
        <w:rPr>
          <w:rFonts w:ascii="Core Sans D 35 Regular" w:eastAsia="Times New Roman" w:hAnsi="Core Sans D 35 Regular" w:cs="Arial"/>
          <w:color w:val="000000"/>
          <w:sz w:val="22"/>
          <w:szCs w:val="22"/>
        </w:rPr>
      </w:pPr>
      <w:hyperlink r:id="rId19" w:history="1">
        <w:r w:rsidR="003F344C" w:rsidRPr="008A3A5D">
          <w:rPr>
            <w:rFonts w:ascii="Core Sans D 35 Regular" w:eastAsia="Times New Roman" w:hAnsi="Core Sans D 35 Regular" w:cs="Arial"/>
            <w:color w:val="1155CC"/>
            <w:sz w:val="22"/>
            <w:szCs w:val="22"/>
            <w:u w:val="single"/>
          </w:rPr>
          <w:t>CESER</w:t>
        </w:r>
      </w:hyperlink>
      <w:r w:rsidR="003F344C" w:rsidRPr="008A3A5D">
        <w:rPr>
          <w:rFonts w:ascii="Core Sans D 35 Regular" w:eastAsia="Times New Roman" w:hAnsi="Core Sans D 35 Regular" w:cs="Arial"/>
          <w:color w:val="000000"/>
          <w:sz w:val="22"/>
          <w:szCs w:val="22"/>
        </w:rPr>
        <w:t xml:space="preserve"> has an SLTT Program</w:t>
      </w:r>
    </w:p>
    <w:p w14:paraId="47330EA9" w14:textId="5785B04F" w:rsidR="003F344C" w:rsidRPr="008A3A5D" w:rsidRDefault="003F344C" w:rsidP="00115820">
      <w:pPr>
        <w:numPr>
          <w:ilvl w:val="1"/>
          <w:numId w:val="8"/>
        </w:numPr>
        <w:textAlignment w:val="baseline"/>
        <w:rPr>
          <w:rFonts w:ascii="Core Sans D 35 Regular" w:eastAsia="Times New Roman" w:hAnsi="Core Sans D 35 Regular" w:cs="Arial"/>
          <w:color w:val="000000"/>
          <w:sz w:val="22"/>
          <w:szCs w:val="22"/>
        </w:rPr>
      </w:pPr>
      <w:r w:rsidRPr="008A3A5D">
        <w:rPr>
          <w:rFonts w:ascii="Core Sans D 35 Regular" w:eastAsia="Times New Roman" w:hAnsi="Core Sans D 35 Regular" w:cs="Arial"/>
          <w:color w:val="000000"/>
          <w:sz w:val="22"/>
          <w:szCs w:val="22"/>
        </w:rPr>
        <w:t xml:space="preserve">Needs to be more direct, </w:t>
      </w:r>
      <w:r w:rsidR="00182B72" w:rsidRPr="008A3A5D">
        <w:rPr>
          <w:rFonts w:ascii="Core Sans D 35 Regular" w:eastAsia="Times New Roman" w:hAnsi="Core Sans D 35 Regular" w:cs="Arial"/>
          <w:color w:val="000000"/>
          <w:sz w:val="22"/>
          <w:szCs w:val="22"/>
        </w:rPr>
        <w:t>most likely</w:t>
      </w:r>
      <w:r w:rsidRPr="008A3A5D">
        <w:rPr>
          <w:rFonts w:ascii="Core Sans D 35 Regular" w:eastAsia="Times New Roman" w:hAnsi="Core Sans D 35 Regular" w:cs="Arial"/>
          <w:color w:val="000000"/>
          <w:sz w:val="22"/>
          <w:szCs w:val="22"/>
        </w:rPr>
        <w:t xml:space="preserve"> in the form of funding</w:t>
      </w:r>
      <w:r w:rsidR="00182B72" w:rsidRPr="008A3A5D">
        <w:rPr>
          <w:rFonts w:ascii="Core Sans D 35 Regular" w:eastAsia="Times New Roman" w:hAnsi="Core Sans D 35 Regular" w:cs="Arial"/>
          <w:color w:val="000000"/>
          <w:sz w:val="22"/>
          <w:szCs w:val="22"/>
        </w:rPr>
        <w:t>/</w:t>
      </w:r>
      <w:r w:rsidRPr="008A3A5D">
        <w:rPr>
          <w:rFonts w:ascii="Core Sans D 35 Regular" w:eastAsia="Times New Roman" w:hAnsi="Core Sans D 35 Regular" w:cs="Arial"/>
          <w:color w:val="000000"/>
          <w:sz w:val="22"/>
          <w:szCs w:val="22"/>
        </w:rPr>
        <w:t>grants</w:t>
      </w:r>
    </w:p>
    <w:p w14:paraId="0CC644A9" w14:textId="380D869F" w:rsidR="003F344C" w:rsidRPr="008A3A5D" w:rsidRDefault="003F344C" w:rsidP="00115820">
      <w:pPr>
        <w:numPr>
          <w:ilvl w:val="1"/>
          <w:numId w:val="8"/>
        </w:numPr>
        <w:textAlignment w:val="baseline"/>
        <w:rPr>
          <w:rFonts w:ascii="Core Sans D 35 Regular" w:eastAsia="Times New Roman" w:hAnsi="Core Sans D 35 Regular" w:cs="Arial"/>
          <w:color w:val="000000"/>
          <w:sz w:val="22"/>
          <w:szCs w:val="22"/>
        </w:rPr>
      </w:pPr>
      <w:r w:rsidRPr="008A3A5D">
        <w:rPr>
          <w:rFonts w:ascii="Core Sans D 35 Regular" w:eastAsia="Times New Roman" w:hAnsi="Core Sans D 35 Regular" w:cs="Arial"/>
          <w:color w:val="000000"/>
          <w:sz w:val="22"/>
          <w:szCs w:val="22"/>
        </w:rPr>
        <w:t>National Association of State Energy Officials</w:t>
      </w:r>
      <w:r w:rsidR="00F52A55">
        <w:rPr>
          <w:rFonts w:ascii="Core Sans D 35 Regular" w:eastAsia="Times New Roman" w:hAnsi="Core Sans D 35 Regular" w:cs="Arial"/>
          <w:color w:val="000000"/>
          <w:sz w:val="22"/>
          <w:szCs w:val="22"/>
        </w:rPr>
        <w:t xml:space="preserve"> (</w:t>
      </w:r>
      <w:r w:rsidR="00F52A55" w:rsidRPr="008A3A5D">
        <w:rPr>
          <w:rFonts w:ascii="Core Sans D 35 Regular" w:eastAsia="Times New Roman" w:hAnsi="Core Sans D 35 Regular" w:cs="Arial"/>
          <w:color w:val="000000"/>
          <w:sz w:val="22"/>
          <w:szCs w:val="22"/>
        </w:rPr>
        <w:t>NASEO</w:t>
      </w:r>
      <w:r w:rsidRPr="008A3A5D">
        <w:rPr>
          <w:rFonts w:ascii="Core Sans D 35 Regular" w:eastAsia="Times New Roman" w:hAnsi="Core Sans D 35 Regular" w:cs="Arial"/>
          <w:color w:val="000000"/>
          <w:sz w:val="22"/>
          <w:szCs w:val="22"/>
        </w:rPr>
        <w:t>) </w:t>
      </w:r>
    </w:p>
    <w:p w14:paraId="2D44C403" w14:textId="52333063" w:rsidR="003F344C" w:rsidRPr="008A3A5D" w:rsidRDefault="003F344C" w:rsidP="00115820">
      <w:pPr>
        <w:numPr>
          <w:ilvl w:val="2"/>
          <w:numId w:val="9"/>
        </w:numPr>
        <w:textAlignment w:val="baseline"/>
        <w:rPr>
          <w:rFonts w:ascii="Core Sans D 35 Regular" w:eastAsia="Times New Roman" w:hAnsi="Core Sans D 35 Regular" w:cs="Arial"/>
          <w:color w:val="000000"/>
          <w:sz w:val="22"/>
          <w:szCs w:val="22"/>
        </w:rPr>
      </w:pPr>
      <w:r w:rsidRPr="008A3A5D">
        <w:rPr>
          <w:rFonts w:ascii="Core Sans D 35 Regular" w:eastAsia="Times New Roman" w:hAnsi="Core Sans D 35 Regular" w:cs="Arial"/>
          <w:color w:val="000000"/>
          <w:sz w:val="22"/>
          <w:szCs w:val="22"/>
        </w:rPr>
        <w:t xml:space="preserve">2020 </w:t>
      </w:r>
      <w:hyperlink r:id="rId20" w:history="1">
        <w:r w:rsidRPr="008A3A5D">
          <w:rPr>
            <w:rFonts w:ascii="Core Sans D 35 Regular" w:eastAsia="Times New Roman" w:hAnsi="Core Sans D 35 Regular" w:cs="Arial"/>
            <w:color w:val="1155CC"/>
            <w:sz w:val="22"/>
            <w:szCs w:val="22"/>
            <w:u w:val="single"/>
          </w:rPr>
          <w:t>report</w:t>
        </w:r>
      </w:hyperlink>
      <w:r w:rsidRPr="008A3A5D">
        <w:rPr>
          <w:rFonts w:ascii="Core Sans D 35 Regular" w:eastAsia="Times New Roman" w:hAnsi="Core Sans D 35 Regular" w:cs="Arial"/>
          <w:color w:val="000000"/>
          <w:sz w:val="22"/>
          <w:szCs w:val="22"/>
        </w:rPr>
        <w:t xml:space="preserve"> has an Action List </w:t>
      </w:r>
      <w:r w:rsidR="004A1211" w:rsidRPr="008A3A5D">
        <w:rPr>
          <w:rFonts w:ascii="Core Sans D 35 Regular" w:eastAsia="Times New Roman" w:hAnsi="Core Sans D 35 Regular" w:cs="Arial"/>
          <w:color w:val="000000"/>
          <w:sz w:val="22"/>
          <w:szCs w:val="22"/>
        </w:rPr>
        <w:t>that could identify critical priorities for funding</w:t>
      </w:r>
    </w:p>
    <w:p w14:paraId="42207EE8" w14:textId="697556AB" w:rsidR="003F344C" w:rsidRPr="008A3A5D" w:rsidRDefault="005E3FEF" w:rsidP="00115820">
      <w:pPr>
        <w:numPr>
          <w:ilvl w:val="1"/>
          <w:numId w:val="9"/>
        </w:numPr>
        <w:ind w:left="1080"/>
        <w:textAlignment w:val="baseline"/>
        <w:rPr>
          <w:rFonts w:ascii="Core Sans D 35 Regular" w:eastAsia="Times New Roman" w:hAnsi="Core Sans D 35 Regular" w:cs="Arial"/>
          <w:color w:val="000000"/>
          <w:sz w:val="22"/>
          <w:szCs w:val="22"/>
        </w:rPr>
      </w:pPr>
      <w:hyperlink r:id="rId21" w:history="1">
        <w:r w:rsidR="003F344C" w:rsidRPr="008A3A5D">
          <w:rPr>
            <w:rStyle w:val="Hyperlink"/>
            <w:rFonts w:ascii="Core Sans D 35 Regular" w:eastAsia="Times New Roman" w:hAnsi="Core Sans D 35 Regular" w:cs="Arial"/>
            <w:sz w:val="22"/>
            <w:szCs w:val="22"/>
          </w:rPr>
          <w:t>E-ISAC</w:t>
        </w:r>
      </w:hyperlink>
      <w:r w:rsidR="003F344C" w:rsidRPr="008A3A5D">
        <w:rPr>
          <w:rFonts w:ascii="Core Sans D 35 Regular" w:eastAsia="Times New Roman" w:hAnsi="Core Sans D 35 Regular" w:cs="Arial"/>
          <w:color w:val="000000"/>
          <w:sz w:val="22"/>
          <w:szCs w:val="22"/>
        </w:rPr>
        <w:t xml:space="preserve"> </w:t>
      </w:r>
      <w:r w:rsidR="00182B72" w:rsidRPr="008A3A5D">
        <w:rPr>
          <w:rFonts w:ascii="Core Sans D 35 Regular" w:eastAsia="Times New Roman" w:hAnsi="Core Sans D 35 Regular" w:cs="Arial"/>
          <w:color w:val="000000"/>
          <w:sz w:val="22"/>
          <w:szCs w:val="22"/>
        </w:rPr>
        <w:t>I</w:t>
      </w:r>
      <w:r w:rsidR="003F344C" w:rsidRPr="008A3A5D">
        <w:rPr>
          <w:rFonts w:ascii="Core Sans D 35 Regular" w:eastAsia="Times New Roman" w:hAnsi="Core Sans D 35 Regular" w:cs="Arial"/>
          <w:color w:val="000000"/>
          <w:sz w:val="22"/>
          <w:szCs w:val="22"/>
        </w:rPr>
        <w:t>nvolve</w:t>
      </w:r>
      <w:r w:rsidR="00182B72" w:rsidRPr="008A3A5D">
        <w:rPr>
          <w:rFonts w:ascii="Core Sans D 35 Regular" w:eastAsia="Times New Roman" w:hAnsi="Core Sans D 35 Regular" w:cs="Arial"/>
          <w:color w:val="000000"/>
          <w:sz w:val="22"/>
          <w:szCs w:val="22"/>
        </w:rPr>
        <w:t>ment</w:t>
      </w:r>
      <w:r w:rsidR="003F344C" w:rsidRPr="008A3A5D">
        <w:rPr>
          <w:rFonts w:ascii="Core Sans D 35 Regular" w:eastAsia="Times New Roman" w:hAnsi="Core Sans D 35 Regular" w:cs="Arial"/>
          <w:color w:val="000000"/>
          <w:sz w:val="22"/>
          <w:szCs w:val="22"/>
        </w:rPr>
        <w:t> </w:t>
      </w:r>
    </w:p>
    <w:p w14:paraId="73B15F9F" w14:textId="45E330F6" w:rsidR="003F344C" w:rsidRPr="008A3A5D" w:rsidRDefault="00AB2824" w:rsidP="00115820">
      <w:pPr>
        <w:numPr>
          <w:ilvl w:val="2"/>
          <w:numId w:val="10"/>
        </w:numPr>
        <w:ind w:left="1440"/>
        <w:textAlignment w:val="baseline"/>
        <w:rPr>
          <w:rFonts w:ascii="Core Sans D 35 Regular" w:eastAsia="Times New Roman" w:hAnsi="Core Sans D 35 Regular" w:cs="Arial"/>
          <w:color w:val="000000"/>
          <w:sz w:val="22"/>
          <w:szCs w:val="22"/>
        </w:rPr>
      </w:pPr>
      <w:r w:rsidRPr="008A3A5D">
        <w:rPr>
          <w:rFonts w:ascii="Core Sans D 35 Regular" w:eastAsia="Times New Roman" w:hAnsi="Core Sans D 35 Regular" w:cs="Arial"/>
          <w:color w:val="000000"/>
          <w:sz w:val="22"/>
          <w:szCs w:val="22"/>
        </w:rPr>
        <w:t>Cooperative and Commercial Testing repository</w:t>
      </w:r>
    </w:p>
    <w:p w14:paraId="76AE52B1" w14:textId="4F9F6C0E" w:rsidR="003F344C" w:rsidRPr="008A3A5D" w:rsidRDefault="003F344C" w:rsidP="00115820">
      <w:pPr>
        <w:numPr>
          <w:ilvl w:val="2"/>
          <w:numId w:val="10"/>
        </w:numPr>
        <w:ind w:left="1440"/>
        <w:textAlignment w:val="baseline"/>
        <w:rPr>
          <w:rFonts w:ascii="Core Sans D 35 Regular" w:eastAsia="Times New Roman" w:hAnsi="Core Sans D 35 Regular" w:cs="Arial"/>
          <w:color w:val="000000"/>
          <w:sz w:val="22"/>
          <w:szCs w:val="22"/>
        </w:rPr>
      </w:pPr>
      <w:r w:rsidRPr="008A3A5D">
        <w:rPr>
          <w:rFonts w:ascii="Core Sans D 35 Regular" w:eastAsia="Times New Roman" w:hAnsi="Core Sans D 35 Regular" w:cs="Arial"/>
          <w:color w:val="000000"/>
          <w:sz w:val="22"/>
          <w:szCs w:val="22"/>
        </w:rPr>
        <w:t xml:space="preserve">Threat </w:t>
      </w:r>
      <w:r w:rsidR="00182B72" w:rsidRPr="008A3A5D">
        <w:rPr>
          <w:rFonts w:ascii="Core Sans D 35 Regular" w:eastAsia="Times New Roman" w:hAnsi="Core Sans D 35 Regular" w:cs="Arial"/>
          <w:color w:val="000000"/>
          <w:sz w:val="22"/>
          <w:szCs w:val="22"/>
        </w:rPr>
        <w:t>S</w:t>
      </w:r>
      <w:r w:rsidRPr="008A3A5D">
        <w:rPr>
          <w:rFonts w:ascii="Core Sans D 35 Regular" w:eastAsia="Times New Roman" w:hAnsi="Core Sans D 35 Regular" w:cs="Arial"/>
          <w:color w:val="000000"/>
          <w:sz w:val="22"/>
          <w:szCs w:val="22"/>
        </w:rPr>
        <w:t>haring</w:t>
      </w:r>
    </w:p>
    <w:p w14:paraId="18A73AED" w14:textId="77777777" w:rsidR="003F344C" w:rsidRPr="008A3A5D" w:rsidRDefault="003F344C" w:rsidP="00115820">
      <w:pPr>
        <w:numPr>
          <w:ilvl w:val="2"/>
          <w:numId w:val="10"/>
        </w:numPr>
        <w:ind w:left="1440"/>
        <w:textAlignment w:val="baseline"/>
        <w:rPr>
          <w:rFonts w:ascii="Core Sans D 35 Regular" w:eastAsia="Times New Roman" w:hAnsi="Core Sans D 35 Regular" w:cs="Arial"/>
          <w:color w:val="000000"/>
          <w:sz w:val="22"/>
          <w:szCs w:val="22"/>
        </w:rPr>
      </w:pPr>
      <w:r w:rsidRPr="008A3A5D">
        <w:rPr>
          <w:rFonts w:ascii="Core Sans D 35 Regular" w:eastAsia="Times New Roman" w:hAnsi="Core Sans D 35 Regular" w:cs="Arial"/>
          <w:color w:val="000000"/>
          <w:sz w:val="22"/>
          <w:szCs w:val="22"/>
        </w:rPr>
        <w:t>Coordinating body</w:t>
      </w:r>
    </w:p>
    <w:p w14:paraId="094AF4F3" w14:textId="5B5ACDD0" w:rsidR="003F344C" w:rsidRPr="008A3A5D" w:rsidRDefault="003F344C" w:rsidP="00115820">
      <w:pPr>
        <w:pStyle w:val="ListParagraph"/>
        <w:numPr>
          <w:ilvl w:val="0"/>
          <w:numId w:val="11"/>
        </w:numPr>
        <w:ind w:left="1080"/>
        <w:rPr>
          <w:rFonts w:ascii="Core Sans D 35 Regular" w:eastAsia="Times New Roman" w:hAnsi="Core Sans D 35 Regular" w:cstheme="minorHAnsi"/>
          <w:sz w:val="22"/>
          <w:szCs w:val="22"/>
        </w:rPr>
      </w:pPr>
      <w:r w:rsidRPr="008A3A5D">
        <w:rPr>
          <w:rFonts w:ascii="Core Sans D 35 Regular" w:eastAsia="Times New Roman" w:hAnsi="Core Sans D 35 Regular" w:cs="Arial"/>
          <w:color w:val="000000"/>
          <w:sz w:val="22"/>
          <w:szCs w:val="22"/>
        </w:rPr>
        <w:t>Compulsory reporting of cyber incidents</w:t>
      </w:r>
      <w:r w:rsidR="00182B72" w:rsidRPr="008A3A5D">
        <w:rPr>
          <w:rFonts w:ascii="Core Sans D 35 Regular" w:eastAsia="Times New Roman" w:hAnsi="Core Sans D 35 Regular" w:cs="Arial"/>
          <w:color w:val="000000"/>
          <w:sz w:val="22"/>
          <w:szCs w:val="22"/>
        </w:rPr>
        <w:t xml:space="preserve"> – reporting enables more data collection, further improving the ability to take smart action against threats and cyber risks</w:t>
      </w:r>
    </w:p>
    <w:p w14:paraId="2FE7EFD8" w14:textId="77777777" w:rsidR="003F344C" w:rsidRPr="008A3A5D" w:rsidRDefault="003F344C" w:rsidP="00115820">
      <w:pPr>
        <w:pStyle w:val="ListParagraph"/>
        <w:rPr>
          <w:rFonts w:ascii="Core Sans D 35 Regular" w:hAnsi="Core Sans D 35 Regular" w:cstheme="minorHAnsi"/>
          <w:sz w:val="22"/>
          <w:szCs w:val="22"/>
        </w:rPr>
      </w:pPr>
    </w:p>
    <w:p w14:paraId="49AD54A3" w14:textId="58E0DA93" w:rsidR="0046324A" w:rsidRPr="008A3A5D" w:rsidRDefault="0046324A" w:rsidP="00115820">
      <w:pPr>
        <w:rPr>
          <w:rFonts w:ascii="Core Sans D 35 Regular" w:hAnsi="Core Sans D 35 Regular" w:cstheme="minorHAnsi"/>
          <w:b/>
          <w:bCs/>
          <w:sz w:val="22"/>
          <w:szCs w:val="22"/>
        </w:rPr>
      </w:pPr>
      <w:r w:rsidRPr="008A3A5D">
        <w:rPr>
          <w:rFonts w:ascii="Core Sans D 35 Regular" w:hAnsi="Core Sans D 35 Regular" w:cstheme="minorHAnsi"/>
          <w:b/>
          <w:bCs/>
          <w:sz w:val="22"/>
          <w:szCs w:val="22"/>
        </w:rPr>
        <w:t>Mitigating Risks Associated with Potentially Compromised Grid Equipment Already Installed on the System</w:t>
      </w:r>
    </w:p>
    <w:p w14:paraId="51A86D90" w14:textId="77777777" w:rsidR="003D15A9" w:rsidRPr="008A3A5D" w:rsidRDefault="003D15A9" w:rsidP="00115820">
      <w:pPr>
        <w:pStyle w:val="ListParagraph"/>
        <w:rPr>
          <w:rFonts w:ascii="Core Sans D 35 Regular" w:hAnsi="Core Sans D 35 Regular" w:cstheme="minorHAnsi"/>
          <w:sz w:val="22"/>
          <w:szCs w:val="22"/>
        </w:rPr>
      </w:pPr>
    </w:p>
    <w:p w14:paraId="458007FA" w14:textId="77777777" w:rsidR="003D15A9" w:rsidRPr="00143C8D" w:rsidRDefault="003D15A9" w:rsidP="00115820">
      <w:pPr>
        <w:pStyle w:val="ListParagraph"/>
        <w:ind w:left="90"/>
        <w:rPr>
          <w:rFonts w:ascii="Core Sans D 35 Regular" w:hAnsi="Core Sans D 35 Regular" w:cstheme="minorHAnsi"/>
          <w:b/>
          <w:bCs/>
          <w:sz w:val="22"/>
          <w:szCs w:val="22"/>
        </w:rPr>
      </w:pPr>
      <w:r w:rsidRPr="00143C8D">
        <w:rPr>
          <w:rFonts w:ascii="Core Sans D 35 Regular" w:hAnsi="Core Sans D 35 Regular" w:cstheme="minorHAnsi"/>
          <w:b/>
          <w:bCs/>
          <w:sz w:val="22"/>
          <w:szCs w:val="22"/>
        </w:rPr>
        <w:t>Objectives:</w:t>
      </w:r>
    </w:p>
    <w:p w14:paraId="5BBED36A" w14:textId="6A330D93" w:rsidR="003D15A9" w:rsidRPr="008A3A5D" w:rsidRDefault="004A1211" w:rsidP="00115820">
      <w:pPr>
        <w:pStyle w:val="ListParagraph"/>
        <w:numPr>
          <w:ilvl w:val="0"/>
          <w:numId w:val="11"/>
        </w:numPr>
        <w:rPr>
          <w:rFonts w:ascii="Core Sans D 35 Regular" w:hAnsi="Core Sans D 35 Regular" w:cstheme="minorHAnsi"/>
          <w:sz w:val="22"/>
          <w:szCs w:val="22"/>
        </w:rPr>
      </w:pPr>
      <w:r w:rsidRPr="008A3A5D">
        <w:rPr>
          <w:rFonts w:ascii="Core Sans D 35 Regular" w:hAnsi="Core Sans D 35 Regular" w:cstheme="minorHAnsi"/>
          <w:sz w:val="22"/>
          <w:szCs w:val="22"/>
        </w:rPr>
        <w:t>Identify the components, software</w:t>
      </w:r>
      <w:r w:rsidR="00F52A55">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and systems which have the greatest potential for impact</w:t>
      </w:r>
      <w:r w:rsidR="00045010" w:rsidRPr="008A3A5D">
        <w:rPr>
          <w:rFonts w:ascii="Core Sans D 35 Regular" w:hAnsi="Core Sans D 35 Regular" w:cstheme="minorHAnsi"/>
          <w:sz w:val="22"/>
          <w:szCs w:val="22"/>
        </w:rPr>
        <w:t xml:space="preserve"> if compromised</w:t>
      </w:r>
    </w:p>
    <w:p w14:paraId="409238F2" w14:textId="44D23D33" w:rsidR="004A1211" w:rsidRPr="008A3A5D" w:rsidRDefault="004A1211" w:rsidP="00115820">
      <w:pPr>
        <w:pStyle w:val="ListParagraph"/>
        <w:numPr>
          <w:ilvl w:val="0"/>
          <w:numId w:val="11"/>
        </w:numPr>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Leverage threat analytics to assess and prioritize </w:t>
      </w:r>
      <w:r w:rsidR="00045010" w:rsidRPr="008A3A5D">
        <w:rPr>
          <w:rFonts w:ascii="Core Sans D 35 Regular" w:hAnsi="Core Sans D 35 Regular" w:cstheme="minorHAnsi"/>
          <w:sz w:val="22"/>
          <w:szCs w:val="22"/>
        </w:rPr>
        <w:t>testing and analysis of critical or high-risk equipment based on impact, source, and probability of exploitation</w:t>
      </w:r>
    </w:p>
    <w:p w14:paraId="420140E2" w14:textId="5258661B" w:rsidR="00045010" w:rsidRPr="008A3A5D" w:rsidRDefault="00045010" w:rsidP="00115820">
      <w:pPr>
        <w:pStyle w:val="ListParagraph"/>
        <w:numPr>
          <w:ilvl w:val="0"/>
          <w:numId w:val="11"/>
        </w:numPr>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Validate risks with Red Teaming and </w:t>
      </w:r>
      <w:r w:rsidR="004B5DEF" w:rsidRPr="008A3A5D">
        <w:rPr>
          <w:rFonts w:ascii="Core Sans D 35 Regular" w:hAnsi="Core Sans D 35 Regular" w:cstheme="minorHAnsi"/>
          <w:sz w:val="22"/>
          <w:szCs w:val="22"/>
        </w:rPr>
        <w:t>penetration testing to close or mitigate those risks which can be exploited</w:t>
      </w:r>
    </w:p>
    <w:p w14:paraId="77F66996" w14:textId="189EB749" w:rsidR="00045010" w:rsidRPr="008A3A5D" w:rsidRDefault="00045010" w:rsidP="00115820">
      <w:pPr>
        <w:pStyle w:val="ListParagraph"/>
        <w:numPr>
          <w:ilvl w:val="0"/>
          <w:numId w:val="11"/>
        </w:numPr>
        <w:rPr>
          <w:rFonts w:ascii="Core Sans D 35 Regular" w:hAnsi="Core Sans D 35 Regular" w:cstheme="minorHAnsi"/>
          <w:sz w:val="22"/>
          <w:szCs w:val="22"/>
        </w:rPr>
      </w:pPr>
      <w:r w:rsidRPr="008A3A5D">
        <w:rPr>
          <w:rFonts w:ascii="Core Sans D 35 Regular" w:hAnsi="Core Sans D 35 Regular" w:cstheme="minorHAnsi"/>
          <w:sz w:val="22"/>
          <w:szCs w:val="22"/>
        </w:rPr>
        <w:t>Support transition from reactive remediation to predictive security maintenance and continuous monitoring practices</w:t>
      </w:r>
    </w:p>
    <w:p w14:paraId="7F0A11B5" w14:textId="1708D6AD" w:rsidR="00045010" w:rsidRPr="008A3A5D" w:rsidRDefault="004B5DEF" w:rsidP="00115820">
      <w:pPr>
        <w:pStyle w:val="ListParagraph"/>
        <w:numPr>
          <w:ilvl w:val="0"/>
          <w:numId w:val="11"/>
        </w:numPr>
        <w:rPr>
          <w:rFonts w:ascii="Core Sans D 35 Regular" w:hAnsi="Core Sans D 35 Regular" w:cstheme="minorHAnsi"/>
          <w:sz w:val="22"/>
          <w:szCs w:val="22"/>
        </w:rPr>
      </w:pPr>
      <w:r w:rsidRPr="008A3A5D">
        <w:rPr>
          <w:rFonts w:ascii="Core Sans D 35 Regular" w:hAnsi="Core Sans D 35 Regular" w:cstheme="minorHAnsi"/>
          <w:sz w:val="22"/>
          <w:szCs w:val="22"/>
        </w:rPr>
        <w:t>Develop Plan of Action for closing security gaps and implementing a more resilient infrastructure</w:t>
      </w:r>
    </w:p>
    <w:p w14:paraId="63753AA2" w14:textId="77777777" w:rsidR="00FE709C" w:rsidRDefault="00FE709C" w:rsidP="00115820">
      <w:pPr>
        <w:pStyle w:val="ListParagraph"/>
        <w:ind w:left="90"/>
        <w:rPr>
          <w:rFonts w:ascii="Core Sans D 35 Regular" w:hAnsi="Core Sans D 35 Regular" w:cstheme="minorHAnsi"/>
          <w:b/>
          <w:bCs/>
          <w:sz w:val="22"/>
          <w:szCs w:val="22"/>
        </w:rPr>
      </w:pPr>
    </w:p>
    <w:p w14:paraId="42C1824B" w14:textId="532F9508" w:rsidR="003D15A9" w:rsidRPr="00143C8D" w:rsidRDefault="003D15A9" w:rsidP="00115820">
      <w:pPr>
        <w:pStyle w:val="ListParagraph"/>
        <w:ind w:left="90"/>
        <w:rPr>
          <w:rFonts w:ascii="Core Sans D 35 Regular" w:hAnsi="Core Sans D 35 Regular" w:cstheme="minorHAnsi"/>
          <w:b/>
          <w:bCs/>
          <w:sz w:val="22"/>
          <w:szCs w:val="22"/>
        </w:rPr>
      </w:pPr>
      <w:r w:rsidRPr="00143C8D">
        <w:rPr>
          <w:rFonts w:ascii="Core Sans D 35 Regular" w:hAnsi="Core Sans D 35 Regular" w:cstheme="minorHAnsi"/>
          <w:b/>
          <w:bCs/>
          <w:sz w:val="22"/>
          <w:szCs w:val="22"/>
        </w:rPr>
        <w:t>Method</w:t>
      </w:r>
      <w:r w:rsidR="00F52A55" w:rsidRPr="00143C8D">
        <w:rPr>
          <w:rFonts w:ascii="Core Sans D 35 Regular" w:hAnsi="Core Sans D 35 Regular" w:cstheme="minorHAnsi"/>
          <w:b/>
          <w:bCs/>
          <w:sz w:val="22"/>
          <w:szCs w:val="22"/>
        </w:rPr>
        <w:t>s</w:t>
      </w:r>
      <w:r w:rsidRPr="00143C8D">
        <w:rPr>
          <w:rFonts w:ascii="Core Sans D 35 Regular" w:hAnsi="Core Sans D 35 Regular" w:cstheme="minorHAnsi"/>
          <w:b/>
          <w:bCs/>
          <w:sz w:val="22"/>
          <w:szCs w:val="22"/>
        </w:rPr>
        <w:t>:</w:t>
      </w:r>
    </w:p>
    <w:p w14:paraId="6B386454" w14:textId="564AC042" w:rsidR="00045010" w:rsidRPr="008A3A5D" w:rsidRDefault="00045010" w:rsidP="00115820">
      <w:pPr>
        <w:ind w:firstLine="720"/>
        <w:rPr>
          <w:rFonts w:ascii="Core Sans D 35 Regular" w:eastAsia="Times New Roman" w:hAnsi="Core Sans D 35 Regular" w:cstheme="minorHAnsi"/>
          <w:sz w:val="22"/>
          <w:szCs w:val="22"/>
        </w:rPr>
      </w:pPr>
      <w:r w:rsidRPr="008A3A5D">
        <w:rPr>
          <w:rFonts w:ascii="Core Sans D 35 Regular" w:eastAsia="Times New Roman" w:hAnsi="Core Sans D 35 Regular" w:cstheme="minorHAnsi"/>
          <w:color w:val="000000"/>
          <w:sz w:val="22"/>
          <w:szCs w:val="22"/>
        </w:rPr>
        <w:t xml:space="preserve">DOE should </w:t>
      </w:r>
      <w:r w:rsidR="004B5DEF" w:rsidRPr="008A3A5D">
        <w:rPr>
          <w:rFonts w:ascii="Core Sans D 35 Regular" w:eastAsia="Times New Roman" w:hAnsi="Core Sans D 35 Regular" w:cstheme="minorHAnsi"/>
          <w:color w:val="000000"/>
          <w:sz w:val="22"/>
          <w:szCs w:val="22"/>
        </w:rPr>
        <w:t xml:space="preserve">utilize continuous monitoring of power producers and critical manufactures in their supply chain </w:t>
      </w:r>
      <w:r w:rsidR="002E7A10" w:rsidRPr="008A3A5D">
        <w:rPr>
          <w:rFonts w:ascii="Core Sans D 35 Regular" w:eastAsia="Times New Roman" w:hAnsi="Core Sans D 35 Regular" w:cstheme="minorHAnsi"/>
          <w:color w:val="000000"/>
          <w:sz w:val="22"/>
          <w:szCs w:val="22"/>
        </w:rPr>
        <w:t>and m</w:t>
      </w:r>
      <w:r w:rsidRPr="008A3A5D">
        <w:rPr>
          <w:rFonts w:ascii="Core Sans D 35 Regular" w:eastAsia="Times New Roman" w:hAnsi="Core Sans D 35 Regular" w:cstheme="minorHAnsi"/>
          <w:color w:val="000000"/>
          <w:sz w:val="22"/>
          <w:szCs w:val="22"/>
        </w:rPr>
        <w:t xml:space="preserve">aintain </w:t>
      </w:r>
      <w:r w:rsidR="004B5DEF" w:rsidRPr="008A3A5D">
        <w:rPr>
          <w:rFonts w:ascii="Core Sans D 35 Regular" w:eastAsia="Times New Roman" w:hAnsi="Core Sans D 35 Regular" w:cstheme="minorHAnsi"/>
          <w:color w:val="000000"/>
          <w:sz w:val="22"/>
          <w:szCs w:val="22"/>
        </w:rPr>
        <w:t xml:space="preserve">and share </w:t>
      </w:r>
      <w:r w:rsidRPr="008A3A5D">
        <w:rPr>
          <w:rFonts w:ascii="Core Sans D 35 Regular" w:eastAsia="Times New Roman" w:hAnsi="Core Sans D 35 Regular" w:cstheme="minorHAnsi"/>
          <w:color w:val="000000"/>
          <w:sz w:val="22"/>
          <w:szCs w:val="22"/>
        </w:rPr>
        <w:t>Cyber Risk Portfolio Reporting contain</w:t>
      </w:r>
      <w:r w:rsidR="004B5DEF" w:rsidRPr="008A3A5D">
        <w:rPr>
          <w:rFonts w:ascii="Core Sans D 35 Regular" w:eastAsia="Times New Roman" w:hAnsi="Core Sans D 35 Regular" w:cstheme="minorHAnsi"/>
          <w:color w:val="000000"/>
          <w:sz w:val="22"/>
          <w:szCs w:val="22"/>
        </w:rPr>
        <w:t>ing</w:t>
      </w:r>
      <w:r w:rsidR="00CB1604" w:rsidRPr="008A3A5D">
        <w:rPr>
          <w:rFonts w:ascii="Core Sans D 35 Regular" w:eastAsia="Times New Roman" w:hAnsi="Core Sans D 35 Regular" w:cstheme="minorHAnsi"/>
          <w:color w:val="000000"/>
          <w:sz w:val="22"/>
          <w:szCs w:val="22"/>
        </w:rPr>
        <w:t>:</w:t>
      </w:r>
    </w:p>
    <w:p w14:paraId="6D6DD00B" w14:textId="79F25813" w:rsidR="00045010" w:rsidRPr="008A3A5D" w:rsidRDefault="00045010" w:rsidP="00115820">
      <w:pPr>
        <w:numPr>
          <w:ilvl w:val="0"/>
          <w:numId w:val="3"/>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Analytic summar</w:t>
      </w:r>
      <w:r w:rsidR="00F52A55">
        <w:rPr>
          <w:rFonts w:ascii="Core Sans D 35 Regular" w:eastAsia="Times New Roman" w:hAnsi="Core Sans D 35 Regular" w:cstheme="minorHAnsi"/>
          <w:color w:val="000000"/>
          <w:sz w:val="22"/>
          <w:szCs w:val="22"/>
        </w:rPr>
        <w:t>ies</w:t>
      </w:r>
      <w:r w:rsidRPr="008A3A5D">
        <w:rPr>
          <w:rFonts w:ascii="Core Sans D 35 Regular" w:eastAsia="Times New Roman" w:hAnsi="Core Sans D 35 Regular" w:cstheme="minorHAnsi"/>
          <w:color w:val="000000"/>
          <w:sz w:val="22"/>
          <w:szCs w:val="22"/>
        </w:rPr>
        <w:t xml:space="preserve"> across the entire supplier portfolio</w:t>
      </w:r>
    </w:p>
    <w:p w14:paraId="28D314A2" w14:textId="77777777" w:rsidR="00045010" w:rsidRPr="008A3A5D" w:rsidRDefault="00045010" w:rsidP="00115820">
      <w:pPr>
        <w:numPr>
          <w:ilvl w:val="0"/>
          <w:numId w:val="3"/>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lastRenderedPageBreak/>
        <w:t>Summary of top findings for prioritization &amp; action</w:t>
      </w:r>
    </w:p>
    <w:p w14:paraId="44CB4E36" w14:textId="77777777" w:rsidR="00045010" w:rsidRPr="008A3A5D" w:rsidRDefault="00045010" w:rsidP="00115820">
      <w:pPr>
        <w:numPr>
          <w:ilvl w:val="0"/>
          <w:numId w:val="3"/>
        </w:numPr>
        <w:textAlignment w:val="baseline"/>
        <w:rPr>
          <w:rFonts w:ascii="Core Sans D 35 Regular" w:eastAsia="Times New Roman" w:hAnsi="Core Sans D 35 Regular" w:cstheme="minorHAnsi"/>
          <w:color w:val="000000"/>
          <w:sz w:val="22"/>
          <w:szCs w:val="22"/>
        </w:rPr>
      </w:pPr>
      <w:r w:rsidRPr="008A3A5D">
        <w:rPr>
          <w:rFonts w:ascii="Core Sans D 35 Regular" w:eastAsia="Times New Roman" w:hAnsi="Core Sans D 35 Regular" w:cstheme="minorHAnsi"/>
          <w:color w:val="000000"/>
          <w:sz w:val="22"/>
          <w:szCs w:val="22"/>
        </w:rPr>
        <w:t>Report of all suppliers/vendors: security rating scores and top risk vectors </w:t>
      </w:r>
    </w:p>
    <w:p w14:paraId="452E0DD9" w14:textId="73EDFFE1" w:rsidR="00BA0ABA" w:rsidRPr="008A3A5D" w:rsidRDefault="00BA0ABA" w:rsidP="00BA0ABA">
      <w:pPr>
        <w:pStyle w:val="ListParagraph"/>
        <w:rPr>
          <w:rFonts w:ascii="Core Sans D 35 Regular" w:hAnsi="Core Sans D 35 Regular" w:cstheme="minorHAnsi"/>
          <w:sz w:val="22"/>
          <w:szCs w:val="22"/>
        </w:rPr>
      </w:pPr>
    </w:p>
    <w:p w14:paraId="037D6547" w14:textId="7E07D9CD" w:rsidR="0046324A" w:rsidRPr="008A3A5D" w:rsidRDefault="0046324A" w:rsidP="0046324A">
      <w:pPr>
        <w:rPr>
          <w:rFonts w:ascii="Core Sans D 35 Regular" w:hAnsi="Core Sans D 35 Regular" w:cstheme="minorHAnsi"/>
          <w:b/>
          <w:bCs/>
          <w:sz w:val="22"/>
          <w:szCs w:val="22"/>
        </w:rPr>
      </w:pPr>
      <w:r w:rsidRPr="008A3A5D">
        <w:rPr>
          <w:rFonts w:ascii="Core Sans D 35 Regular" w:hAnsi="Core Sans D 35 Regular" w:cstheme="minorHAnsi"/>
          <w:b/>
          <w:bCs/>
          <w:sz w:val="22"/>
          <w:szCs w:val="22"/>
        </w:rPr>
        <w:t>B.  Prohibition Authority</w:t>
      </w:r>
    </w:p>
    <w:p w14:paraId="0E3B8E5A" w14:textId="1DD0D65C" w:rsidR="001C2B9A" w:rsidRPr="008A3A5D" w:rsidRDefault="001C2B9A" w:rsidP="0046324A">
      <w:pPr>
        <w:rPr>
          <w:rFonts w:ascii="Core Sans D 35 Regular" w:hAnsi="Core Sans D 35 Regular" w:cstheme="minorHAnsi"/>
          <w:sz w:val="22"/>
          <w:szCs w:val="22"/>
        </w:rPr>
      </w:pPr>
      <w:r w:rsidRPr="008A3A5D">
        <w:rPr>
          <w:rFonts w:ascii="Core Sans D 35 Regular" w:hAnsi="Core Sans D 35 Regular" w:cstheme="minorHAnsi"/>
          <w:sz w:val="22"/>
          <w:szCs w:val="22"/>
        </w:rPr>
        <w:tab/>
      </w:r>
    </w:p>
    <w:p w14:paraId="097BD492" w14:textId="77777777" w:rsidR="00F52A55" w:rsidRDefault="00974821" w:rsidP="00A10010">
      <w:pPr>
        <w:ind w:firstLine="720"/>
        <w:rPr>
          <w:rFonts w:ascii="Core Sans D 35 Regular" w:hAnsi="Core Sans D 35 Regular" w:cstheme="minorHAnsi"/>
          <w:sz w:val="22"/>
          <w:szCs w:val="22"/>
        </w:rPr>
      </w:pPr>
      <w:r w:rsidRPr="008A3A5D">
        <w:rPr>
          <w:rFonts w:ascii="Core Sans D 35 Regular" w:hAnsi="Core Sans D 35 Regular" w:cstheme="minorHAnsi"/>
          <w:sz w:val="22"/>
          <w:szCs w:val="22"/>
        </w:rPr>
        <w:t xml:space="preserve">DOE should consider </w:t>
      </w:r>
      <w:r w:rsidR="001D21E1" w:rsidRPr="008A3A5D">
        <w:rPr>
          <w:rFonts w:ascii="Core Sans D 35 Regular" w:hAnsi="Core Sans D 35 Regular" w:cstheme="minorHAnsi"/>
          <w:sz w:val="22"/>
          <w:szCs w:val="22"/>
        </w:rPr>
        <w:t xml:space="preserve">requiring Energy Sector enterprises </w:t>
      </w:r>
      <w:r w:rsidR="00721266" w:rsidRPr="008A3A5D">
        <w:rPr>
          <w:rFonts w:ascii="Core Sans D 35 Regular" w:hAnsi="Core Sans D 35 Regular" w:cstheme="minorHAnsi"/>
          <w:sz w:val="22"/>
          <w:szCs w:val="22"/>
        </w:rPr>
        <w:t>to use</w:t>
      </w:r>
      <w:r w:rsidRPr="008A3A5D">
        <w:rPr>
          <w:rFonts w:ascii="Core Sans D 35 Regular" w:hAnsi="Core Sans D 35 Regular" w:cstheme="minorHAnsi"/>
          <w:sz w:val="22"/>
          <w:szCs w:val="22"/>
        </w:rPr>
        <w:t xml:space="preserve"> the same </w:t>
      </w:r>
      <w:r w:rsidR="001D21E1" w:rsidRPr="008A3A5D">
        <w:rPr>
          <w:rFonts w:ascii="Core Sans D 35 Regular" w:hAnsi="Core Sans D 35 Regular" w:cstheme="minorHAnsi"/>
          <w:sz w:val="22"/>
          <w:szCs w:val="22"/>
        </w:rPr>
        <w:t xml:space="preserve">prohibitive </w:t>
      </w:r>
      <w:r w:rsidRPr="008A3A5D">
        <w:rPr>
          <w:rFonts w:ascii="Core Sans D 35 Regular" w:hAnsi="Core Sans D 35 Regular" w:cstheme="minorHAnsi"/>
          <w:sz w:val="22"/>
          <w:szCs w:val="22"/>
        </w:rPr>
        <w:t xml:space="preserve">approach outlined in the 2019 National Defense Authorization Act. The 2019 NDAA includes Section 889, which prohibits the federal government, government contractors, as well as grant and loan recipients from using or procuring products </w:t>
      </w:r>
      <w:r w:rsidR="007066E4" w:rsidRPr="008A3A5D">
        <w:rPr>
          <w:rFonts w:ascii="Core Sans D 35 Regular" w:hAnsi="Core Sans D 35 Regular" w:cstheme="minorHAnsi"/>
          <w:sz w:val="22"/>
          <w:szCs w:val="22"/>
        </w:rPr>
        <w:t xml:space="preserve">(referred to as covered technologies) </w:t>
      </w:r>
      <w:r w:rsidRPr="008A3A5D">
        <w:rPr>
          <w:rFonts w:ascii="Core Sans D 35 Regular" w:hAnsi="Core Sans D 35 Regular" w:cstheme="minorHAnsi"/>
          <w:sz w:val="22"/>
          <w:szCs w:val="22"/>
        </w:rPr>
        <w:t>from adversarial nations, including several Chinese telecommunications hardware, software</w:t>
      </w:r>
      <w:r w:rsidR="00F52A55">
        <w:rPr>
          <w:rFonts w:ascii="Core Sans D 35 Regular" w:hAnsi="Core Sans D 35 Regular" w:cstheme="minorHAnsi"/>
          <w:sz w:val="22"/>
          <w:szCs w:val="22"/>
        </w:rPr>
        <w:t>,</w:t>
      </w:r>
      <w:r w:rsidRPr="008A3A5D">
        <w:rPr>
          <w:rFonts w:ascii="Core Sans D 35 Regular" w:hAnsi="Core Sans D 35 Regular" w:cstheme="minorHAnsi"/>
          <w:sz w:val="22"/>
          <w:szCs w:val="22"/>
        </w:rPr>
        <w:t xml:space="preserve"> and services companies. </w:t>
      </w:r>
      <w:r w:rsidR="00F56C15" w:rsidRPr="008A3A5D">
        <w:rPr>
          <w:rFonts w:ascii="Core Sans D 35 Regular" w:hAnsi="Core Sans D 35 Regular" w:cstheme="minorHAnsi"/>
          <w:sz w:val="22"/>
          <w:szCs w:val="22"/>
        </w:rPr>
        <w:t>There are two specific parts to Section 889</w:t>
      </w:r>
      <w:r w:rsidR="007066E4" w:rsidRPr="008A3A5D">
        <w:rPr>
          <w:rFonts w:ascii="Core Sans D 35 Regular" w:hAnsi="Core Sans D 35 Regular" w:cstheme="minorHAnsi"/>
          <w:sz w:val="22"/>
          <w:szCs w:val="22"/>
        </w:rPr>
        <w:t xml:space="preserve"> that were implemented in phases</w:t>
      </w:r>
      <w:r w:rsidR="00F56C15" w:rsidRPr="008A3A5D">
        <w:rPr>
          <w:rFonts w:ascii="Core Sans D 35 Regular" w:hAnsi="Core Sans D 35 Regular" w:cstheme="minorHAnsi"/>
          <w:sz w:val="22"/>
          <w:szCs w:val="22"/>
        </w:rPr>
        <w:t xml:space="preserve">. </w:t>
      </w:r>
    </w:p>
    <w:p w14:paraId="52CFAC55" w14:textId="77777777" w:rsidR="00F52A55" w:rsidRDefault="00F56C15" w:rsidP="00F52A55">
      <w:pPr>
        <w:pStyle w:val="ListParagraph"/>
        <w:numPr>
          <w:ilvl w:val="0"/>
          <w:numId w:val="22"/>
        </w:numPr>
        <w:rPr>
          <w:rFonts w:ascii="Core Sans D 35 Regular" w:hAnsi="Core Sans D 35 Regular" w:cstheme="minorHAnsi"/>
          <w:sz w:val="22"/>
          <w:szCs w:val="22"/>
        </w:rPr>
      </w:pPr>
      <w:r w:rsidRPr="00143C8D">
        <w:rPr>
          <w:rFonts w:ascii="Core Sans D 35 Regular" w:hAnsi="Core Sans D 35 Regular" w:cstheme="minorHAnsi"/>
          <w:sz w:val="22"/>
          <w:szCs w:val="22"/>
        </w:rPr>
        <w:t>Part A</w:t>
      </w:r>
      <w:r w:rsidR="007066E4" w:rsidRPr="00143C8D">
        <w:rPr>
          <w:rFonts w:ascii="Core Sans D 35 Regular" w:hAnsi="Core Sans D 35 Regular" w:cstheme="minorHAnsi"/>
          <w:sz w:val="22"/>
          <w:szCs w:val="22"/>
        </w:rPr>
        <w:t xml:space="preserve">, which was implemented first, requires the federal government to not procure, extend, obtain, or renew contracts where covered technologies are present. </w:t>
      </w:r>
    </w:p>
    <w:p w14:paraId="6EC70037" w14:textId="77777777" w:rsidR="00F52A55" w:rsidRDefault="007066E4" w:rsidP="00F52A55">
      <w:pPr>
        <w:pStyle w:val="ListParagraph"/>
        <w:numPr>
          <w:ilvl w:val="0"/>
          <w:numId w:val="22"/>
        </w:numPr>
        <w:rPr>
          <w:rFonts w:ascii="Core Sans D 35 Regular" w:hAnsi="Core Sans D 35 Regular" w:cstheme="minorHAnsi"/>
          <w:sz w:val="22"/>
          <w:szCs w:val="22"/>
        </w:rPr>
      </w:pPr>
      <w:r w:rsidRPr="00143C8D">
        <w:rPr>
          <w:rFonts w:ascii="Core Sans D 35 Regular" w:hAnsi="Core Sans D 35 Regular" w:cstheme="minorHAnsi"/>
          <w:sz w:val="22"/>
          <w:szCs w:val="22"/>
        </w:rPr>
        <w:t xml:space="preserve">Part B goes further, implying that the government cannot do business with </w:t>
      </w:r>
      <w:r w:rsidR="000768CA" w:rsidRPr="00143C8D">
        <w:rPr>
          <w:rFonts w:ascii="Core Sans D 35 Regular" w:hAnsi="Core Sans D 35 Regular" w:cstheme="minorHAnsi"/>
          <w:sz w:val="22"/>
          <w:szCs w:val="22"/>
        </w:rPr>
        <w:t>an entity that “uses any equipment, system, or service that uses covered telecommunication equipment or services as a substantial or essential component of any system, or as critical technology as part of any system.”</w:t>
      </w:r>
      <w:r w:rsidRPr="00143C8D">
        <w:rPr>
          <w:rFonts w:ascii="Core Sans D 35 Regular" w:hAnsi="Core Sans D 35 Regular" w:cstheme="minorHAnsi"/>
          <w:sz w:val="22"/>
          <w:szCs w:val="22"/>
        </w:rPr>
        <w:t xml:space="preserve"> </w:t>
      </w:r>
    </w:p>
    <w:p w14:paraId="40B50914" w14:textId="77777777" w:rsidR="00F52A55" w:rsidRDefault="00F52A55" w:rsidP="00F52A55">
      <w:pPr>
        <w:rPr>
          <w:rFonts w:ascii="Core Sans D 35 Regular" w:hAnsi="Core Sans D 35 Regular" w:cstheme="minorHAnsi"/>
          <w:sz w:val="22"/>
          <w:szCs w:val="22"/>
        </w:rPr>
      </w:pPr>
    </w:p>
    <w:p w14:paraId="2765AB22" w14:textId="4160FC1F" w:rsidR="00137169" w:rsidRPr="00143C8D" w:rsidRDefault="007066E4" w:rsidP="00F52A55">
      <w:pPr>
        <w:ind w:firstLine="720"/>
        <w:rPr>
          <w:rFonts w:ascii="Core Sans D 35 Regular" w:hAnsi="Core Sans D 35 Regular" w:cstheme="minorHAnsi"/>
          <w:sz w:val="22"/>
          <w:szCs w:val="22"/>
        </w:rPr>
      </w:pPr>
      <w:r w:rsidRPr="00143C8D">
        <w:rPr>
          <w:rFonts w:ascii="Core Sans D 35 Regular" w:hAnsi="Core Sans D 35 Regular" w:cstheme="minorHAnsi"/>
          <w:sz w:val="22"/>
          <w:szCs w:val="22"/>
        </w:rPr>
        <w:t xml:space="preserve">Part B remains vague and requires regulatory entities to weigh in over </w:t>
      </w:r>
      <w:r w:rsidR="000768CA" w:rsidRPr="00143C8D">
        <w:rPr>
          <w:rFonts w:ascii="Core Sans D 35 Regular" w:hAnsi="Core Sans D 35 Regular" w:cstheme="minorHAnsi"/>
          <w:sz w:val="22"/>
          <w:szCs w:val="22"/>
        </w:rPr>
        <w:t>the</w:t>
      </w:r>
      <w:r w:rsidRPr="00143C8D">
        <w:rPr>
          <w:rFonts w:ascii="Core Sans D 35 Regular" w:hAnsi="Core Sans D 35 Regular" w:cstheme="minorHAnsi"/>
          <w:sz w:val="22"/>
          <w:szCs w:val="22"/>
        </w:rPr>
        <w:t xml:space="preserve"> defin</w:t>
      </w:r>
      <w:r w:rsidR="000768CA" w:rsidRPr="00143C8D">
        <w:rPr>
          <w:rFonts w:ascii="Core Sans D 35 Regular" w:hAnsi="Core Sans D 35 Regular" w:cstheme="minorHAnsi"/>
          <w:sz w:val="22"/>
          <w:szCs w:val="22"/>
        </w:rPr>
        <w:t>ition</w:t>
      </w:r>
      <w:r w:rsidRPr="00143C8D">
        <w:rPr>
          <w:rFonts w:ascii="Core Sans D 35 Regular" w:hAnsi="Core Sans D 35 Regular" w:cstheme="minorHAnsi"/>
          <w:sz w:val="22"/>
          <w:szCs w:val="22"/>
        </w:rPr>
        <w:t xml:space="preserve"> the word “use</w:t>
      </w:r>
      <w:r w:rsidR="000768CA" w:rsidRPr="00143C8D">
        <w:rPr>
          <w:rFonts w:ascii="Core Sans D 35 Regular" w:hAnsi="Core Sans D 35 Regular" w:cstheme="minorHAnsi"/>
          <w:sz w:val="22"/>
          <w:szCs w:val="22"/>
        </w:rPr>
        <w:t>s</w:t>
      </w:r>
      <w:r w:rsidRPr="00143C8D">
        <w:rPr>
          <w:rFonts w:ascii="Core Sans D 35 Regular" w:hAnsi="Core Sans D 35 Regular" w:cstheme="minorHAnsi"/>
          <w:sz w:val="22"/>
          <w:szCs w:val="22"/>
        </w:rPr>
        <w:t>”</w:t>
      </w:r>
      <w:r w:rsidR="000768CA" w:rsidRPr="00143C8D">
        <w:rPr>
          <w:rFonts w:ascii="Core Sans D 35 Regular" w:hAnsi="Core Sans D 35 Regular" w:cstheme="minorHAnsi"/>
          <w:sz w:val="22"/>
          <w:szCs w:val="22"/>
        </w:rPr>
        <w:t>, implying that an entity’s supply chain is also subject to the prohibition</w:t>
      </w:r>
      <w:r w:rsidRPr="00143C8D">
        <w:rPr>
          <w:rFonts w:ascii="Core Sans D 35 Regular" w:hAnsi="Core Sans D 35 Regular" w:cstheme="minorHAnsi"/>
          <w:sz w:val="22"/>
          <w:szCs w:val="22"/>
        </w:rPr>
        <w:t>.</w:t>
      </w:r>
      <w:r w:rsidR="000768CA" w:rsidRPr="00143C8D">
        <w:rPr>
          <w:rFonts w:ascii="Core Sans D 35 Regular" w:hAnsi="Core Sans D 35 Regular" w:cstheme="minorHAnsi"/>
          <w:sz w:val="22"/>
          <w:szCs w:val="22"/>
        </w:rPr>
        <w:t xml:space="preserve"> Implementation of Section 889 (a)(1)(B) is ongoing. The Department of Defense (DoD), General Services Administration (GSA), and National Aeronautics and Space Administration (NASA) issued an interim rule amending the Federal Acquisition Regulation (FAR) to implement Section 889. </w:t>
      </w:r>
      <w:r w:rsidR="00FC432D" w:rsidRPr="00143C8D">
        <w:rPr>
          <w:rFonts w:ascii="Core Sans D 35 Regular" w:hAnsi="Core Sans D 35 Regular" w:cstheme="minorHAnsi"/>
          <w:sz w:val="22"/>
          <w:szCs w:val="22"/>
        </w:rPr>
        <w:t xml:space="preserve">A prohibitive authority in the procurement process ensures supply chain integrity. </w:t>
      </w:r>
      <w:r w:rsidR="000768CA" w:rsidRPr="00143C8D">
        <w:rPr>
          <w:rFonts w:ascii="Core Sans D 35 Regular" w:hAnsi="Core Sans D 35 Regular" w:cstheme="minorHAnsi"/>
          <w:sz w:val="22"/>
          <w:szCs w:val="22"/>
        </w:rPr>
        <w:t xml:space="preserve"> </w:t>
      </w:r>
      <w:r w:rsidRPr="00143C8D">
        <w:rPr>
          <w:rFonts w:ascii="Core Sans D 35 Regular" w:hAnsi="Core Sans D 35 Regular" w:cstheme="minorHAnsi"/>
          <w:sz w:val="22"/>
          <w:szCs w:val="22"/>
        </w:rPr>
        <w:t xml:space="preserve"> </w:t>
      </w:r>
    </w:p>
    <w:p w14:paraId="0F1F8C6E" w14:textId="485B0943" w:rsidR="009257DB" w:rsidRDefault="009257DB" w:rsidP="00A10010">
      <w:pPr>
        <w:ind w:firstLine="720"/>
        <w:rPr>
          <w:rFonts w:ascii="Core Sans D 35 Regular" w:hAnsi="Core Sans D 35 Regular" w:cstheme="minorHAnsi"/>
          <w:sz w:val="22"/>
          <w:szCs w:val="22"/>
        </w:rPr>
      </w:pPr>
    </w:p>
    <w:p w14:paraId="0391B0C2" w14:textId="59553E24" w:rsidR="00EC016F" w:rsidRDefault="00EC016F" w:rsidP="00A10010">
      <w:pPr>
        <w:ind w:firstLine="720"/>
        <w:rPr>
          <w:rFonts w:ascii="Core Sans D 35 Regular" w:hAnsi="Core Sans D 35 Regular" w:cstheme="minorHAnsi"/>
          <w:sz w:val="22"/>
          <w:szCs w:val="22"/>
        </w:rPr>
      </w:pPr>
    </w:p>
    <w:p w14:paraId="363DC79E" w14:textId="77777777" w:rsidR="006C234C" w:rsidRDefault="006C234C" w:rsidP="00A10010">
      <w:pPr>
        <w:ind w:firstLine="720"/>
        <w:rPr>
          <w:rFonts w:ascii="Core Sans D 35 Regular" w:hAnsi="Core Sans D 35 Regular" w:cstheme="minorHAnsi"/>
          <w:sz w:val="22"/>
          <w:szCs w:val="22"/>
        </w:rPr>
      </w:pPr>
    </w:p>
    <w:p w14:paraId="677F3D1C" w14:textId="4CC571EE" w:rsidR="009257DB" w:rsidRDefault="009257DB" w:rsidP="00B76F78">
      <w:pPr>
        <w:ind w:firstLine="720"/>
        <w:rPr>
          <w:rFonts w:ascii="Core Sans D 35 Regular" w:hAnsi="Core Sans D 35 Regular" w:cstheme="minorHAnsi"/>
          <w:sz w:val="22"/>
          <w:szCs w:val="22"/>
        </w:rPr>
      </w:pPr>
      <w:r>
        <w:rPr>
          <w:rFonts w:ascii="Core Sans D 35 Regular" w:hAnsi="Core Sans D 35 Regular" w:cstheme="minorHAnsi"/>
          <w:sz w:val="22"/>
          <w:szCs w:val="22"/>
        </w:rPr>
        <w:t>Attachment A: Example Cyber Risk Scorecard In-Depth - Colonial Pipeline</w:t>
      </w:r>
      <w:r w:rsidR="00143C8D">
        <w:rPr>
          <w:rFonts w:ascii="Core Sans D 35 Regular" w:hAnsi="Core Sans D 35 Regular" w:cstheme="minorHAnsi"/>
          <w:sz w:val="22"/>
          <w:szCs w:val="22"/>
        </w:rPr>
        <w:t xml:space="preserve">; automated cyber risk identification, prioritization, maturity model baseline, FAIR Model and action plan report generated from publicly available threat trend and risk global data sets and AI based risk analytics. </w:t>
      </w:r>
    </w:p>
    <w:p w14:paraId="4DB082D7" w14:textId="0798419C" w:rsidR="007A0729" w:rsidRDefault="007A0729" w:rsidP="00B76F78">
      <w:pPr>
        <w:ind w:firstLine="720"/>
        <w:rPr>
          <w:rFonts w:ascii="Core Sans D 35 Regular" w:hAnsi="Core Sans D 35 Regular" w:cstheme="minorHAnsi"/>
          <w:sz w:val="22"/>
          <w:szCs w:val="22"/>
        </w:rPr>
      </w:pPr>
    </w:p>
    <w:p w14:paraId="121E5389" w14:textId="77777777" w:rsidR="007A0729" w:rsidRDefault="007A0729" w:rsidP="007A0729">
      <w:pPr>
        <w:autoSpaceDE w:val="0"/>
        <w:autoSpaceDN w:val="0"/>
        <w:spacing w:line="360" w:lineRule="atLeast"/>
        <w:rPr>
          <w:rFonts w:ascii="Core Sans D 25 Light" w:eastAsiaTheme="minorEastAsia" w:hAnsi="Core Sans D 25 Light" w:cs="Calibri"/>
          <w:noProof/>
          <w:color w:val="000000"/>
        </w:rPr>
      </w:pPr>
      <w:bookmarkStart w:id="0" w:name="_MailAutoSig"/>
      <w:r>
        <w:rPr>
          <w:rFonts w:ascii="Core Sans D 25 Light" w:eastAsiaTheme="minorEastAsia" w:hAnsi="Core Sans D 25 Light" w:cs="Calibri"/>
          <w:b/>
          <w:bCs/>
          <w:noProof/>
          <w:color w:val="272727"/>
        </w:rPr>
        <w:t>Terry Roberts</w:t>
      </w:r>
    </w:p>
    <w:p w14:paraId="307760BF" w14:textId="77777777" w:rsidR="007A0729" w:rsidRDefault="007A0729" w:rsidP="007A0729">
      <w:pPr>
        <w:autoSpaceDE w:val="0"/>
        <w:autoSpaceDN w:val="0"/>
        <w:spacing w:line="340" w:lineRule="atLeast"/>
        <w:rPr>
          <w:rFonts w:ascii="Core Sans D 25 Light" w:eastAsiaTheme="minorEastAsia" w:hAnsi="Core Sans D 25 Light" w:cs="Calibri"/>
          <w:noProof/>
          <w:color w:val="000000"/>
        </w:rPr>
      </w:pPr>
      <w:r>
        <w:rPr>
          <w:rFonts w:ascii="Core Sans D 25 Light" w:eastAsiaTheme="minorEastAsia" w:hAnsi="Core Sans D 25 Light" w:cs="Calibri"/>
          <w:noProof/>
          <w:color w:val="535353"/>
          <w:sz w:val="22"/>
          <w:szCs w:val="22"/>
        </w:rPr>
        <w:t>Founder, President &amp; CEO </w:t>
      </w:r>
    </w:p>
    <w:p w14:paraId="6EC75F24" w14:textId="77777777" w:rsidR="007A0729" w:rsidRDefault="007A0729" w:rsidP="007A0729">
      <w:pPr>
        <w:autoSpaceDE w:val="0"/>
        <w:autoSpaceDN w:val="0"/>
        <w:spacing w:line="340" w:lineRule="atLeast"/>
        <w:rPr>
          <w:rFonts w:ascii="Core Sans D 25 Light" w:eastAsiaTheme="minorEastAsia" w:hAnsi="Core Sans D 25 Light" w:cs="Calibri"/>
          <w:noProof/>
          <w:color w:val="000000"/>
        </w:rPr>
      </w:pPr>
      <w:r>
        <w:rPr>
          <w:rFonts w:ascii="Core Sans D 25 Light" w:eastAsiaTheme="minorEastAsia" w:hAnsi="Core Sans D 25 Light" w:cs="Calibri"/>
          <w:noProof/>
          <w:color w:val="535353"/>
          <w:sz w:val="22"/>
          <w:szCs w:val="22"/>
        </w:rPr>
        <w:t>WhiteHawk Inc. </w:t>
      </w:r>
    </w:p>
    <w:p w14:paraId="7199ED86" w14:textId="77777777" w:rsidR="007A0729" w:rsidRDefault="007A0729" w:rsidP="007A0729">
      <w:pPr>
        <w:autoSpaceDE w:val="0"/>
        <w:autoSpaceDN w:val="0"/>
        <w:spacing w:line="340" w:lineRule="atLeast"/>
        <w:rPr>
          <w:rFonts w:ascii="Core Sans D 25 Light" w:eastAsiaTheme="minorEastAsia" w:hAnsi="Core Sans D 25 Light" w:cs="Calibri"/>
          <w:noProof/>
          <w:color w:val="000000"/>
        </w:rPr>
      </w:pPr>
      <w:r>
        <w:rPr>
          <w:rFonts w:ascii="Core Sans D 25 Light" w:eastAsiaTheme="minorEastAsia" w:hAnsi="Core Sans D 25 Light" w:cs="Calibri"/>
          <w:noProof/>
          <w:color w:val="535353"/>
          <w:sz w:val="22"/>
          <w:szCs w:val="22"/>
        </w:rPr>
        <w:t>CyberSecurity Exchange </w:t>
      </w:r>
    </w:p>
    <w:p w14:paraId="74263CF5" w14:textId="77777777" w:rsidR="007A0729" w:rsidRDefault="007A0729" w:rsidP="007A0729">
      <w:pPr>
        <w:autoSpaceDE w:val="0"/>
        <w:autoSpaceDN w:val="0"/>
        <w:spacing w:line="340" w:lineRule="atLeast"/>
        <w:rPr>
          <w:rFonts w:ascii="Core Sans D 25 Light" w:eastAsiaTheme="minorEastAsia" w:hAnsi="Core Sans D 25 Light" w:cs="Calibri"/>
          <w:noProof/>
          <w:color w:val="000000"/>
        </w:rPr>
      </w:pPr>
      <w:hyperlink r:id="rId22" w:history="1">
        <w:r>
          <w:rPr>
            <w:rStyle w:val="Hyperlink"/>
            <w:rFonts w:ascii="Core Sans D 25 Light" w:eastAsiaTheme="minorEastAsia" w:hAnsi="Core Sans D 25 Light" w:cs="Calibri"/>
            <w:noProof/>
            <w:color w:val="0950D0"/>
            <w:sz w:val="22"/>
            <w:szCs w:val="22"/>
          </w:rPr>
          <w:t>www.whitehawk.com </w:t>
        </w:r>
      </w:hyperlink>
    </w:p>
    <w:p w14:paraId="79FD8766" w14:textId="5FF20875" w:rsidR="007A0729" w:rsidRDefault="007A0729" w:rsidP="007A0729">
      <w:pPr>
        <w:autoSpaceDE w:val="0"/>
        <w:autoSpaceDN w:val="0"/>
        <w:spacing w:line="340" w:lineRule="atLeast"/>
        <w:rPr>
          <w:rFonts w:ascii="Core Sans D 25 Light" w:eastAsiaTheme="minorEastAsia" w:hAnsi="Core Sans D 25 Light" w:cs="Calibri"/>
          <w:noProof/>
          <w:color w:val="000000"/>
          <w:sz w:val="32"/>
          <w:szCs w:val="32"/>
        </w:rPr>
      </w:pPr>
      <w:r>
        <w:rPr>
          <w:rFonts w:ascii="Core Sans D 25 Light" w:eastAsiaTheme="minorEastAsia" w:hAnsi="Core Sans D 25 Light" w:cs="Calibri"/>
          <w:noProof/>
          <w:color w:val="000000"/>
          <w:sz w:val="32"/>
          <w:szCs w:val="32"/>
        </w:rPr>
        <w:t> </w:t>
      </w:r>
      <w:r>
        <w:rPr>
          <w:rFonts w:ascii="Core Sans D 25 Light" w:eastAsiaTheme="minorEastAsia" w:hAnsi="Core Sans D 25 Light" w:cs="Calibri"/>
          <w:noProof/>
          <w:color w:val="000000"/>
          <w:sz w:val="32"/>
          <w:szCs w:val="32"/>
        </w:rPr>
        <w:drawing>
          <wp:inline distT="0" distB="0" distL="0" distR="0" wp14:anchorId="77C3158A" wp14:editId="14AA2FA2">
            <wp:extent cx="1651000" cy="368300"/>
            <wp:effectExtent l="0" t="0" r="0" b="0"/>
            <wp:docPr id="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1000" cy="368300"/>
                    </a:xfrm>
                    <a:prstGeom prst="rect">
                      <a:avLst/>
                    </a:prstGeom>
                    <a:noFill/>
                    <a:ln>
                      <a:noFill/>
                    </a:ln>
                  </pic:spPr>
                </pic:pic>
              </a:graphicData>
            </a:graphic>
          </wp:inline>
        </w:drawing>
      </w:r>
    </w:p>
    <w:p w14:paraId="0E4052C3" w14:textId="77777777" w:rsidR="007A0729" w:rsidRDefault="007A0729" w:rsidP="007A0729">
      <w:pPr>
        <w:rPr>
          <w:rFonts w:ascii="Calibri" w:eastAsiaTheme="minorEastAsia" w:hAnsi="Calibri" w:cs="Calibri"/>
          <w:noProof/>
          <w:color w:val="000000"/>
        </w:rPr>
      </w:pPr>
      <w:r>
        <w:rPr>
          <w:rFonts w:ascii="Core Sans D 35 Regular" w:eastAsiaTheme="minorEastAsia" w:hAnsi="Core Sans D 35 Regular" w:cs="Calibri"/>
          <w:noProof/>
          <w:color w:val="0020F4"/>
        </w:rPr>
        <w:t>Our new address is:</w:t>
      </w:r>
    </w:p>
    <w:p w14:paraId="54B3BC4F" w14:textId="77777777" w:rsidR="007A0729" w:rsidRDefault="007A0729" w:rsidP="007A0729">
      <w:pPr>
        <w:rPr>
          <w:rFonts w:ascii="Calibri" w:eastAsiaTheme="minorEastAsia" w:hAnsi="Calibri" w:cs="Calibri"/>
          <w:noProof/>
          <w:color w:val="000000"/>
        </w:rPr>
      </w:pPr>
      <w:hyperlink r:id="rId24" w:tooltip="https://goo.gl/maps/J6GsMggjYZfCPLF7A" w:history="1">
        <w:r>
          <w:rPr>
            <w:rStyle w:val="Hyperlink"/>
            <w:rFonts w:ascii="Core Sans D 35 Regular" w:eastAsiaTheme="minorEastAsia" w:hAnsi="Core Sans D 35 Regular" w:cs="Calibri"/>
            <w:noProof/>
            <w:color w:val="0020F4"/>
          </w:rPr>
          <w:t>515 King Street, Suite 450</w:t>
        </w:r>
      </w:hyperlink>
    </w:p>
    <w:p w14:paraId="0E4C08C1" w14:textId="77777777" w:rsidR="007A0729" w:rsidRDefault="007A0729" w:rsidP="007A0729">
      <w:pPr>
        <w:rPr>
          <w:rFonts w:ascii="Calibri" w:eastAsiaTheme="minorEastAsia" w:hAnsi="Calibri" w:cs="Calibri"/>
          <w:noProof/>
          <w:color w:val="000000"/>
        </w:rPr>
      </w:pPr>
      <w:hyperlink r:id="rId25" w:tooltip="https://goo.gl/maps/J6GsMggjYZfCPLF7A" w:history="1">
        <w:r>
          <w:rPr>
            <w:rStyle w:val="Hyperlink"/>
            <w:rFonts w:ascii="Core Sans D 35 Regular" w:eastAsiaTheme="minorEastAsia" w:hAnsi="Core Sans D 35 Regular" w:cs="Calibri"/>
            <w:noProof/>
            <w:color w:val="0020F4"/>
          </w:rPr>
          <w:t>Alexandria, VA 22314</w:t>
        </w:r>
      </w:hyperlink>
    </w:p>
    <w:p w14:paraId="15F896BA" w14:textId="77777777" w:rsidR="007A0729" w:rsidRDefault="007A0729" w:rsidP="007A0729">
      <w:pPr>
        <w:rPr>
          <w:rFonts w:ascii="Calibri" w:eastAsiaTheme="minorEastAsia" w:hAnsi="Calibri" w:cs="Calibri"/>
          <w:noProof/>
          <w:sz w:val="22"/>
          <w:szCs w:val="22"/>
        </w:rPr>
      </w:pPr>
    </w:p>
    <w:bookmarkEnd w:id="0"/>
    <w:p w14:paraId="7CBB2366" w14:textId="77777777" w:rsidR="007A0729" w:rsidRDefault="007A0729" w:rsidP="007A0729"/>
    <w:p w14:paraId="7719A66E" w14:textId="77777777" w:rsidR="007A0729" w:rsidRPr="003C1CE0" w:rsidRDefault="007A0729" w:rsidP="00B76F78">
      <w:pPr>
        <w:ind w:firstLine="720"/>
        <w:rPr>
          <w:rFonts w:cstheme="minorHAnsi"/>
        </w:rPr>
      </w:pPr>
    </w:p>
    <w:sectPr w:rsidR="007A0729" w:rsidRPr="003C1CE0" w:rsidSect="00E55F0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55B2A" w14:textId="77777777" w:rsidR="005E3FEF" w:rsidRDefault="005E3FEF" w:rsidP="001550FE">
      <w:r>
        <w:separator/>
      </w:r>
    </w:p>
  </w:endnote>
  <w:endnote w:type="continuationSeparator" w:id="0">
    <w:p w14:paraId="7E476942" w14:textId="77777777" w:rsidR="005E3FEF" w:rsidRDefault="005E3FEF" w:rsidP="0015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e Sans D 35 Regular">
    <w:altName w:val="﷽﷽﷽﷽﷽﷽﷽﷽"/>
    <w:panose1 w:val="020B0503030302020204"/>
    <w:charset w:val="4D"/>
    <w:family w:val="swiss"/>
    <w:notTrueType/>
    <w:pitch w:val="variable"/>
    <w:sig w:usb0="A000026F" w:usb1="500078FB"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e Sans D 25 Light">
    <w:altName w:val="﷽﷽﷽﷽﷽﷽﷽﷽"/>
    <w:panose1 w:val="020B0303030302020204"/>
    <w:charset w:val="4D"/>
    <w:family w:val="swiss"/>
    <w:notTrueType/>
    <w:pitch w:val="variable"/>
    <w:sig w:usb0="A000026F" w:usb1="500078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280546"/>
      <w:docPartObj>
        <w:docPartGallery w:val="Page Numbers (Bottom of Page)"/>
        <w:docPartUnique/>
      </w:docPartObj>
    </w:sdtPr>
    <w:sdtEndPr>
      <w:rPr>
        <w:noProof/>
      </w:rPr>
    </w:sdtEndPr>
    <w:sdtContent>
      <w:p w14:paraId="5332267D" w14:textId="5729EAC9" w:rsidR="001550FE" w:rsidRDefault="00155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99396D" w14:textId="77777777" w:rsidR="001550FE" w:rsidRDefault="00155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99992" w14:textId="77777777" w:rsidR="005E3FEF" w:rsidRDefault="005E3FEF" w:rsidP="001550FE">
      <w:r>
        <w:separator/>
      </w:r>
    </w:p>
  </w:footnote>
  <w:footnote w:type="continuationSeparator" w:id="0">
    <w:p w14:paraId="20B27897" w14:textId="77777777" w:rsidR="005E3FEF" w:rsidRDefault="005E3FEF" w:rsidP="00155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1677"/>
    <w:multiLevelType w:val="hybridMultilevel"/>
    <w:tmpl w:val="52ECC362"/>
    <w:lvl w:ilvl="0" w:tplc="C01A3838">
      <w:start w:val="1"/>
      <w:numFmt w:val="bullet"/>
      <w:lvlText w:val="ü"/>
      <w:lvlJc w:val="left"/>
      <w:pPr>
        <w:tabs>
          <w:tab w:val="num" w:pos="1440"/>
        </w:tabs>
        <w:ind w:left="144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8BCCDDE" w:tentative="1">
      <w:start w:val="1"/>
      <w:numFmt w:val="bullet"/>
      <w:lvlText w:val="ü"/>
      <w:lvlJc w:val="left"/>
      <w:pPr>
        <w:tabs>
          <w:tab w:val="num" w:pos="2880"/>
        </w:tabs>
        <w:ind w:left="2880" w:hanging="360"/>
      </w:pPr>
      <w:rPr>
        <w:rFonts w:ascii="Wingdings" w:hAnsi="Wingdings" w:hint="default"/>
      </w:rPr>
    </w:lvl>
    <w:lvl w:ilvl="3" w:tplc="3D8CB3A4" w:tentative="1">
      <w:start w:val="1"/>
      <w:numFmt w:val="bullet"/>
      <w:lvlText w:val="ü"/>
      <w:lvlJc w:val="left"/>
      <w:pPr>
        <w:tabs>
          <w:tab w:val="num" w:pos="3600"/>
        </w:tabs>
        <w:ind w:left="3600" w:hanging="360"/>
      </w:pPr>
      <w:rPr>
        <w:rFonts w:ascii="Wingdings" w:hAnsi="Wingdings" w:hint="default"/>
      </w:rPr>
    </w:lvl>
    <w:lvl w:ilvl="4" w:tplc="2494BCEC" w:tentative="1">
      <w:start w:val="1"/>
      <w:numFmt w:val="bullet"/>
      <w:lvlText w:val="ü"/>
      <w:lvlJc w:val="left"/>
      <w:pPr>
        <w:tabs>
          <w:tab w:val="num" w:pos="4320"/>
        </w:tabs>
        <w:ind w:left="4320" w:hanging="360"/>
      </w:pPr>
      <w:rPr>
        <w:rFonts w:ascii="Wingdings" w:hAnsi="Wingdings" w:hint="default"/>
      </w:rPr>
    </w:lvl>
    <w:lvl w:ilvl="5" w:tplc="5A409EEA" w:tentative="1">
      <w:start w:val="1"/>
      <w:numFmt w:val="bullet"/>
      <w:lvlText w:val="ü"/>
      <w:lvlJc w:val="left"/>
      <w:pPr>
        <w:tabs>
          <w:tab w:val="num" w:pos="5040"/>
        </w:tabs>
        <w:ind w:left="5040" w:hanging="360"/>
      </w:pPr>
      <w:rPr>
        <w:rFonts w:ascii="Wingdings" w:hAnsi="Wingdings" w:hint="default"/>
      </w:rPr>
    </w:lvl>
    <w:lvl w:ilvl="6" w:tplc="FC4A33EE" w:tentative="1">
      <w:start w:val="1"/>
      <w:numFmt w:val="bullet"/>
      <w:lvlText w:val="ü"/>
      <w:lvlJc w:val="left"/>
      <w:pPr>
        <w:tabs>
          <w:tab w:val="num" w:pos="5760"/>
        </w:tabs>
        <w:ind w:left="5760" w:hanging="360"/>
      </w:pPr>
      <w:rPr>
        <w:rFonts w:ascii="Wingdings" w:hAnsi="Wingdings" w:hint="default"/>
      </w:rPr>
    </w:lvl>
    <w:lvl w:ilvl="7" w:tplc="BC48C0F2" w:tentative="1">
      <w:start w:val="1"/>
      <w:numFmt w:val="bullet"/>
      <w:lvlText w:val="ü"/>
      <w:lvlJc w:val="left"/>
      <w:pPr>
        <w:tabs>
          <w:tab w:val="num" w:pos="6480"/>
        </w:tabs>
        <w:ind w:left="6480" w:hanging="360"/>
      </w:pPr>
      <w:rPr>
        <w:rFonts w:ascii="Wingdings" w:hAnsi="Wingdings" w:hint="default"/>
      </w:rPr>
    </w:lvl>
    <w:lvl w:ilvl="8" w:tplc="9D544B94" w:tentative="1">
      <w:start w:val="1"/>
      <w:numFmt w:val="bullet"/>
      <w:lvlText w:val="ü"/>
      <w:lvlJc w:val="left"/>
      <w:pPr>
        <w:tabs>
          <w:tab w:val="num" w:pos="7200"/>
        </w:tabs>
        <w:ind w:left="7200" w:hanging="360"/>
      </w:pPr>
      <w:rPr>
        <w:rFonts w:ascii="Wingdings" w:hAnsi="Wingdings" w:hint="default"/>
      </w:rPr>
    </w:lvl>
  </w:abstractNum>
  <w:abstractNum w:abstractNumId="1" w15:restartNumberingAfterBreak="0">
    <w:nsid w:val="02756AD7"/>
    <w:multiLevelType w:val="multilevel"/>
    <w:tmpl w:val="EB44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47C43"/>
    <w:multiLevelType w:val="hybridMultilevel"/>
    <w:tmpl w:val="87FEA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BC0B12"/>
    <w:multiLevelType w:val="hybridMultilevel"/>
    <w:tmpl w:val="4CE08B48"/>
    <w:lvl w:ilvl="0" w:tplc="C01A3838">
      <w:start w:val="1"/>
      <w:numFmt w:val="bullet"/>
      <w:pStyle w:val="WH-BulletLevel1"/>
      <w:lvlText w:val="ü"/>
      <w:lvlJc w:val="left"/>
      <w:pPr>
        <w:tabs>
          <w:tab w:val="num" w:pos="1440"/>
        </w:tabs>
        <w:ind w:left="1440" w:hanging="360"/>
      </w:pPr>
      <w:rPr>
        <w:rFonts w:ascii="Wingdings" w:hAnsi="Wingdings" w:hint="default"/>
      </w:rPr>
    </w:lvl>
    <w:lvl w:ilvl="1" w:tplc="3420121C">
      <w:start w:val="1"/>
      <w:numFmt w:val="bullet"/>
      <w:lvlText w:val="ü"/>
      <w:lvlJc w:val="left"/>
      <w:pPr>
        <w:tabs>
          <w:tab w:val="num" w:pos="2160"/>
        </w:tabs>
        <w:ind w:left="2160" w:hanging="360"/>
      </w:pPr>
      <w:rPr>
        <w:rFonts w:ascii="Wingdings" w:hAnsi="Wingdings" w:hint="default"/>
      </w:rPr>
    </w:lvl>
    <w:lvl w:ilvl="2" w:tplc="F8BCCDDE" w:tentative="1">
      <w:start w:val="1"/>
      <w:numFmt w:val="bullet"/>
      <w:lvlText w:val="ü"/>
      <w:lvlJc w:val="left"/>
      <w:pPr>
        <w:tabs>
          <w:tab w:val="num" w:pos="2880"/>
        </w:tabs>
        <w:ind w:left="2880" w:hanging="360"/>
      </w:pPr>
      <w:rPr>
        <w:rFonts w:ascii="Wingdings" w:hAnsi="Wingdings" w:hint="default"/>
      </w:rPr>
    </w:lvl>
    <w:lvl w:ilvl="3" w:tplc="3D8CB3A4" w:tentative="1">
      <w:start w:val="1"/>
      <w:numFmt w:val="bullet"/>
      <w:lvlText w:val="ü"/>
      <w:lvlJc w:val="left"/>
      <w:pPr>
        <w:tabs>
          <w:tab w:val="num" w:pos="3600"/>
        </w:tabs>
        <w:ind w:left="3600" w:hanging="360"/>
      </w:pPr>
      <w:rPr>
        <w:rFonts w:ascii="Wingdings" w:hAnsi="Wingdings" w:hint="default"/>
      </w:rPr>
    </w:lvl>
    <w:lvl w:ilvl="4" w:tplc="2494BCEC" w:tentative="1">
      <w:start w:val="1"/>
      <w:numFmt w:val="bullet"/>
      <w:lvlText w:val="ü"/>
      <w:lvlJc w:val="left"/>
      <w:pPr>
        <w:tabs>
          <w:tab w:val="num" w:pos="4320"/>
        </w:tabs>
        <w:ind w:left="4320" w:hanging="360"/>
      </w:pPr>
      <w:rPr>
        <w:rFonts w:ascii="Wingdings" w:hAnsi="Wingdings" w:hint="default"/>
      </w:rPr>
    </w:lvl>
    <w:lvl w:ilvl="5" w:tplc="5A409EEA" w:tentative="1">
      <w:start w:val="1"/>
      <w:numFmt w:val="bullet"/>
      <w:lvlText w:val="ü"/>
      <w:lvlJc w:val="left"/>
      <w:pPr>
        <w:tabs>
          <w:tab w:val="num" w:pos="5040"/>
        </w:tabs>
        <w:ind w:left="5040" w:hanging="360"/>
      </w:pPr>
      <w:rPr>
        <w:rFonts w:ascii="Wingdings" w:hAnsi="Wingdings" w:hint="default"/>
      </w:rPr>
    </w:lvl>
    <w:lvl w:ilvl="6" w:tplc="FC4A33EE" w:tentative="1">
      <w:start w:val="1"/>
      <w:numFmt w:val="bullet"/>
      <w:lvlText w:val="ü"/>
      <w:lvlJc w:val="left"/>
      <w:pPr>
        <w:tabs>
          <w:tab w:val="num" w:pos="5760"/>
        </w:tabs>
        <w:ind w:left="5760" w:hanging="360"/>
      </w:pPr>
      <w:rPr>
        <w:rFonts w:ascii="Wingdings" w:hAnsi="Wingdings" w:hint="default"/>
      </w:rPr>
    </w:lvl>
    <w:lvl w:ilvl="7" w:tplc="BC48C0F2" w:tentative="1">
      <w:start w:val="1"/>
      <w:numFmt w:val="bullet"/>
      <w:lvlText w:val="ü"/>
      <w:lvlJc w:val="left"/>
      <w:pPr>
        <w:tabs>
          <w:tab w:val="num" w:pos="6480"/>
        </w:tabs>
        <w:ind w:left="6480" w:hanging="360"/>
      </w:pPr>
      <w:rPr>
        <w:rFonts w:ascii="Wingdings" w:hAnsi="Wingdings" w:hint="default"/>
      </w:rPr>
    </w:lvl>
    <w:lvl w:ilvl="8" w:tplc="9D544B94" w:tentative="1">
      <w:start w:val="1"/>
      <w:numFmt w:val="bullet"/>
      <w:lvlText w:val="ü"/>
      <w:lvlJc w:val="left"/>
      <w:pPr>
        <w:tabs>
          <w:tab w:val="num" w:pos="7200"/>
        </w:tabs>
        <w:ind w:left="7200" w:hanging="360"/>
      </w:pPr>
      <w:rPr>
        <w:rFonts w:ascii="Wingdings" w:hAnsi="Wingdings" w:hint="default"/>
      </w:rPr>
    </w:lvl>
  </w:abstractNum>
  <w:abstractNum w:abstractNumId="4" w15:restartNumberingAfterBreak="0">
    <w:nsid w:val="10A1297D"/>
    <w:multiLevelType w:val="hybridMultilevel"/>
    <w:tmpl w:val="CBD68C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D4C34"/>
    <w:multiLevelType w:val="hybridMultilevel"/>
    <w:tmpl w:val="1B94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22BD5"/>
    <w:multiLevelType w:val="hybridMultilevel"/>
    <w:tmpl w:val="B0647E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DC2A21"/>
    <w:multiLevelType w:val="hybridMultilevel"/>
    <w:tmpl w:val="E85C9E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DF63A6"/>
    <w:multiLevelType w:val="hybridMultilevel"/>
    <w:tmpl w:val="FCA03C66"/>
    <w:lvl w:ilvl="0" w:tplc="04090019">
      <w:start w:val="1"/>
      <w:numFmt w:val="low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291D6E8C"/>
    <w:multiLevelType w:val="hybridMultilevel"/>
    <w:tmpl w:val="33547332"/>
    <w:lvl w:ilvl="0" w:tplc="1A1CFA9E">
      <w:start w:val="1"/>
      <w:numFmt w:val="lowerLetter"/>
      <w:lvlText w:val="%1."/>
      <w:lvlJc w:val="left"/>
      <w:pPr>
        <w:ind w:left="720" w:hanging="360"/>
      </w:pPr>
      <w:rPr>
        <w:rFonts w:ascii="Core Sans D 35 Regular" w:eastAsia="Times New Roman" w:hAnsi="Core Sans D 35 Regular"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87491"/>
    <w:multiLevelType w:val="hybridMultilevel"/>
    <w:tmpl w:val="7BF0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60C69"/>
    <w:multiLevelType w:val="multilevel"/>
    <w:tmpl w:val="9A9A9C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042697C"/>
    <w:multiLevelType w:val="hybridMultilevel"/>
    <w:tmpl w:val="2BF6C3C6"/>
    <w:lvl w:ilvl="0" w:tplc="C01A3838">
      <w:start w:val="1"/>
      <w:numFmt w:val="bullet"/>
      <w:lvlText w:val="ü"/>
      <w:lvlJc w:val="left"/>
      <w:pPr>
        <w:tabs>
          <w:tab w:val="num" w:pos="1440"/>
        </w:tabs>
        <w:ind w:left="144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8BCCDDE" w:tentative="1">
      <w:start w:val="1"/>
      <w:numFmt w:val="bullet"/>
      <w:lvlText w:val="ü"/>
      <w:lvlJc w:val="left"/>
      <w:pPr>
        <w:tabs>
          <w:tab w:val="num" w:pos="2880"/>
        </w:tabs>
        <w:ind w:left="2880" w:hanging="360"/>
      </w:pPr>
      <w:rPr>
        <w:rFonts w:ascii="Wingdings" w:hAnsi="Wingdings" w:hint="default"/>
      </w:rPr>
    </w:lvl>
    <w:lvl w:ilvl="3" w:tplc="3D8CB3A4" w:tentative="1">
      <w:start w:val="1"/>
      <w:numFmt w:val="bullet"/>
      <w:lvlText w:val="ü"/>
      <w:lvlJc w:val="left"/>
      <w:pPr>
        <w:tabs>
          <w:tab w:val="num" w:pos="3600"/>
        </w:tabs>
        <w:ind w:left="3600" w:hanging="360"/>
      </w:pPr>
      <w:rPr>
        <w:rFonts w:ascii="Wingdings" w:hAnsi="Wingdings" w:hint="default"/>
      </w:rPr>
    </w:lvl>
    <w:lvl w:ilvl="4" w:tplc="2494BCEC" w:tentative="1">
      <w:start w:val="1"/>
      <w:numFmt w:val="bullet"/>
      <w:lvlText w:val="ü"/>
      <w:lvlJc w:val="left"/>
      <w:pPr>
        <w:tabs>
          <w:tab w:val="num" w:pos="4320"/>
        </w:tabs>
        <w:ind w:left="4320" w:hanging="360"/>
      </w:pPr>
      <w:rPr>
        <w:rFonts w:ascii="Wingdings" w:hAnsi="Wingdings" w:hint="default"/>
      </w:rPr>
    </w:lvl>
    <w:lvl w:ilvl="5" w:tplc="5A409EEA" w:tentative="1">
      <w:start w:val="1"/>
      <w:numFmt w:val="bullet"/>
      <w:lvlText w:val="ü"/>
      <w:lvlJc w:val="left"/>
      <w:pPr>
        <w:tabs>
          <w:tab w:val="num" w:pos="5040"/>
        </w:tabs>
        <w:ind w:left="5040" w:hanging="360"/>
      </w:pPr>
      <w:rPr>
        <w:rFonts w:ascii="Wingdings" w:hAnsi="Wingdings" w:hint="default"/>
      </w:rPr>
    </w:lvl>
    <w:lvl w:ilvl="6" w:tplc="FC4A33EE" w:tentative="1">
      <w:start w:val="1"/>
      <w:numFmt w:val="bullet"/>
      <w:lvlText w:val="ü"/>
      <w:lvlJc w:val="left"/>
      <w:pPr>
        <w:tabs>
          <w:tab w:val="num" w:pos="5760"/>
        </w:tabs>
        <w:ind w:left="5760" w:hanging="360"/>
      </w:pPr>
      <w:rPr>
        <w:rFonts w:ascii="Wingdings" w:hAnsi="Wingdings" w:hint="default"/>
      </w:rPr>
    </w:lvl>
    <w:lvl w:ilvl="7" w:tplc="BC48C0F2" w:tentative="1">
      <w:start w:val="1"/>
      <w:numFmt w:val="bullet"/>
      <w:lvlText w:val="ü"/>
      <w:lvlJc w:val="left"/>
      <w:pPr>
        <w:tabs>
          <w:tab w:val="num" w:pos="6480"/>
        </w:tabs>
        <w:ind w:left="6480" w:hanging="360"/>
      </w:pPr>
      <w:rPr>
        <w:rFonts w:ascii="Wingdings" w:hAnsi="Wingdings" w:hint="default"/>
      </w:rPr>
    </w:lvl>
    <w:lvl w:ilvl="8" w:tplc="9D544B94" w:tentative="1">
      <w:start w:val="1"/>
      <w:numFmt w:val="bullet"/>
      <w:lvlText w:val="ü"/>
      <w:lvlJc w:val="left"/>
      <w:pPr>
        <w:tabs>
          <w:tab w:val="num" w:pos="7200"/>
        </w:tabs>
        <w:ind w:left="7200" w:hanging="360"/>
      </w:pPr>
      <w:rPr>
        <w:rFonts w:ascii="Wingdings" w:hAnsi="Wingdings" w:hint="default"/>
      </w:rPr>
    </w:lvl>
  </w:abstractNum>
  <w:abstractNum w:abstractNumId="13" w15:restartNumberingAfterBreak="0">
    <w:nsid w:val="4ECB1747"/>
    <w:multiLevelType w:val="hybridMultilevel"/>
    <w:tmpl w:val="F454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96704"/>
    <w:multiLevelType w:val="hybridMultilevel"/>
    <w:tmpl w:val="8962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1023F"/>
    <w:multiLevelType w:val="hybridMultilevel"/>
    <w:tmpl w:val="C9C88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0146A6"/>
    <w:multiLevelType w:val="multilevel"/>
    <w:tmpl w:val="099E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2712C"/>
    <w:multiLevelType w:val="hybridMultilevel"/>
    <w:tmpl w:val="139C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31F0C"/>
    <w:multiLevelType w:val="hybridMultilevel"/>
    <w:tmpl w:val="452C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521A2"/>
    <w:multiLevelType w:val="hybridMultilevel"/>
    <w:tmpl w:val="D8E45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6950C8"/>
    <w:multiLevelType w:val="hybridMultilevel"/>
    <w:tmpl w:val="923EF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5F7467"/>
    <w:multiLevelType w:val="multilevel"/>
    <w:tmpl w:val="C2B2B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
  </w:num>
  <w:num w:numId="5">
    <w:abstractNumId w:val="3"/>
  </w:num>
  <w:num w:numId="6">
    <w:abstractNumId w:val="12"/>
  </w:num>
  <w:num w:numId="7">
    <w:abstractNumId w:val="0"/>
  </w:num>
  <w:num w:numId="8">
    <w:abstractNumId w:val="21"/>
  </w:num>
  <w:num w:numId="9">
    <w:abstractNumId w:val="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6"/>
  </w:num>
  <w:num w:numId="11">
    <w:abstractNumId w:val="20"/>
  </w:num>
  <w:num w:numId="12">
    <w:abstractNumId w:val="17"/>
  </w:num>
  <w:num w:numId="13">
    <w:abstractNumId w:val="13"/>
  </w:num>
  <w:num w:numId="14">
    <w:abstractNumId w:val="10"/>
  </w:num>
  <w:num w:numId="15">
    <w:abstractNumId w:val="5"/>
  </w:num>
  <w:num w:numId="16">
    <w:abstractNumId w:val="18"/>
  </w:num>
  <w:num w:numId="17">
    <w:abstractNumId w:val="14"/>
  </w:num>
  <w:num w:numId="18">
    <w:abstractNumId w:val="2"/>
  </w:num>
  <w:num w:numId="19">
    <w:abstractNumId w:val="7"/>
  </w:num>
  <w:num w:numId="20">
    <w:abstractNumId w:val="8"/>
  </w:num>
  <w:num w:numId="21">
    <w:abstractNumId w:val="9"/>
  </w:num>
  <w:num w:numId="22">
    <w:abstractNumId w:val="19"/>
  </w:num>
  <w:num w:numId="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75"/>
    <w:rsid w:val="0001475B"/>
    <w:rsid w:val="00045010"/>
    <w:rsid w:val="00045737"/>
    <w:rsid w:val="00056DC2"/>
    <w:rsid w:val="000768CA"/>
    <w:rsid w:val="000C04C4"/>
    <w:rsid w:val="00112F97"/>
    <w:rsid w:val="00115820"/>
    <w:rsid w:val="00130AF2"/>
    <w:rsid w:val="00137169"/>
    <w:rsid w:val="00143C8D"/>
    <w:rsid w:val="00150390"/>
    <w:rsid w:val="001550FE"/>
    <w:rsid w:val="00163774"/>
    <w:rsid w:val="00167A02"/>
    <w:rsid w:val="00182B72"/>
    <w:rsid w:val="001A4858"/>
    <w:rsid w:val="001B1A84"/>
    <w:rsid w:val="001B57D0"/>
    <w:rsid w:val="001C2B9A"/>
    <w:rsid w:val="001D136E"/>
    <w:rsid w:val="001D21E1"/>
    <w:rsid w:val="001D6154"/>
    <w:rsid w:val="001E3882"/>
    <w:rsid w:val="00205E75"/>
    <w:rsid w:val="00206326"/>
    <w:rsid w:val="00245521"/>
    <w:rsid w:val="00253B9F"/>
    <w:rsid w:val="00254A8F"/>
    <w:rsid w:val="00260178"/>
    <w:rsid w:val="0026643B"/>
    <w:rsid w:val="002771E0"/>
    <w:rsid w:val="002C47FB"/>
    <w:rsid w:val="002D20DE"/>
    <w:rsid w:val="002D4D8A"/>
    <w:rsid w:val="002E43A6"/>
    <w:rsid w:val="002E7A10"/>
    <w:rsid w:val="00307828"/>
    <w:rsid w:val="0033279D"/>
    <w:rsid w:val="003361F7"/>
    <w:rsid w:val="00345E31"/>
    <w:rsid w:val="00346FC8"/>
    <w:rsid w:val="0035747B"/>
    <w:rsid w:val="0037554B"/>
    <w:rsid w:val="003B37C5"/>
    <w:rsid w:val="003C1CE0"/>
    <w:rsid w:val="003C2CF5"/>
    <w:rsid w:val="003D15A9"/>
    <w:rsid w:val="003D3016"/>
    <w:rsid w:val="003D3C2D"/>
    <w:rsid w:val="003E01F0"/>
    <w:rsid w:val="003F344C"/>
    <w:rsid w:val="003F4DAA"/>
    <w:rsid w:val="004052F4"/>
    <w:rsid w:val="004072FD"/>
    <w:rsid w:val="004110B5"/>
    <w:rsid w:val="00421DBE"/>
    <w:rsid w:val="0042787E"/>
    <w:rsid w:val="00427EF0"/>
    <w:rsid w:val="00455C1B"/>
    <w:rsid w:val="0046324A"/>
    <w:rsid w:val="004656BB"/>
    <w:rsid w:val="00466033"/>
    <w:rsid w:val="00482DE3"/>
    <w:rsid w:val="004940DE"/>
    <w:rsid w:val="004A1211"/>
    <w:rsid w:val="004A5823"/>
    <w:rsid w:val="004A6E78"/>
    <w:rsid w:val="004A7CF3"/>
    <w:rsid w:val="004B5DEF"/>
    <w:rsid w:val="004C2504"/>
    <w:rsid w:val="004E379E"/>
    <w:rsid w:val="004F1EBA"/>
    <w:rsid w:val="00504447"/>
    <w:rsid w:val="00512FFE"/>
    <w:rsid w:val="00536C11"/>
    <w:rsid w:val="00556DA9"/>
    <w:rsid w:val="005632EF"/>
    <w:rsid w:val="00564F2F"/>
    <w:rsid w:val="005713C8"/>
    <w:rsid w:val="0057610D"/>
    <w:rsid w:val="00594698"/>
    <w:rsid w:val="005A1D54"/>
    <w:rsid w:val="005A404E"/>
    <w:rsid w:val="005C70CA"/>
    <w:rsid w:val="005C761E"/>
    <w:rsid w:val="005E3FEF"/>
    <w:rsid w:val="005F145E"/>
    <w:rsid w:val="005F251C"/>
    <w:rsid w:val="00621785"/>
    <w:rsid w:val="00666B1C"/>
    <w:rsid w:val="006717B2"/>
    <w:rsid w:val="00673DEA"/>
    <w:rsid w:val="006A6734"/>
    <w:rsid w:val="006B5F54"/>
    <w:rsid w:val="006B76DB"/>
    <w:rsid w:val="006C15BB"/>
    <w:rsid w:val="006C234C"/>
    <w:rsid w:val="006C5A7D"/>
    <w:rsid w:val="006D6F6D"/>
    <w:rsid w:val="006E6B3F"/>
    <w:rsid w:val="006F1D33"/>
    <w:rsid w:val="006F6D44"/>
    <w:rsid w:val="007066E4"/>
    <w:rsid w:val="00721266"/>
    <w:rsid w:val="00750385"/>
    <w:rsid w:val="00791BB7"/>
    <w:rsid w:val="00792D87"/>
    <w:rsid w:val="00796792"/>
    <w:rsid w:val="007A0729"/>
    <w:rsid w:val="007A0A5C"/>
    <w:rsid w:val="007A0F7C"/>
    <w:rsid w:val="007A142C"/>
    <w:rsid w:val="007A16B6"/>
    <w:rsid w:val="007F49A8"/>
    <w:rsid w:val="008119C2"/>
    <w:rsid w:val="00836AC4"/>
    <w:rsid w:val="00845576"/>
    <w:rsid w:val="008508B4"/>
    <w:rsid w:val="00850BE3"/>
    <w:rsid w:val="00851182"/>
    <w:rsid w:val="008538C6"/>
    <w:rsid w:val="00863D66"/>
    <w:rsid w:val="00873524"/>
    <w:rsid w:val="00882BBE"/>
    <w:rsid w:val="008847EB"/>
    <w:rsid w:val="00892306"/>
    <w:rsid w:val="0089504C"/>
    <w:rsid w:val="008A3A5D"/>
    <w:rsid w:val="008A6B96"/>
    <w:rsid w:val="008B37CC"/>
    <w:rsid w:val="008B600E"/>
    <w:rsid w:val="008E1217"/>
    <w:rsid w:val="008E1326"/>
    <w:rsid w:val="008F62A9"/>
    <w:rsid w:val="009257DB"/>
    <w:rsid w:val="0093280E"/>
    <w:rsid w:val="0093406F"/>
    <w:rsid w:val="00945EC7"/>
    <w:rsid w:val="0095697F"/>
    <w:rsid w:val="009574E3"/>
    <w:rsid w:val="00960A11"/>
    <w:rsid w:val="00964155"/>
    <w:rsid w:val="0097042B"/>
    <w:rsid w:val="00974821"/>
    <w:rsid w:val="00983154"/>
    <w:rsid w:val="009A76A9"/>
    <w:rsid w:val="009B1F20"/>
    <w:rsid w:val="009B309E"/>
    <w:rsid w:val="009B7BCD"/>
    <w:rsid w:val="009D29D6"/>
    <w:rsid w:val="009D606E"/>
    <w:rsid w:val="009F11FB"/>
    <w:rsid w:val="009F5D70"/>
    <w:rsid w:val="00A10010"/>
    <w:rsid w:val="00A12B82"/>
    <w:rsid w:val="00A35601"/>
    <w:rsid w:val="00A47E12"/>
    <w:rsid w:val="00A9645B"/>
    <w:rsid w:val="00A97F5A"/>
    <w:rsid w:val="00AB2824"/>
    <w:rsid w:val="00AE1501"/>
    <w:rsid w:val="00AF1B0A"/>
    <w:rsid w:val="00B143DB"/>
    <w:rsid w:val="00B164D5"/>
    <w:rsid w:val="00B215B1"/>
    <w:rsid w:val="00B21DB3"/>
    <w:rsid w:val="00B30485"/>
    <w:rsid w:val="00B3108D"/>
    <w:rsid w:val="00B33D97"/>
    <w:rsid w:val="00B4337F"/>
    <w:rsid w:val="00B632C0"/>
    <w:rsid w:val="00B76F78"/>
    <w:rsid w:val="00B85CA2"/>
    <w:rsid w:val="00B93AD5"/>
    <w:rsid w:val="00BA0ABA"/>
    <w:rsid w:val="00BC2AAC"/>
    <w:rsid w:val="00BC410E"/>
    <w:rsid w:val="00BF6E7D"/>
    <w:rsid w:val="00C00E7B"/>
    <w:rsid w:val="00C42A3C"/>
    <w:rsid w:val="00C66FC4"/>
    <w:rsid w:val="00C71E1E"/>
    <w:rsid w:val="00C7203B"/>
    <w:rsid w:val="00C84AC2"/>
    <w:rsid w:val="00C93172"/>
    <w:rsid w:val="00C97234"/>
    <w:rsid w:val="00CA38BE"/>
    <w:rsid w:val="00CA53EA"/>
    <w:rsid w:val="00CB1604"/>
    <w:rsid w:val="00CD29F3"/>
    <w:rsid w:val="00CE1ECF"/>
    <w:rsid w:val="00CF3560"/>
    <w:rsid w:val="00D474BA"/>
    <w:rsid w:val="00D51718"/>
    <w:rsid w:val="00D656AF"/>
    <w:rsid w:val="00D71673"/>
    <w:rsid w:val="00D717FA"/>
    <w:rsid w:val="00D76A5C"/>
    <w:rsid w:val="00D83F6D"/>
    <w:rsid w:val="00D87110"/>
    <w:rsid w:val="00D91A62"/>
    <w:rsid w:val="00DB39E7"/>
    <w:rsid w:val="00DB78B4"/>
    <w:rsid w:val="00DC56F1"/>
    <w:rsid w:val="00DD3289"/>
    <w:rsid w:val="00DE725C"/>
    <w:rsid w:val="00DE7864"/>
    <w:rsid w:val="00DF3044"/>
    <w:rsid w:val="00DF5AF5"/>
    <w:rsid w:val="00E07D44"/>
    <w:rsid w:val="00E12F0F"/>
    <w:rsid w:val="00E1451A"/>
    <w:rsid w:val="00E16D2D"/>
    <w:rsid w:val="00E21E8E"/>
    <w:rsid w:val="00E22E67"/>
    <w:rsid w:val="00E46348"/>
    <w:rsid w:val="00E5474C"/>
    <w:rsid w:val="00E55F0C"/>
    <w:rsid w:val="00E73FFA"/>
    <w:rsid w:val="00E922E4"/>
    <w:rsid w:val="00EC016F"/>
    <w:rsid w:val="00EC0AB4"/>
    <w:rsid w:val="00EC39EC"/>
    <w:rsid w:val="00EC5272"/>
    <w:rsid w:val="00ED686E"/>
    <w:rsid w:val="00EF0962"/>
    <w:rsid w:val="00EF461F"/>
    <w:rsid w:val="00F01AD8"/>
    <w:rsid w:val="00F16251"/>
    <w:rsid w:val="00F21DC8"/>
    <w:rsid w:val="00F311EE"/>
    <w:rsid w:val="00F52A55"/>
    <w:rsid w:val="00F56C15"/>
    <w:rsid w:val="00F61455"/>
    <w:rsid w:val="00F61F10"/>
    <w:rsid w:val="00F74EC4"/>
    <w:rsid w:val="00F85195"/>
    <w:rsid w:val="00F92425"/>
    <w:rsid w:val="00F9400C"/>
    <w:rsid w:val="00FC4303"/>
    <w:rsid w:val="00FC432D"/>
    <w:rsid w:val="00FD70CC"/>
    <w:rsid w:val="00FE709C"/>
    <w:rsid w:val="00FF5DB1"/>
    <w:rsid w:val="41321986"/>
    <w:rsid w:val="6D30A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2952"/>
  <w15:docId w15:val="{C085F8A1-5883-4874-800F-C4BB06E1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75"/>
    <w:pPr>
      <w:ind w:left="720"/>
      <w:contextualSpacing/>
    </w:pPr>
  </w:style>
  <w:style w:type="paragraph" w:customStyle="1" w:styleId="WH-NormalParagraphBold">
    <w:name w:val="WH-Normal Paragraph Bold"/>
    <w:basedOn w:val="Normal"/>
    <w:qFormat/>
    <w:rsid w:val="00836AC4"/>
    <w:pPr>
      <w:spacing w:before="120" w:after="120" w:line="293" w:lineRule="auto"/>
      <w:ind w:left="720" w:right="720"/>
    </w:pPr>
    <w:rPr>
      <w:rFonts w:ascii="Arial" w:eastAsia="Times New Roman" w:hAnsi="Arial" w:cs="Arial"/>
      <w:b/>
      <w:bCs/>
      <w:sz w:val="22"/>
      <w:szCs w:val="22"/>
    </w:rPr>
  </w:style>
  <w:style w:type="paragraph" w:customStyle="1" w:styleId="WH-NormalParagraph">
    <w:name w:val="WH-Normal Paragraph"/>
    <w:basedOn w:val="Normal"/>
    <w:qFormat/>
    <w:rsid w:val="00836AC4"/>
    <w:pPr>
      <w:widowControl w:val="0"/>
      <w:autoSpaceDE w:val="0"/>
      <w:autoSpaceDN w:val="0"/>
      <w:snapToGrid w:val="0"/>
      <w:spacing w:before="120" w:after="120" w:line="293" w:lineRule="auto"/>
      <w:ind w:left="720" w:right="720"/>
    </w:pPr>
    <w:rPr>
      <w:rFonts w:ascii="Arial" w:eastAsia="Arial" w:hAnsi="Arial" w:cs="Arial"/>
      <w:bCs/>
      <w:iCs/>
      <w:color w:val="231F20"/>
      <w:sz w:val="22"/>
      <w:szCs w:val="22"/>
    </w:rPr>
  </w:style>
  <w:style w:type="paragraph" w:customStyle="1" w:styleId="WH-BulletLevel1">
    <w:name w:val="WH-Bullet Level 1"/>
    <w:basedOn w:val="Normal"/>
    <w:qFormat/>
    <w:rsid w:val="00836AC4"/>
    <w:pPr>
      <w:widowControl w:val="0"/>
      <w:numPr>
        <w:numId w:val="5"/>
      </w:numPr>
      <w:autoSpaceDE w:val="0"/>
      <w:autoSpaceDN w:val="0"/>
      <w:spacing w:after="60" w:line="293" w:lineRule="auto"/>
      <w:ind w:left="1080" w:right="720"/>
    </w:pPr>
    <w:rPr>
      <w:rFonts w:ascii="Arial" w:eastAsia="Arial" w:hAnsi="Arial" w:cs="Arial"/>
      <w:bCs/>
      <w:iCs/>
      <w:color w:val="231F20"/>
      <w:sz w:val="22"/>
      <w:szCs w:val="22"/>
    </w:rPr>
  </w:style>
  <w:style w:type="character" w:styleId="Hyperlink">
    <w:name w:val="Hyperlink"/>
    <w:basedOn w:val="DefaultParagraphFont"/>
    <w:uiPriority w:val="99"/>
    <w:unhideWhenUsed/>
    <w:rsid w:val="003D15A9"/>
    <w:rPr>
      <w:color w:val="0000FF"/>
      <w:u w:val="single"/>
    </w:rPr>
  </w:style>
  <w:style w:type="paragraph" w:styleId="NormalWeb">
    <w:name w:val="Normal (Web)"/>
    <w:basedOn w:val="Normal"/>
    <w:uiPriority w:val="99"/>
    <w:semiHidden/>
    <w:unhideWhenUsed/>
    <w:rsid w:val="001B1A8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B1A84"/>
    <w:rPr>
      <w:color w:val="605E5C"/>
      <w:shd w:val="clear" w:color="auto" w:fill="E1DFDD"/>
    </w:rPr>
  </w:style>
  <w:style w:type="character" w:customStyle="1" w:styleId="apple-converted-space">
    <w:name w:val="apple-converted-space"/>
    <w:basedOn w:val="DefaultParagraphFont"/>
    <w:rsid w:val="003361F7"/>
  </w:style>
  <w:style w:type="character" w:styleId="CommentReference">
    <w:name w:val="annotation reference"/>
    <w:basedOn w:val="DefaultParagraphFont"/>
    <w:uiPriority w:val="99"/>
    <w:semiHidden/>
    <w:unhideWhenUsed/>
    <w:rsid w:val="00346FC8"/>
    <w:rPr>
      <w:sz w:val="16"/>
      <w:szCs w:val="16"/>
    </w:rPr>
  </w:style>
  <w:style w:type="paragraph" w:styleId="CommentText">
    <w:name w:val="annotation text"/>
    <w:basedOn w:val="Normal"/>
    <w:link w:val="CommentTextChar"/>
    <w:uiPriority w:val="99"/>
    <w:semiHidden/>
    <w:unhideWhenUsed/>
    <w:rsid w:val="00346FC8"/>
    <w:rPr>
      <w:sz w:val="20"/>
      <w:szCs w:val="20"/>
    </w:rPr>
  </w:style>
  <w:style w:type="character" w:customStyle="1" w:styleId="CommentTextChar">
    <w:name w:val="Comment Text Char"/>
    <w:basedOn w:val="DefaultParagraphFont"/>
    <w:link w:val="CommentText"/>
    <w:uiPriority w:val="99"/>
    <w:semiHidden/>
    <w:rsid w:val="00346FC8"/>
    <w:rPr>
      <w:sz w:val="20"/>
      <w:szCs w:val="20"/>
    </w:rPr>
  </w:style>
  <w:style w:type="paragraph" w:styleId="CommentSubject">
    <w:name w:val="annotation subject"/>
    <w:basedOn w:val="CommentText"/>
    <w:next w:val="CommentText"/>
    <w:link w:val="CommentSubjectChar"/>
    <w:uiPriority w:val="99"/>
    <w:semiHidden/>
    <w:unhideWhenUsed/>
    <w:rsid w:val="00346FC8"/>
    <w:rPr>
      <w:b/>
      <w:bCs/>
    </w:rPr>
  </w:style>
  <w:style w:type="character" w:customStyle="1" w:styleId="CommentSubjectChar">
    <w:name w:val="Comment Subject Char"/>
    <w:basedOn w:val="CommentTextChar"/>
    <w:link w:val="CommentSubject"/>
    <w:uiPriority w:val="99"/>
    <w:semiHidden/>
    <w:rsid w:val="00346FC8"/>
    <w:rPr>
      <w:b/>
      <w:bCs/>
      <w:sz w:val="20"/>
      <w:szCs w:val="20"/>
    </w:rPr>
  </w:style>
  <w:style w:type="paragraph" w:styleId="Header">
    <w:name w:val="header"/>
    <w:basedOn w:val="Normal"/>
    <w:link w:val="HeaderChar"/>
    <w:uiPriority w:val="99"/>
    <w:unhideWhenUsed/>
    <w:rsid w:val="001550FE"/>
    <w:pPr>
      <w:tabs>
        <w:tab w:val="center" w:pos="4680"/>
        <w:tab w:val="right" w:pos="9360"/>
      </w:tabs>
    </w:pPr>
  </w:style>
  <w:style w:type="character" w:customStyle="1" w:styleId="HeaderChar">
    <w:name w:val="Header Char"/>
    <w:basedOn w:val="DefaultParagraphFont"/>
    <w:link w:val="Header"/>
    <w:uiPriority w:val="99"/>
    <w:rsid w:val="001550FE"/>
  </w:style>
  <w:style w:type="paragraph" w:styleId="Footer">
    <w:name w:val="footer"/>
    <w:basedOn w:val="Normal"/>
    <w:link w:val="FooterChar"/>
    <w:uiPriority w:val="99"/>
    <w:unhideWhenUsed/>
    <w:rsid w:val="001550FE"/>
    <w:pPr>
      <w:tabs>
        <w:tab w:val="center" w:pos="4680"/>
        <w:tab w:val="right" w:pos="9360"/>
      </w:tabs>
    </w:pPr>
  </w:style>
  <w:style w:type="character" w:customStyle="1" w:styleId="FooterChar">
    <w:name w:val="Footer Char"/>
    <w:basedOn w:val="DefaultParagraphFont"/>
    <w:link w:val="Footer"/>
    <w:uiPriority w:val="99"/>
    <w:rsid w:val="001550FE"/>
  </w:style>
  <w:style w:type="character" w:styleId="FollowedHyperlink">
    <w:name w:val="FollowedHyperlink"/>
    <w:basedOn w:val="DefaultParagraphFont"/>
    <w:uiPriority w:val="99"/>
    <w:semiHidden/>
    <w:unhideWhenUsed/>
    <w:rsid w:val="00964155"/>
    <w:rPr>
      <w:color w:val="954F72" w:themeColor="followedHyperlink"/>
      <w:u w:val="single"/>
    </w:rPr>
  </w:style>
  <w:style w:type="paragraph" w:styleId="Revision">
    <w:name w:val="Revision"/>
    <w:hidden/>
    <w:uiPriority w:val="99"/>
    <w:semiHidden/>
    <w:rsid w:val="00B7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8875">
      <w:bodyDiv w:val="1"/>
      <w:marLeft w:val="0"/>
      <w:marRight w:val="0"/>
      <w:marTop w:val="0"/>
      <w:marBottom w:val="0"/>
      <w:divBdr>
        <w:top w:val="none" w:sz="0" w:space="0" w:color="auto"/>
        <w:left w:val="none" w:sz="0" w:space="0" w:color="auto"/>
        <w:bottom w:val="none" w:sz="0" w:space="0" w:color="auto"/>
        <w:right w:val="none" w:sz="0" w:space="0" w:color="auto"/>
      </w:divBdr>
    </w:div>
    <w:div w:id="46533996">
      <w:bodyDiv w:val="1"/>
      <w:marLeft w:val="0"/>
      <w:marRight w:val="0"/>
      <w:marTop w:val="0"/>
      <w:marBottom w:val="0"/>
      <w:divBdr>
        <w:top w:val="none" w:sz="0" w:space="0" w:color="auto"/>
        <w:left w:val="none" w:sz="0" w:space="0" w:color="auto"/>
        <w:bottom w:val="none" w:sz="0" w:space="0" w:color="auto"/>
        <w:right w:val="none" w:sz="0" w:space="0" w:color="auto"/>
      </w:divBdr>
      <w:divsChild>
        <w:div w:id="1814373645">
          <w:marLeft w:val="547"/>
          <w:marRight w:val="0"/>
          <w:marTop w:val="77"/>
          <w:marBottom w:val="120"/>
          <w:divBdr>
            <w:top w:val="none" w:sz="0" w:space="0" w:color="auto"/>
            <w:left w:val="none" w:sz="0" w:space="0" w:color="auto"/>
            <w:bottom w:val="none" w:sz="0" w:space="0" w:color="auto"/>
            <w:right w:val="none" w:sz="0" w:space="0" w:color="auto"/>
          </w:divBdr>
        </w:div>
      </w:divsChild>
    </w:div>
    <w:div w:id="117648322">
      <w:bodyDiv w:val="1"/>
      <w:marLeft w:val="0"/>
      <w:marRight w:val="0"/>
      <w:marTop w:val="0"/>
      <w:marBottom w:val="0"/>
      <w:divBdr>
        <w:top w:val="none" w:sz="0" w:space="0" w:color="auto"/>
        <w:left w:val="none" w:sz="0" w:space="0" w:color="auto"/>
        <w:bottom w:val="none" w:sz="0" w:space="0" w:color="auto"/>
        <w:right w:val="none" w:sz="0" w:space="0" w:color="auto"/>
      </w:divBdr>
    </w:div>
    <w:div w:id="298614107">
      <w:bodyDiv w:val="1"/>
      <w:marLeft w:val="0"/>
      <w:marRight w:val="0"/>
      <w:marTop w:val="0"/>
      <w:marBottom w:val="0"/>
      <w:divBdr>
        <w:top w:val="none" w:sz="0" w:space="0" w:color="auto"/>
        <w:left w:val="none" w:sz="0" w:space="0" w:color="auto"/>
        <w:bottom w:val="none" w:sz="0" w:space="0" w:color="auto"/>
        <w:right w:val="none" w:sz="0" w:space="0" w:color="auto"/>
      </w:divBdr>
      <w:divsChild>
        <w:div w:id="1185286798">
          <w:marLeft w:val="547"/>
          <w:marRight w:val="0"/>
          <w:marTop w:val="77"/>
          <w:marBottom w:val="0"/>
          <w:divBdr>
            <w:top w:val="none" w:sz="0" w:space="0" w:color="auto"/>
            <w:left w:val="none" w:sz="0" w:space="0" w:color="auto"/>
            <w:bottom w:val="none" w:sz="0" w:space="0" w:color="auto"/>
            <w:right w:val="none" w:sz="0" w:space="0" w:color="auto"/>
          </w:divBdr>
        </w:div>
        <w:div w:id="2041121967">
          <w:marLeft w:val="547"/>
          <w:marRight w:val="0"/>
          <w:marTop w:val="77"/>
          <w:marBottom w:val="0"/>
          <w:divBdr>
            <w:top w:val="none" w:sz="0" w:space="0" w:color="auto"/>
            <w:left w:val="none" w:sz="0" w:space="0" w:color="auto"/>
            <w:bottom w:val="none" w:sz="0" w:space="0" w:color="auto"/>
            <w:right w:val="none" w:sz="0" w:space="0" w:color="auto"/>
          </w:divBdr>
        </w:div>
      </w:divsChild>
    </w:div>
    <w:div w:id="303122755">
      <w:bodyDiv w:val="1"/>
      <w:marLeft w:val="0"/>
      <w:marRight w:val="0"/>
      <w:marTop w:val="0"/>
      <w:marBottom w:val="0"/>
      <w:divBdr>
        <w:top w:val="none" w:sz="0" w:space="0" w:color="auto"/>
        <w:left w:val="none" w:sz="0" w:space="0" w:color="auto"/>
        <w:bottom w:val="none" w:sz="0" w:space="0" w:color="auto"/>
        <w:right w:val="none" w:sz="0" w:space="0" w:color="auto"/>
      </w:divBdr>
    </w:div>
    <w:div w:id="423646548">
      <w:bodyDiv w:val="1"/>
      <w:marLeft w:val="0"/>
      <w:marRight w:val="0"/>
      <w:marTop w:val="0"/>
      <w:marBottom w:val="0"/>
      <w:divBdr>
        <w:top w:val="none" w:sz="0" w:space="0" w:color="auto"/>
        <w:left w:val="none" w:sz="0" w:space="0" w:color="auto"/>
        <w:bottom w:val="none" w:sz="0" w:space="0" w:color="auto"/>
        <w:right w:val="none" w:sz="0" w:space="0" w:color="auto"/>
      </w:divBdr>
      <w:divsChild>
        <w:div w:id="566959806">
          <w:marLeft w:val="446"/>
          <w:marRight w:val="0"/>
          <w:marTop w:val="0"/>
          <w:marBottom w:val="0"/>
          <w:divBdr>
            <w:top w:val="none" w:sz="0" w:space="0" w:color="auto"/>
            <w:left w:val="none" w:sz="0" w:space="0" w:color="auto"/>
            <w:bottom w:val="none" w:sz="0" w:space="0" w:color="auto"/>
            <w:right w:val="none" w:sz="0" w:space="0" w:color="auto"/>
          </w:divBdr>
        </w:div>
        <w:div w:id="741609673">
          <w:marLeft w:val="446"/>
          <w:marRight w:val="0"/>
          <w:marTop w:val="0"/>
          <w:marBottom w:val="0"/>
          <w:divBdr>
            <w:top w:val="none" w:sz="0" w:space="0" w:color="auto"/>
            <w:left w:val="none" w:sz="0" w:space="0" w:color="auto"/>
            <w:bottom w:val="none" w:sz="0" w:space="0" w:color="auto"/>
            <w:right w:val="none" w:sz="0" w:space="0" w:color="auto"/>
          </w:divBdr>
        </w:div>
        <w:div w:id="1317879210">
          <w:marLeft w:val="446"/>
          <w:marRight w:val="0"/>
          <w:marTop w:val="0"/>
          <w:marBottom w:val="0"/>
          <w:divBdr>
            <w:top w:val="none" w:sz="0" w:space="0" w:color="auto"/>
            <w:left w:val="none" w:sz="0" w:space="0" w:color="auto"/>
            <w:bottom w:val="none" w:sz="0" w:space="0" w:color="auto"/>
            <w:right w:val="none" w:sz="0" w:space="0" w:color="auto"/>
          </w:divBdr>
        </w:div>
        <w:div w:id="1712529941">
          <w:marLeft w:val="446"/>
          <w:marRight w:val="0"/>
          <w:marTop w:val="0"/>
          <w:marBottom w:val="0"/>
          <w:divBdr>
            <w:top w:val="none" w:sz="0" w:space="0" w:color="auto"/>
            <w:left w:val="none" w:sz="0" w:space="0" w:color="auto"/>
            <w:bottom w:val="none" w:sz="0" w:space="0" w:color="auto"/>
            <w:right w:val="none" w:sz="0" w:space="0" w:color="auto"/>
          </w:divBdr>
        </w:div>
      </w:divsChild>
    </w:div>
    <w:div w:id="573584509">
      <w:bodyDiv w:val="1"/>
      <w:marLeft w:val="0"/>
      <w:marRight w:val="0"/>
      <w:marTop w:val="0"/>
      <w:marBottom w:val="0"/>
      <w:divBdr>
        <w:top w:val="none" w:sz="0" w:space="0" w:color="auto"/>
        <w:left w:val="none" w:sz="0" w:space="0" w:color="auto"/>
        <w:bottom w:val="none" w:sz="0" w:space="0" w:color="auto"/>
        <w:right w:val="none" w:sz="0" w:space="0" w:color="auto"/>
      </w:divBdr>
      <w:divsChild>
        <w:div w:id="88893129">
          <w:marLeft w:val="1166"/>
          <w:marRight w:val="0"/>
          <w:marTop w:val="58"/>
          <w:marBottom w:val="120"/>
          <w:divBdr>
            <w:top w:val="none" w:sz="0" w:space="0" w:color="auto"/>
            <w:left w:val="none" w:sz="0" w:space="0" w:color="auto"/>
            <w:bottom w:val="none" w:sz="0" w:space="0" w:color="auto"/>
            <w:right w:val="none" w:sz="0" w:space="0" w:color="auto"/>
          </w:divBdr>
        </w:div>
        <w:div w:id="1083186382">
          <w:marLeft w:val="547"/>
          <w:marRight w:val="0"/>
          <w:marTop w:val="67"/>
          <w:marBottom w:val="120"/>
          <w:divBdr>
            <w:top w:val="none" w:sz="0" w:space="0" w:color="auto"/>
            <w:left w:val="none" w:sz="0" w:space="0" w:color="auto"/>
            <w:bottom w:val="none" w:sz="0" w:space="0" w:color="auto"/>
            <w:right w:val="none" w:sz="0" w:space="0" w:color="auto"/>
          </w:divBdr>
        </w:div>
        <w:div w:id="1198856737">
          <w:marLeft w:val="547"/>
          <w:marRight w:val="0"/>
          <w:marTop w:val="67"/>
          <w:marBottom w:val="120"/>
          <w:divBdr>
            <w:top w:val="none" w:sz="0" w:space="0" w:color="auto"/>
            <w:left w:val="none" w:sz="0" w:space="0" w:color="auto"/>
            <w:bottom w:val="none" w:sz="0" w:space="0" w:color="auto"/>
            <w:right w:val="none" w:sz="0" w:space="0" w:color="auto"/>
          </w:divBdr>
        </w:div>
        <w:div w:id="1267957593">
          <w:marLeft w:val="547"/>
          <w:marRight w:val="0"/>
          <w:marTop w:val="67"/>
          <w:marBottom w:val="120"/>
          <w:divBdr>
            <w:top w:val="none" w:sz="0" w:space="0" w:color="auto"/>
            <w:left w:val="none" w:sz="0" w:space="0" w:color="auto"/>
            <w:bottom w:val="none" w:sz="0" w:space="0" w:color="auto"/>
            <w:right w:val="none" w:sz="0" w:space="0" w:color="auto"/>
          </w:divBdr>
        </w:div>
        <w:div w:id="1440758131">
          <w:marLeft w:val="547"/>
          <w:marRight w:val="0"/>
          <w:marTop w:val="67"/>
          <w:marBottom w:val="120"/>
          <w:divBdr>
            <w:top w:val="none" w:sz="0" w:space="0" w:color="auto"/>
            <w:left w:val="none" w:sz="0" w:space="0" w:color="auto"/>
            <w:bottom w:val="none" w:sz="0" w:space="0" w:color="auto"/>
            <w:right w:val="none" w:sz="0" w:space="0" w:color="auto"/>
          </w:divBdr>
        </w:div>
        <w:div w:id="1607155440">
          <w:marLeft w:val="547"/>
          <w:marRight w:val="0"/>
          <w:marTop w:val="67"/>
          <w:marBottom w:val="120"/>
          <w:divBdr>
            <w:top w:val="none" w:sz="0" w:space="0" w:color="auto"/>
            <w:left w:val="none" w:sz="0" w:space="0" w:color="auto"/>
            <w:bottom w:val="none" w:sz="0" w:space="0" w:color="auto"/>
            <w:right w:val="none" w:sz="0" w:space="0" w:color="auto"/>
          </w:divBdr>
        </w:div>
        <w:div w:id="1675954595">
          <w:marLeft w:val="1166"/>
          <w:marRight w:val="0"/>
          <w:marTop w:val="58"/>
          <w:marBottom w:val="120"/>
          <w:divBdr>
            <w:top w:val="none" w:sz="0" w:space="0" w:color="auto"/>
            <w:left w:val="none" w:sz="0" w:space="0" w:color="auto"/>
            <w:bottom w:val="none" w:sz="0" w:space="0" w:color="auto"/>
            <w:right w:val="none" w:sz="0" w:space="0" w:color="auto"/>
          </w:divBdr>
        </w:div>
        <w:div w:id="1713456214">
          <w:marLeft w:val="1166"/>
          <w:marRight w:val="0"/>
          <w:marTop w:val="58"/>
          <w:marBottom w:val="120"/>
          <w:divBdr>
            <w:top w:val="none" w:sz="0" w:space="0" w:color="auto"/>
            <w:left w:val="none" w:sz="0" w:space="0" w:color="auto"/>
            <w:bottom w:val="none" w:sz="0" w:space="0" w:color="auto"/>
            <w:right w:val="none" w:sz="0" w:space="0" w:color="auto"/>
          </w:divBdr>
        </w:div>
        <w:div w:id="1949006198">
          <w:marLeft w:val="1166"/>
          <w:marRight w:val="0"/>
          <w:marTop w:val="58"/>
          <w:marBottom w:val="120"/>
          <w:divBdr>
            <w:top w:val="none" w:sz="0" w:space="0" w:color="auto"/>
            <w:left w:val="none" w:sz="0" w:space="0" w:color="auto"/>
            <w:bottom w:val="none" w:sz="0" w:space="0" w:color="auto"/>
            <w:right w:val="none" w:sz="0" w:space="0" w:color="auto"/>
          </w:divBdr>
        </w:div>
        <w:div w:id="2124886593">
          <w:marLeft w:val="1166"/>
          <w:marRight w:val="0"/>
          <w:marTop w:val="58"/>
          <w:marBottom w:val="120"/>
          <w:divBdr>
            <w:top w:val="none" w:sz="0" w:space="0" w:color="auto"/>
            <w:left w:val="none" w:sz="0" w:space="0" w:color="auto"/>
            <w:bottom w:val="none" w:sz="0" w:space="0" w:color="auto"/>
            <w:right w:val="none" w:sz="0" w:space="0" w:color="auto"/>
          </w:divBdr>
        </w:div>
      </w:divsChild>
    </w:div>
    <w:div w:id="857960721">
      <w:bodyDiv w:val="1"/>
      <w:marLeft w:val="0"/>
      <w:marRight w:val="0"/>
      <w:marTop w:val="0"/>
      <w:marBottom w:val="0"/>
      <w:divBdr>
        <w:top w:val="none" w:sz="0" w:space="0" w:color="auto"/>
        <w:left w:val="none" w:sz="0" w:space="0" w:color="auto"/>
        <w:bottom w:val="none" w:sz="0" w:space="0" w:color="auto"/>
        <w:right w:val="none" w:sz="0" w:space="0" w:color="auto"/>
      </w:divBdr>
      <w:divsChild>
        <w:div w:id="342123539">
          <w:marLeft w:val="547"/>
          <w:marRight w:val="0"/>
          <w:marTop w:val="77"/>
          <w:marBottom w:val="0"/>
          <w:divBdr>
            <w:top w:val="none" w:sz="0" w:space="0" w:color="auto"/>
            <w:left w:val="none" w:sz="0" w:space="0" w:color="auto"/>
            <w:bottom w:val="none" w:sz="0" w:space="0" w:color="auto"/>
            <w:right w:val="none" w:sz="0" w:space="0" w:color="auto"/>
          </w:divBdr>
        </w:div>
        <w:div w:id="1472821421">
          <w:marLeft w:val="547"/>
          <w:marRight w:val="0"/>
          <w:marTop w:val="77"/>
          <w:marBottom w:val="0"/>
          <w:divBdr>
            <w:top w:val="none" w:sz="0" w:space="0" w:color="auto"/>
            <w:left w:val="none" w:sz="0" w:space="0" w:color="auto"/>
            <w:bottom w:val="none" w:sz="0" w:space="0" w:color="auto"/>
            <w:right w:val="none" w:sz="0" w:space="0" w:color="auto"/>
          </w:divBdr>
        </w:div>
      </w:divsChild>
    </w:div>
    <w:div w:id="1018701291">
      <w:bodyDiv w:val="1"/>
      <w:marLeft w:val="0"/>
      <w:marRight w:val="0"/>
      <w:marTop w:val="0"/>
      <w:marBottom w:val="0"/>
      <w:divBdr>
        <w:top w:val="none" w:sz="0" w:space="0" w:color="auto"/>
        <w:left w:val="none" w:sz="0" w:space="0" w:color="auto"/>
        <w:bottom w:val="none" w:sz="0" w:space="0" w:color="auto"/>
        <w:right w:val="none" w:sz="0" w:space="0" w:color="auto"/>
      </w:divBdr>
    </w:div>
    <w:div w:id="1223951231">
      <w:bodyDiv w:val="1"/>
      <w:marLeft w:val="0"/>
      <w:marRight w:val="0"/>
      <w:marTop w:val="0"/>
      <w:marBottom w:val="0"/>
      <w:divBdr>
        <w:top w:val="none" w:sz="0" w:space="0" w:color="auto"/>
        <w:left w:val="none" w:sz="0" w:space="0" w:color="auto"/>
        <w:bottom w:val="none" w:sz="0" w:space="0" w:color="auto"/>
        <w:right w:val="none" w:sz="0" w:space="0" w:color="auto"/>
      </w:divBdr>
    </w:div>
    <w:div w:id="1246720656">
      <w:bodyDiv w:val="1"/>
      <w:marLeft w:val="0"/>
      <w:marRight w:val="0"/>
      <w:marTop w:val="0"/>
      <w:marBottom w:val="0"/>
      <w:divBdr>
        <w:top w:val="none" w:sz="0" w:space="0" w:color="auto"/>
        <w:left w:val="none" w:sz="0" w:space="0" w:color="auto"/>
        <w:bottom w:val="none" w:sz="0" w:space="0" w:color="auto"/>
        <w:right w:val="none" w:sz="0" w:space="0" w:color="auto"/>
      </w:divBdr>
      <w:divsChild>
        <w:div w:id="1377393656">
          <w:marLeft w:val="547"/>
          <w:marRight w:val="0"/>
          <w:marTop w:val="77"/>
          <w:marBottom w:val="120"/>
          <w:divBdr>
            <w:top w:val="none" w:sz="0" w:space="0" w:color="auto"/>
            <w:left w:val="none" w:sz="0" w:space="0" w:color="auto"/>
            <w:bottom w:val="none" w:sz="0" w:space="0" w:color="auto"/>
            <w:right w:val="none" w:sz="0" w:space="0" w:color="auto"/>
          </w:divBdr>
        </w:div>
      </w:divsChild>
    </w:div>
    <w:div w:id="1293709680">
      <w:bodyDiv w:val="1"/>
      <w:marLeft w:val="0"/>
      <w:marRight w:val="0"/>
      <w:marTop w:val="0"/>
      <w:marBottom w:val="0"/>
      <w:divBdr>
        <w:top w:val="none" w:sz="0" w:space="0" w:color="auto"/>
        <w:left w:val="none" w:sz="0" w:space="0" w:color="auto"/>
        <w:bottom w:val="none" w:sz="0" w:space="0" w:color="auto"/>
        <w:right w:val="none" w:sz="0" w:space="0" w:color="auto"/>
      </w:divBdr>
    </w:div>
    <w:div w:id="1349597493">
      <w:bodyDiv w:val="1"/>
      <w:marLeft w:val="0"/>
      <w:marRight w:val="0"/>
      <w:marTop w:val="0"/>
      <w:marBottom w:val="0"/>
      <w:divBdr>
        <w:top w:val="none" w:sz="0" w:space="0" w:color="auto"/>
        <w:left w:val="none" w:sz="0" w:space="0" w:color="auto"/>
        <w:bottom w:val="none" w:sz="0" w:space="0" w:color="auto"/>
        <w:right w:val="none" w:sz="0" w:space="0" w:color="auto"/>
      </w:divBdr>
      <w:divsChild>
        <w:div w:id="366761931">
          <w:marLeft w:val="446"/>
          <w:marRight w:val="0"/>
          <w:marTop w:val="0"/>
          <w:marBottom w:val="0"/>
          <w:divBdr>
            <w:top w:val="none" w:sz="0" w:space="0" w:color="auto"/>
            <w:left w:val="none" w:sz="0" w:space="0" w:color="auto"/>
            <w:bottom w:val="none" w:sz="0" w:space="0" w:color="auto"/>
            <w:right w:val="none" w:sz="0" w:space="0" w:color="auto"/>
          </w:divBdr>
        </w:div>
        <w:div w:id="685669686">
          <w:marLeft w:val="446"/>
          <w:marRight w:val="0"/>
          <w:marTop w:val="0"/>
          <w:marBottom w:val="0"/>
          <w:divBdr>
            <w:top w:val="none" w:sz="0" w:space="0" w:color="auto"/>
            <w:left w:val="none" w:sz="0" w:space="0" w:color="auto"/>
            <w:bottom w:val="none" w:sz="0" w:space="0" w:color="auto"/>
            <w:right w:val="none" w:sz="0" w:space="0" w:color="auto"/>
          </w:divBdr>
        </w:div>
        <w:div w:id="1223521617">
          <w:marLeft w:val="446"/>
          <w:marRight w:val="0"/>
          <w:marTop w:val="0"/>
          <w:marBottom w:val="0"/>
          <w:divBdr>
            <w:top w:val="none" w:sz="0" w:space="0" w:color="auto"/>
            <w:left w:val="none" w:sz="0" w:space="0" w:color="auto"/>
            <w:bottom w:val="none" w:sz="0" w:space="0" w:color="auto"/>
            <w:right w:val="none" w:sz="0" w:space="0" w:color="auto"/>
          </w:divBdr>
        </w:div>
        <w:div w:id="1830247353">
          <w:marLeft w:val="446"/>
          <w:marRight w:val="0"/>
          <w:marTop w:val="0"/>
          <w:marBottom w:val="0"/>
          <w:divBdr>
            <w:top w:val="none" w:sz="0" w:space="0" w:color="auto"/>
            <w:left w:val="none" w:sz="0" w:space="0" w:color="auto"/>
            <w:bottom w:val="none" w:sz="0" w:space="0" w:color="auto"/>
            <w:right w:val="none" w:sz="0" w:space="0" w:color="auto"/>
          </w:divBdr>
        </w:div>
      </w:divsChild>
    </w:div>
    <w:div w:id="1371565542">
      <w:bodyDiv w:val="1"/>
      <w:marLeft w:val="0"/>
      <w:marRight w:val="0"/>
      <w:marTop w:val="0"/>
      <w:marBottom w:val="0"/>
      <w:divBdr>
        <w:top w:val="none" w:sz="0" w:space="0" w:color="auto"/>
        <w:left w:val="none" w:sz="0" w:space="0" w:color="auto"/>
        <w:bottom w:val="none" w:sz="0" w:space="0" w:color="auto"/>
        <w:right w:val="none" w:sz="0" w:space="0" w:color="auto"/>
      </w:divBdr>
      <w:divsChild>
        <w:div w:id="1657568707">
          <w:marLeft w:val="547"/>
          <w:marRight w:val="0"/>
          <w:marTop w:val="77"/>
          <w:marBottom w:val="0"/>
          <w:divBdr>
            <w:top w:val="none" w:sz="0" w:space="0" w:color="auto"/>
            <w:left w:val="none" w:sz="0" w:space="0" w:color="auto"/>
            <w:bottom w:val="none" w:sz="0" w:space="0" w:color="auto"/>
            <w:right w:val="none" w:sz="0" w:space="0" w:color="auto"/>
          </w:divBdr>
        </w:div>
      </w:divsChild>
    </w:div>
    <w:div w:id="1422222093">
      <w:bodyDiv w:val="1"/>
      <w:marLeft w:val="0"/>
      <w:marRight w:val="0"/>
      <w:marTop w:val="0"/>
      <w:marBottom w:val="0"/>
      <w:divBdr>
        <w:top w:val="none" w:sz="0" w:space="0" w:color="auto"/>
        <w:left w:val="none" w:sz="0" w:space="0" w:color="auto"/>
        <w:bottom w:val="none" w:sz="0" w:space="0" w:color="auto"/>
        <w:right w:val="none" w:sz="0" w:space="0" w:color="auto"/>
      </w:divBdr>
      <w:divsChild>
        <w:div w:id="1552186345">
          <w:marLeft w:val="547"/>
          <w:marRight w:val="0"/>
          <w:marTop w:val="77"/>
          <w:marBottom w:val="120"/>
          <w:divBdr>
            <w:top w:val="none" w:sz="0" w:space="0" w:color="auto"/>
            <w:left w:val="none" w:sz="0" w:space="0" w:color="auto"/>
            <w:bottom w:val="none" w:sz="0" w:space="0" w:color="auto"/>
            <w:right w:val="none" w:sz="0" w:space="0" w:color="auto"/>
          </w:divBdr>
        </w:div>
      </w:divsChild>
    </w:div>
    <w:div w:id="1436511494">
      <w:bodyDiv w:val="1"/>
      <w:marLeft w:val="0"/>
      <w:marRight w:val="0"/>
      <w:marTop w:val="0"/>
      <w:marBottom w:val="0"/>
      <w:divBdr>
        <w:top w:val="none" w:sz="0" w:space="0" w:color="auto"/>
        <w:left w:val="none" w:sz="0" w:space="0" w:color="auto"/>
        <w:bottom w:val="none" w:sz="0" w:space="0" w:color="auto"/>
        <w:right w:val="none" w:sz="0" w:space="0" w:color="auto"/>
      </w:divBdr>
      <w:divsChild>
        <w:div w:id="299506315">
          <w:marLeft w:val="1166"/>
          <w:marRight w:val="0"/>
          <w:marTop w:val="67"/>
          <w:marBottom w:val="0"/>
          <w:divBdr>
            <w:top w:val="none" w:sz="0" w:space="0" w:color="auto"/>
            <w:left w:val="none" w:sz="0" w:space="0" w:color="auto"/>
            <w:bottom w:val="none" w:sz="0" w:space="0" w:color="auto"/>
            <w:right w:val="none" w:sz="0" w:space="0" w:color="auto"/>
          </w:divBdr>
        </w:div>
        <w:div w:id="1566379687">
          <w:marLeft w:val="1166"/>
          <w:marRight w:val="0"/>
          <w:marTop w:val="67"/>
          <w:marBottom w:val="0"/>
          <w:divBdr>
            <w:top w:val="none" w:sz="0" w:space="0" w:color="auto"/>
            <w:left w:val="none" w:sz="0" w:space="0" w:color="auto"/>
            <w:bottom w:val="none" w:sz="0" w:space="0" w:color="auto"/>
            <w:right w:val="none" w:sz="0" w:space="0" w:color="auto"/>
          </w:divBdr>
        </w:div>
        <w:div w:id="1844320149">
          <w:marLeft w:val="547"/>
          <w:marRight w:val="0"/>
          <w:marTop w:val="77"/>
          <w:marBottom w:val="0"/>
          <w:divBdr>
            <w:top w:val="none" w:sz="0" w:space="0" w:color="auto"/>
            <w:left w:val="none" w:sz="0" w:space="0" w:color="auto"/>
            <w:bottom w:val="none" w:sz="0" w:space="0" w:color="auto"/>
            <w:right w:val="none" w:sz="0" w:space="0" w:color="auto"/>
          </w:divBdr>
        </w:div>
      </w:divsChild>
    </w:div>
    <w:div w:id="1458911044">
      <w:bodyDiv w:val="1"/>
      <w:marLeft w:val="0"/>
      <w:marRight w:val="0"/>
      <w:marTop w:val="0"/>
      <w:marBottom w:val="0"/>
      <w:divBdr>
        <w:top w:val="none" w:sz="0" w:space="0" w:color="auto"/>
        <w:left w:val="none" w:sz="0" w:space="0" w:color="auto"/>
        <w:bottom w:val="none" w:sz="0" w:space="0" w:color="auto"/>
        <w:right w:val="none" w:sz="0" w:space="0" w:color="auto"/>
      </w:divBdr>
    </w:div>
    <w:div w:id="1580947194">
      <w:bodyDiv w:val="1"/>
      <w:marLeft w:val="0"/>
      <w:marRight w:val="0"/>
      <w:marTop w:val="0"/>
      <w:marBottom w:val="0"/>
      <w:divBdr>
        <w:top w:val="none" w:sz="0" w:space="0" w:color="auto"/>
        <w:left w:val="none" w:sz="0" w:space="0" w:color="auto"/>
        <w:bottom w:val="none" w:sz="0" w:space="0" w:color="auto"/>
        <w:right w:val="none" w:sz="0" w:space="0" w:color="auto"/>
      </w:divBdr>
      <w:divsChild>
        <w:div w:id="255555688">
          <w:marLeft w:val="547"/>
          <w:marRight w:val="0"/>
          <w:marTop w:val="77"/>
          <w:marBottom w:val="120"/>
          <w:divBdr>
            <w:top w:val="none" w:sz="0" w:space="0" w:color="auto"/>
            <w:left w:val="none" w:sz="0" w:space="0" w:color="auto"/>
            <w:bottom w:val="none" w:sz="0" w:space="0" w:color="auto"/>
            <w:right w:val="none" w:sz="0" w:space="0" w:color="auto"/>
          </w:divBdr>
        </w:div>
        <w:div w:id="1060591925">
          <w:marLeft w:val="547"/>
          <w:marRight w:val="0"/>
          <w:marTop w:val="77"/>
          <w:marBottom w:val="120"/>
          <w:divBdr>
            <w:top w:val="none" w:sz="0" w:space="0" w:color="auto"/>
            <w:left w:val="none" w:sz="0" w:space="0" w:color="auto"/>
            <w:bottom w:val="none" w:sz="0" w:space="0" w:color="auto"/>
            <w:right w:val="none" w:sz="0" w:space="0" w:color="auto"/>
          </w:divBdr>
        </w:div>
        <w:div w:id="1225793591">
          <w:marLeft w:val="547"/>
          <w:marRight w:val="0"/>
          <w:marTop w:val="77"/>
          <w:marBottom w:val="120"/>
          <w:divBdr>
            <w:top w:val="none" w:sz="0" w:space="0" w:color="auto"/>
            <w:left w:val="none" w:sz="0" w:space="0" w:color="auto"/>
            <w:bottom w:val="none" w:sz="0" w:space="0" w:color="auto"/>
            <w:right w:val="none" w:sz="0" w:space="0" w:color="auto"/>
          </w:divBdr>
        </w:div>
        <w:div w:id="1459373892">
          <w:marLeft w:val="547"/>
          <w:marRight w:val="0"/>
          <w:marTop w:val="77"/>
          <w:marBottom w:val="120"/>
          <w:divBdr>
            <w:top w:val="none" w:sz="0" w:space="0" w:color="auto"/>
            <w:left w:val="none" w:sz="0" w:space="0" w:color="auto"/>
            <w:bottom w:val="none" w:sz="0" w:space="0" w:color="auto"/>
            <w:right w:val="none" w:sz="0" w:space="0" w:color="auto"/>
          </w:divBdr>
        </w:div>
        <w:div w:id="1610696025">
          <w:marLeft w:val="547"/>
          <w:marRight w:val="0"/>
          <w:marTop w:val="77"/>
          <w:marBottom w:val="120"/>
          <w:divBdr>
            <w:top w:val="none" w:sz="0" w:space="0" w:color="auto"/>
            <w:left w:val="none" w:sz="0" w:space="0" w:color="auto"/>
            <w:bottom w:val="none" w:sz="0" w:space="0" w:color="auto"/>
            <w:right w:val="none" w:sz="0" w:space="0" w:color="auto"/>
          </w:divBdr>
        </w:div>
        <w:div w:id="1722821831">
          <w:marLeft w:val="547"/>
          <w:marRight w:val="0"/>
          <w:marTop w:val="77"/>
          <w:marBottom w:val="120"/>
          <w:divBdr>
            <w:top w:val="none" w:sz="0" w:space="0" w:color="auto"/>
            <w:left w:val="none" w:sz="0" w:space="0" w:color="auto"/>
            <w:bottom w:val="none" w:sz="0" w:space="0" w:color="auto"/>
            <w:right w:val="none" w:sz="0" w:space="0" w:color="auto"/>
          </w:divBdr>
        </w:div>
        <w:div w:id="1981033892">
          <w:marLeft w:val="547"/>
          <w:marRight w:val="0"/>
          <w:marTop w:val="77"/>
          <w:marBottom w:val="120"/>
          <w:divBdr>
            <w:top w:val="none" w:sz="0" w:space="0" w:color="auto"/>
            <w:left w:val="none" w:sz="0" w:space="0" w:color="auto"/>
            <w:bottom w:val="none" w:sz="0" w:space="0" w:color="auto"/>
            <w:right w:val="none" w:sz="0" w:space="0" w:color="auto"/>
          </w:divBdr>
        </w:div>
      </w:divsChild>
    </w:div>
    <w:div w:id="1694840877">
      <w:bodyDiv w:val="1"/>
      <w:marLeft w:val="0"/>
      <w:marRight w:val="0"/>
      <w:marTop w:val="0"/>
      <w:marBottom w:val="0"/>
      <w:divBdr>
        <w:top w:val="none" w:sz="0" w:space="0" w:color="auto"/>
        <w:left w:val="none" w:sz="0" w:space="0" w:color="auto"/>
        <w:bottom w:val="none" w:sz="0" w:space="0" w:color="auto"/>
        <w:right w:val="none" w:sz="0" w:space="0" w:color="auto"/>
      </w:divBdr>
      <w:divsChild>
        <w:div w:id="617378219">
          <w:marLeft w:val="547"/>
          <w:marRight w:val="0"/>
          <w:marTop w:val="77"/>
          <w:marBottom w:val="120"/>
          <w:divBdr>
            <w:top w:val="none" w:sz="0" w:space="0" w:color="auto"/>
            <w:left w:val="none" w:sz="0" w:space="0" w:color="auto"/>
            <w:bottom w:val="none" w:sz="0" w:space="0" w:color="auto"/>
            <w:right w:val="none" w:sz="0" w:space="0" w:color="auto"/>
          </w:divBdr>
        </w:div>
      </w:divsChild>
    </w:div>
    <w:div w:id="1699964724">
      <w:bodyDiv w:val="1"/>
      <w:marLeft w:val="0"/>
      <w:marRight w:val="0"/>
      <w:marTop w:val="0"/>
      <w:marBottom w:val="0"/>
      <w:divBdr>
        <w:top w:val="none" w:sz="0" w:space="0" w:color="auto"/>
        <w:left w:val="none" w:sz="0" w:space="0" w:color="auto"/>
        <w:bottom w:val="none" w:sz="0" w:space="0" w:color="auto"/>
        <w:right w:val="none" w:sz="0" w:space="0" w:color="auto"/>
      </w:divBdr>
    </w:div>
    <w:div w:id="1931232400">
      <w:bodyDiv w:val="1"/>
      <w:marLeft w:val="0"/>
      <w:marRight w:val="0"/>
      <w:marTop w:val="0"/>
      <w:marBottom w:val="0"/>
      <w:divBdr>
        <w:top w:val="none" w:sz="0" w:space="0" w:color="auto"/>
        <w:left w:val="none" w:sz="0" w:space="0" w:color="auto"/>
        <w:bottom w:val="none" w:sz="0" w:space="0" w:color="auto"/>
        <w:right w:val="none" w:sz="0" w:space="0" w:color="auto"/>
      </w:divBdr>
      <w:divsChild>
        <w:div w:id="163015433">
          <w:marLeft w:val="1166"/>
          <w:marRight w:val="0"/>
          <w:marTop w:val="58"/>
          <w:marBottom w:val="120"/>
          <w:divBdr>
            <w:top w:val="none" w:sz="0" w:space="0" w:color="auto"/>
            <w:left w:val="none" w:sz="0" w:space="0" w:color="auto"/>
            <w:bottom w:val="none" w:sz="0" w:space="0" w:color="auto"/>
            <w:right w:val="none" w:sz="0" w:space="0" w:color="auto"/>
          </w:divBdr>
        </w:div>
      </w:divsChild>
    </w:div>
    <w:div w:id="1992711438">
      <w:bodyDiv w:val="1"/>
      <w:marLeft w:val="0"/>
      <w:marRight w:val="0"/>
      <w:marTop w:val="0"/>
      <w:marBottom w:val="0"/>
      <w:divBdr>
        <w:top w:val="none" w:sz="0" w:space="0" w:color="auto"/>
        <w:left w:val="none" w:sz="0" w:space="0" w:color="auto"/>
        <w:bottom w:val="none" w:sz="0" w:space="0" w:color="auto"/>
        <w:right w:val="none" w:sz="0" w:space="0" w:color="auto"/>
      </w:divBdr>
      <w:divsChild>
        <w:div w:id="472480192">
          <w:marLeft w:val="547"/>
          <w:marRight w:val="0"/>
          <w:marTop w:val="77"/>
          <w:marBottom w:val="0"/>
          <w:divBdr>
            <w:top w:val="none" w:sz="0" w:space="0" w:color="auto"/>
            <w:left w:val="none" w:sz="0" w:space="0" w:color="auto"/>
            <w:bottom w:val="none" w:sz="0" w:space="0" w:color="auto"/>
            <w:right w:val="none" w:sz="0" w:space="0" w:color="auto"/>
          </w:divBdr>
        </w:div>
      </w:divsChild>
    </w:div>
    <w:div w:id="2128111735">
      <w:bodyDiv w:val="1"/>
      <w:marLeft w:val="0"/>
      <w:marRight w:val="0"/>
      <w:marTop w:val="0"/>
      <w:marBottom w:val="0"/>
      <w:divBdr>
        <w:top w:val="none" w:sz="0" w:space="0" w:color="auto"/>
        <w:left w:val="none" w:sz="0" w:space="0" w:color="auto"/>
        <w:bottom w:val="none" w:sz="0" w:space="0" w:color="auto"/>
        <w:right w:val="none" w:sz="0" w:space="0" w:color="auto"/>
      </w:divBdr>
      <w:divsChild>
        <w:div w:id="1628245049">
          <w:marLeft w:val="547"/>
          <w:marRight w:val="0"/>
          <w:marTop w:val="77"/>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itehawk.com/cyber-risk-paas" TargetMode="External"/><Relationship Id="rId13" Type="http://schemas.openxmlformats.org/officeDocument/2006/relationships/hyperlink" Target="https://communications.whitehawk.com/WhiteHawk-products-services/Cyber-Risk-and-Vulnerability-Trend-Analysis-of-the-US-Energy-Sector.pdf" TargetMode="External"/><Relationship Id="rId18" Type="http://schemas.openxmlformats.org/officeDocument/2006/relationships/hyperlink" Target="https://www.ferc.gov/media/e-2-rm21-3-0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isac.com/services/cyber-security-depth" TargetMode="External"/><Relationship Id="rId7" Type="http://schemas.openxmlformats.org/officeDocument/2006/relationships/endnotes" Target="endnotes.xml"/><Relationship Id="rId12" Type="http://schemas.openxmlformats.org/officeDocument/2006/relationships/hyperlink" Target="https://www.whitehawk.com/marketplace/products" TargetMode="External"/><Relationship Id="rId17" Type="http://schemas.openxmlformats.org/officeDocument/2006/relationships/image" Target="media/image2.emf"/><Relationship Id="rId25" Type="http://schemas.openxmlformats.org/officeDocument/2006/relationships/hyperlink" Target="https://goo.gl/maps/J6GsMggjYZfCPLF7A"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naseo.org/data/sites/1/documents/publications/Final%20NASEO_Cybersecurity%20Report%20(062020).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awk.com/innovative-vendors" TargetMode="External"/><Relationship Id="rId24" Type="http://schemas.openxmlformats.org/officeDocument/2006/relationships/hyperlink" Target="https://goo.gl/maps/J6GsMggjYZfCPLF7A" TargetMode="External"/><Relationship Id="rId5" Type="http://schemas.openxmlformats.org/officeDocument/2006/relationships/webSettings" Target="webSettings.xml"/><Relationship Id="rId15" Type="http://schemas.openxmlformats.org/officeDocument/2006/relationships/hyperlink" Target="https://www.whitehawk.com/cyber-risk-radar"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whitehawk.com/cyber-risk-radar" TargetMode="External"/><Relationship Id="rId19" Type="http://schemas.openxmlformats.org/officeDocument/2006/relationships/hyperlink" Target="https://www.energy.gov/ceser/state-local-tribal-and-territorial-sltt-program"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cisa.gov/cyber-qsmo-services" TargetMode="External"/><Relationship Id="rId14" Type="http://schemas.openxmlformats.org/officeDocument/2006/relationships/hyperlink" Target="https://www.whitehawk.com/cyber-risk-scorecard" TargetMode="External"/><Relationship Id="rId22" Type="http://schemas.openxmlformats.org/officeDocument/2006/relationships/hyperlink" Target="http://www.whitehawk.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A015C27563304BA9608B9C165B4A2D" ma:contentTypeVersion="12" ma:contentTypeDescription="Create a new document." ma:contentTypeScope="" ma:versionID="3b5c13b72d8b224ea0303970191c6580">
  <xsd:schema xmlns:xsd="http://www.w3.org/2001/XMLSchema" xmlns:xs="http://www.w3.org/2001/XMLSchema" xmlns:p="http://schemas.microsoft.com/office/2006/metadata/properties" xmlns:ns2="7305ee1e-2738-42a5-8a89-6e8963b55926" xmlns:ns3="1eec20a9-7098-4619-a204-478c53b72f4c" targetNamespace="http://schemas.microsoft.com/office/2006/metadata/properties" ma:root="true" ma:fieldsID="3d1f6d81c92ceffb7a4db9d5f4505633" ns2:_="" ns3:_="">
    <xsd:import namespace="7305ee1e-2738-42a5-8a89-6e8963b55926"/>
    <xsd:import namespace="1eec20a9-7098-4619-a204-478c53b72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ee1e-2738-42a5-8a89-6e8963b55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c20a9-7098-4619-a204-478c53b72f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3049A-FB9C-2F4D-83AA-F2157320A31C}">
  <ds:schemaRefs>
    <ds:schemaRef ds:uri="http://schemas.openxmlformats.org/officeDocument/2006/bibliography"/>
  </ds:schemaRefs>
</ds:datastoreItem>
</file>

<file path=customXml/itemProps2.xml><?xml version="1.0" encoding="utf-8"?>
<ds:datastoreItem xmlns:ds="http://schemas.openxmlformats.org/officeDocument/2006/customXml" ds:itemID="{1B20923B-898D-41E4-8E74-4BA94374279B}"/>
</file>

<file path=customXml/itemProps3.xml><?xml version="1.0" encoding="utf-8"?>
<ds:datastoreItem xmlns:ds="http://schemas.openxmlformats.org/officeDocument/2006/customXml" ds:itemID="{B87FBE21-1C56-4404-9508-3A288AA0EAD0}"/>
</file>

<file path=customXml/itemProps4.xml><?xml version="1.0" encoding="utf-8"?>
<ds:datastoreItem xmlns:ds="http://schemas.openxmlformats.org/officeDocument/2006/customXml" ds:itemID="{8F4A8C10-C924-4824-A68F-36A6EBBD3666}"/>
</file>

<file path=docProps/app.xml><?xml version="1.0" encoding="utf-8"?>
<Properties xmlns="http://schemas.openxmlformats.org/officeDocument/2006/extended-properties" xmlns:vt="http://schemas.openxmlformats.org/officeDocument/2006/docPropsVTypes">
  <Template>Normal.dotm</Template>
  <TotalTime>0</TotalTime>
  <Pages>10</Pages>
  <Words>4454</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Rapp</dc:creator>
  <cp:keywords/>
  <dc:description/>
  <cp:lastModifiedBy>Terry Roberts</cp:lastModifiedBy>
  <cp:revision>2</cp:revision>
  <dcterms:created xsi:type="dcterms:W3CDTF">2021-06-04T13:24:00Z</dcterms:created>
  <dcterms:modified xsi:type="dcterms:W3CDTF">2021-06-04T13:24:00Z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0x0101005AA015C27563304BA9608B9C165B4A2D</vt:lpwstr>
  </property>
</Properties>
</file>