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FC99" w14:textId="3C274842" w:rsidR="000E3A08" w:rsidRPr="000E3A08" w:rsidRDefault="000E3A08" w:rsidP="000E3A08">
      <w:pPr>
        <w:spacing w:after="0"/>
        <w:rPr>
          <w:rFonts w:cstheme="minorHAnsi"/>
        </w:rPr>
      </w:pPr>
    </w:p>
    <w:p w14:paraId="7C2C29DA" w14:textId="19F25407" w:rsidR="000E3A08" w:rsidRDefault="000E3A08" w:rsidP="000E3A08">
      <w:pPr>
        <w:tabs>
          <w:tab w:val="left" w:pos="4320"/>
        </w:tabs>
        <w:spacing w:after="0"/>
        <w:ind w:left="4320" w:hanging="4320"/>
        <w:rPr>
          <w:rFonts w:cstheme="minorHAnsi"/>
        </w:rPr>
      </w:pPr>
      <w:r w:rsidRPr="000E3A08">
        <w:rPr>
          <w:rFonts w:cstheme="minorHAnsi"/>
        </w:rPr>
        <w:t xml:space="preserve">Submitted to: </w:t>
      </w:r>
      <w:r w:rsidRPr="000E3A08">
        <w:rPr>
          <w:rFonts w:cstheme="minorHAnsi"/>
        </w:rPr>
        <w:tab/>
      </w:r>
      <w:r w:rsidR="007C44F2">
        <w:rPr>
          <w:rFonts w:cstheme="minorHAnsi"/>
        </w:rPr>
        <w:t xml:space="preserve">Mr. </w:t>
      </w:r>
      <w:r w:rsidRPr="000E3A08">
        <w:rPr>
          <w:rFonts w:cstheme="minorHAnsi"/>
          <w:color w:val="333333"/>
        </w:rPr>
        <w:t>Michael Coe, Director, Energy Resilience Division of the Office of Electricity, U.S. Department of Energy, Mailstop OE-20, Room 8H-033, 1000 Independence Avenue SW, Washington, DC 20585</w:t>
      </w:r>
      <w:r w:rsidRPr="000E3A08">
        <w:rPr>
          <w:rFonts w:cstheme="minorHAnsi"/>
        </w:rPr>
        <w:tab/>
      </w:r>
    </w:p>
    <w:p w14:paraId="5F8A5194" w14:textId="1DC0CBA3" w:rsidR="000E3A08" w:rsidRDefault="000E3A08" w:rsidP="000E3A08">
      <w:pPr>
        <w:tabs>
          <w:tab w:val="left" w:pos="4320"/>
        </w:tabs>
        <w:spacing w:after="0"/>
        <w:ind w:left="4320" w:hanging="4320"/>
        <w:rPr>
          <w:rFonts w:cstheme="minorHAnsi"/>
        </w:rPr>
      </w:pPr>
    </w:p>
    <w:p w14:paraId="0850F952" w14:textId="4131537C" w:rsidR="000E3A08" w:rsidRDefault="000E3A08" w:rsidP="000E3A08">
      <w:pPr>
        <w:tabs>
          <w:tab w:val="left" w:pos="4320"/>
        </w:tabs>
        <w:spacing w:after="0"/>
        <w:ind w:left="4320" w:hanging="4320"/>
        <w:rPr>
          <w:rFonts w:cstheme="minorHAnsi"/>
        </w:rPr>
      </w:pPr>
      <w:r>
        <w:rPr>
          <w:rFonts w:cstheme="minorHAnsi"/>
        </w:rPr>
        <w:t>Via:</w:t>
      </w:r>
      <w:r>
        <w:rPr>
          <w:rFonts w:cstheme="minorHAnsi"/>
        </w:rPr>
        <w:tab/>
        <w:t>Electronic Submission</w:t>
      </w:r>
    </w:p>
    <w:p w14:paraId="1C5C9836" w14:textId="2CAC6478" w:rsidR="000E3A08" w:rsidRPr="007C44F2" w:rsidRDefault="000E3A08" w:rsidP="000E3A08">
      <w:pPr>
        <w:tabs>
          <w:tab w:val="left" w:pos="4320"/>
        </w:tabs>
        <w:spacing w:after="0"/>
        <w:ind w:left="4320" w:hanging="4320"/>
        <w:rPr>
          <w:rFonts w:cstheme="minorHAnsi"/>
        </w:rPr>
      </w:pPr>
      <w:r>
        <w:rPr>
          <w:rFonts w:cstheme="minorHAnsi"/>
        </w:rPr>
        <w:tab/>
      </w:r>
      <w:hyperlink r:id="rId7" w:history="1">
        <w:r w:rsidR="007C44F2" w:rsidRPr="007C44F2">
          <w:rPr>
            <w:rStyle w:val="Hyperlink"/>
            <w:rFonts w:cstheme="minorHAnsi"/>
            <w:i/>
            <w:iCs/>
            <w:color w:val="auto"/>
            <w:u w:val="none"/>
            <w:bdr w:val="none" w:sz="0" w:space="0" w:color="auto" w:frame="1"/>
          </w:rPr>
          <w:t>ElectricSystemEO@hq.doe.gov</w:t>
        </w:r>
      </w:hyperlink>
    </w:p>
    <w:p w14:paraId="3F8A1DD4" w14:textId="77777777" w:rsidR="000E3A08" w:rsidRDefault="000E3A08" w:rsidP="000E3A08">
      <w:pPr>
        <w:tabs>
          <w:tab w:val="left" w:pos="4320"/>
        </w:tabs>
        <w:spacing w:after="0"/>
        <w:ind w:left="4320" w:hanging="4320"/>
        <w:rPr>
          <w:rFonts w:cstheme="minorHAnsi"/>
        </w:rPr>
      </w:pPr>
    </w:p>
    <w:p w14:paraId="518701F5" w14:textId="6730D017" w:rsidR="000E3A08" w:rsidRPr="000E3A08" w:rsidRDefault="000E3A08" w:rsidP="000E3A08">
      <w:pPr>
        <w:tabs>
          <w:tab w:val="left" w:pos="4320"/>
        </w:tabs>
        <w:spacing w:after="0"/>
        <w:ind w:left="4320" w:hanging="4320"/>
        <w:rPr>
          <w:rFonts w:cstheme="minorHAnsi"/>
        </w:rPr>
      </w:pPr>
      <w:r w:rsidRPr="000E3A08">
        <w:rPr>
          <w:rFonts w:cstheme="minorHAnsi"/>
        </w:rPr>
        <w:t>Date</w:t>
      </w:r>
      <w:r>
        <w:rPr>
          <w:rFonts w:cstheme="minorHAnsi"/>
        </w:rPr>
        <w:t xml:space="preserve"> Submitted</w:t>
      </w:r>
      <w:r w:rsidRPr="000E3A08">
        <w:rPr>
          <w:rFonts w:cstheme="minorHAnsi"/>
        </w:rPr>
        <w:t xml:space="preserve">: </w:t>
      </w:r>
      <w:r w:rsidRPr="000E3A08">
        <w:rPr>
          <w:rFonts w:cstheme="minorHAnsi"/>
        </w:rPr>
        <w:tab/>
      </w:r>
      <w:r w:rsidR="00CB5DDE" w:rsidRPr="0072615C">
        <w:rPr>
          <w:rFonts w:cstheme="minorHAnsi"/>
          <w:shd w:val="clear" w:color="auto" w:fill="FFFFFF" w:themeFill="background1"/>
        </w:rPr>
        <w:t xml:space="preserve">June </w:t>
      </w:r>
      <w:r w:rsidR="00E143E1" w:rsidRPr="0072615C">
        <w:rPr>
          <w:rFonts w:cstheme="minorHAnsi"/>
          <w:shd w:val="clear" w:color="auto" w:fill="FFFFFF" w:themeFill="background1"/>
        </w:rPr>
        <w:t>7</w:t>
      </w:r>
      <w:r w:rsidRPr="0072615C">
        <w:rPr>
          <w:rFonts w:cstheme="minorHAnsi"/>
        </w:rPr>
        <w:t>,</w:t>
      </w:r>
      <w:r w:rsidRPr="000E3A08">
        <w:rPr>
          <w:rFonts w:cstheme="minorHAnsi"/>
        </w:rPr>
        <w:t xml:space="preserve"> 2021</w:t>
      </w:r>
    </w:p>
    <w:p w14:paraId="1477D35A" w14:textId="77777777" w:rsidR="000E3A08" w:rsidRDefault="000E3A08" w:rsidP="000E3A08">
      <w:pPr>
        <w:tabs>
          <w:tab w:val="left" w:pos="4320"/>
        </w:tabs>
        <w:spacing w:after="0"/>
        <w:ind w:left="4320" w:hanging="4320"/>
        <w:rPr>
          <w:rFonts w:cstheme="minorHAnsi"/>
        </w:rPr>
      </w:pPr>
    </w:p>
    <w:p w14:paraId="40E39E9C" w14:textId="77777777" w:rsidR="000E3A08" w:rsidRDefault="000E3A08" w:rsidP="000E3A08">
      <w:pPr>
        <w:tabs>
          <w:tab w:val="left" w:pos="4320"/>
        </w:tabs>
        <w:spacing w:after="0"/>
        <w:ind w:left="4320" w:hanging="4320"/>
        <w:rPr>
          <w:rFonts w:cstheme="minorHAnsi"/>
        </w:rPr>
      </w:pPr>
      <w:r w:rsidRPr="000E3A08">
        <w:rPr>
          <w:rFonts w:cstheme="minorHAnsi"/>
        </w:rPr>
        <w:t xml:space="preserve">From: </w:t>
      </w:r>
      <w:r w:rsidRPr="000E3A08">
        <w:rPr>
          <w:rFonts w:cstheme="minorHAnsi"/>
        </w:rPr>
        <w:tab/>
      </w:r>
      <w:r w:rsidRPr="000E3A08">
        <w:rPr>
          <w:rFonts w:cstheme="minorHAnsi"/>
          <w:b/>
          <w:bCs/>
        </w:rPr>
        <w:t>1) Mr. Dominick Birolin</w:t>
      </w:r>
    </w:p>
    <w:p w14:paraId="07EC2D98" w14:textId="3560CB8E" w:rsidR="000E3A08" w:rsidRPr="000E3A08" w:rsidRDefault="000E3A08" w:rsidP="000E3A08">
      <w:pPr>
        <w:tabs>
          <w:tab w:val="left" w:pos="4320"/>
        </w:tabs>
        <w:spacing w:after="0"/>
        <w:ind w:left="4320" w:hanging="4320"/>
        <w:rPr>
          <w:rFonts w:cstheme="minorHAnsi"/>
        </w:rPr>
      </w:pPr>
      <w:r>
        <w:rPr>
          <w:rFonts w:cstheme="minorHAnsi"/>
        </w:rPr>
        <w:tab/>
      </w:r>
      <w:r w:rsidRPr="000E3A08">
        <w:rPr>
          <w:rFonts w:cstheme="minorHAnsi"/>
        </w:rPr>
        <w:t xml:space="preserve"> Vice President</w:t>
      </w:r>
      <w:r>
        <w:rPr>
          <w:rFonts w:cstheme="minorHAnsi"/>
        </w:rPr>
        <w:t xml:space="preserve"> of </w:t>
      </w:r>
      <w:r w:rsidRPr="000E3A08">
        <w:rPr>
          <w:rFonts w:cstheme="minorHAnsi"/>
        </w:rPr>
        <w:t>Cybersecurity</w:t>
      </w:r>
      <w:r>
        <w:rPr>
          <w:rFonts w:cstheme="minorHAnsi"/>
        </w:rPr>
        <w:t xml:space="preserve"> Services</w:t>
      </w:r>
    </w:p>
    <w:p w14:paraId="5792257B" w14:textId="21F3854A" w:rsidR="00C81B96" w:rsidRPr="00C81B96" w:rsidRDefault="000E3A08" w:rsidP="00C81B96">
      <w:pPr>
        <w:tabs>
          <w:tab w:val="left" w:pos="4320"/>
        </w:tabs>
        <w:spacing w:after="0"/>
        <w:ind w:left="4320" w:hanging="4320"/>
        <w:rPr>
          <w:rFonts w:cstheme="minorHAnsi"/>
          <w:b/>
          <w:bCs/>
        </w:rPr>
      </w:pPr>
      <w:r>
        <w:rPr>
          <w:rFonts w:cstheme="minorHAnsi"/>
        </w:rPr>
        <w:tab/>
      </w:r>
      <w:r w:rsidRPr="000E3A08">
        <w:rPr>
          <w:rFonts w:cstheme="minorHAnsi"/>
          <w:b/>
          <w:bCs/>
        </w:rPr>
        <w:t>PFES</w:t>
      </w:r>
    </w:p>
    <w:p w14:paraId="1CB4BB53" w14:textId="77777777" w:rsidR="00C81B96" w:rsidRPr="00C81B96" w:rsidRDefault="00C81B96" w:rsidP="00C81B96">
      <w:pPr>
        <w:tabs>
          <w:tab w:val="left" w:pos="4320"/>
        </w:tabs>
        <w:spacing w:after="0"/>
        <w:ind w:left="4320"/>
        <w:rPr>
          <w:rFonts w:cstheme="minorHAnsi"/>
        </w:rPr>
      </w:pPr>
      <w:r w:rsidRPr="00C81B96">
        <w:rPr>
          <w:rFonts w:cstheme="minorHAnsi"/>
        </w:rPr>
        <w:t>800 Hillgrove Avenue, Suite 201</w:t>
      </w:r>
    </w:p>
    <w:p w14:paraId="5186704C" w14:textId="5C83183F" w:rsidR="00C81B96" w:rsidRPr="00CB5DDE" w:rsidRDefault="00C81B96" w:rsidP="00C81B96">
      <w:pPr>
        <w:tabs>
          <w:tab w:val="left" w:pos="4320"/>
        </w:tabs>
        <w:spacing w:after="0"/>
        <w:ind w:left="4320"/>
        <w:rPr>
          <w:rFonts w:cstheme="minorHAnsi"/>
        </w:rPr>
      </w:pPr>
      <w:r w:rsidRPr="00CB5DDE">
        <w:rPr>
          <w:rFonts w:cstheme="minorHAnsi"/>
        </w:rPr>
        <w:t>Western Springs, IL 60558</w:t>
      </w:r>
    </w:p>
    <w:p w14:paraId="7C55DE5D" w14:textId="4F15D64E" w:rsidR="000E3A08" w:rsidRPr="00CB5DDE" w:rsidRDefault="000E3A08" w:rsidP="000E3A08">
      <w:pPr>
        <w:tabs>
          <w:tab w:val="left" w:pos="4320"/>
        </w:tabs>
        <w:spacing w:after="0"/>
        <w:ind w:left="4320" w:hanging="4320"/>
        <w:rPr>
          <w:rFonts w:cstheme="minorHAnsi"/>
        </w:rPr>
      </w:pPr>
      <w:r w:rsidRPr="00CB5DDE">
        <w:rPr>
          <w:rFonts w:cstheme="minorHAnsi"/>
        </w:rPr>
        <w:tab/>
      </w:r>
      <w:r w:rsidR="00CB5DDE" w:rsidRPr="00CB5DDE">
        <w:rPr>
          <w:rFonts w:cstheme="minorHAnsi"/>
        </w:rPr>
        <w:t>dbirolin@pfes.com</w:t>
      </w:r>
      <w:r w:rsidRPr="00CB5DDE">
        <w:rPr>
          <w:rFonts w:cstheme="minorHAnsi"/>
        </w:rPr>
        <w:t xml:space="preserve">, </w:t>
      </w:r>
      <w:r w:rsidR="00CB5DDE" w:rsidRPr="00CB5DDE">
        <w:rPr>
          <w:rFonts w:ascii="Arial" w:hAnsi="Arial" w:cs="Arial"/>
          <w:color w:val="202124"/>
          <w:sz w:val="18"/>
          <w:szCs w:val="18"/>
          <w:shd w:val="clear" w:color="auto" w:fill="FFFFFF"/>
        </w:rPr>
        <w:t>910-660-3204</w:t>
      </w:r>
    </w:p>
    <w:p w14:paraId="361B9E8E" w14:textId="77777777" w:rsidR="000E3A08" w:rsidRPr="00CB5DDE" w:rsidRDefault="000E3A08" w:rsidP="000E3A08">
      <w:pPr>
        <w:tabs>
          <w:tab w:val="left" w:pos="4320"/>
        </w:tabs>
        <w:spacing w:after="0"/>
        <w:ind w:left="4320" w:hanging="4320"/>
        <w:rPr>
          <w:rFonts w:cstheme="minorHAnsi"/>
          <w:b/>
          <w:bCs/>
        </w:rPr>
      </w:pPr>
      <w:r w:rsidRPr="00CB5DDE">
        <w:rPr>
          <w:rFonts w:cstheme="minorHAnsi"/>
        </w:rPr>
        <w:tab/>
      </w:r>
      <w:r w:rsidRPr="00CB5DDE">
        <w:rPr>
          <w:rFonts w:cstheme="minorHAnsi"/>
          <w:b/>
          <w:bCs/>
        </w:rPr>
        <w:t>2) Mr. Patrick C. Miller</w:t>
      </w:r>
    </w:p>
    <w:p w14:paraId="3614CE9D" w14:textId="56ABF512" w:rsidR="000E3A08" w:rsidRPr="00CB5DDE" w:rsidRDefault="000E3A08" w:rsidP="000E3A08">
      <w:pPr>
        <w:tabs>
          <w:tab w:val="left" w:pos="4320"/>
        </w:tabs>
        <w:spacing w:after="0"/>
        <w:ind w:left="4320" w:hanging="4320"/>
        <w:rPr>
          <w:rFonts w:cstheme="minorHAnsi"/>
        </w:rPr>
      </w:pPr>
      <w:r w:rsidRPr="00CB5DDE">
        <w:rPr>
          <w:rFonts w:cstheme="minorHAnsi"/>
        </w:rPr>
        <w:tab/>
      </w:r>
      <w:r w:rsidR="00E143E1">
        <w:rPr>
          <w:rFonts w:cstheme="minorHAnsi"/>
        </w:rPr>
        <w:t>President</w:t>
      </w:r>
    </w:p>
    <w:p w14:paraId="4A0BDB2D" w14:textId="028F7413" w:rsidR="000E3A08" w:rsidRPr="00CB5DDE" w:rsidRDefault="000E3A08" w:rsidP="000E3A08">
      <w:pPr>
        <w:tabs>
          <w:tab w:val="left" w:pos="4320"/>
        </w:tabs>
        <w:spacing w:after="0"/>
        <w:ind w:left="4320" w:hanging="4320"/>
        <w:rPr>
          <w:rFonts w:cstheme="minorHAnsi"/>
          <w:b/>
          <w:bCs/>
        </w:rPr>
      </w:pPr>
      <w:r w:rsidRPr="00CB5DDE">
        <w:rPr>
          <w:rFonts w:cstheme="minorHAnsi"/>
        </w:rPr>
        <w:tab/>
      </w:r>
      <w:r w:rsidR="00C81B96" w:rsidRPr="00CB5DDE">
        <w:rPr>
          <w:rFonts w:cstheme="minorHAnsi"/>
          <w:b/>
          <w:bCs/>
        </w:rPr>
        <w:t xml:space="preserve">Ampere </w:t>
      </w:r>
      <w:r w:rsidR="00CB5DDE">
        <w:rPr>
          <w:rFonts w:cstheme="minorHAnsi"/>
          <w:b/>
          <w:bCs/>
        </w:rPr>
        <w:t xml:space="preserve">Industrial Security </w:t>
      </w:r>
      <w:r w:rsidRPr="00CB5DDE">
        <w:rPr>
          <w:rFonts w:cstheme="minorHAnsi"/>
          <w:b/>
          <w:bCs/>
        </w:rPr>
        <w:tab/>
      </w:r>
    </w:p>
    <w:p w14:paraId="6D723BE3" w14:textId="7DD699D0" w:rsidR="00CB5DDE" w:rsidRPr="00CB5DDE" w:rsidRDefault="000E3A08" w:rsidP="000E3A08">
      <w:pPr>
        <w:tabs>
          <w:tab w:val="left" w:pos="4320"/>
        </w:tabs>
        <w:spacing w:after="0"/>
        <w:ind w:left="4320" w:hanging="4320"/>
        <w:rPr>
          <w:rFonts w:cstheme="minorHAnsi"/>
        </w:rPr>
      </w:pPr>
      <w:r w:rsidRPr="00CB5DDE">
        <w:rPr>
          <w:rFonts w:cstheme="minorHAnsi"/>
        </w:rPr>
        <w:tab/>
      </w:r>
      <w:r w:rsidR="00CB5DDE">
        <w:rPr>
          <w:rFonts w:cstheme="minorHAnsi"/>
        </w:rPr>
        <w:t>1631 North East Broadway #752 Portland 97232</w:t>
      </w:r>
    </w:p>
    <w:p w14:paraId="3023D359" w14:textId="1DE590E7" w:rsidR="000E3A08" w:rsidRPr="000E3A08" w:rsidRDefault="00CB5DDE" w:rsidP="00CB5DDE">
      <w:pPr>
        <w:tabs>
          <w:tab w:val="left" w:pos="4320"/>
        </w:tabs>
        <w:spacing w:after="0"/>
        <w:ind w:left="4320"/>
        <w:rPr>
          <w:rFonts w:cstheme="minorHAnsi"/>
        </w:rPr>
      </w:pPr>
      <w:r w:rsidRPr="00CB5DDE">
        <w:rPr>
          <w:rFonts w:cstheme="minorHAnsi"/>
        </w:rPr>
        <w:t>pmiller@amperesec.com</w:t>
      </w:r>
      <w:r w:rsidR="000E3A08" w:rsidRPr="00CB5DDE">
        <w:rPr>
          <w:rFonts w:cstheme="minorHAnsi"/>
        </w:rPr>
        <w:t xml:space="preserve">, </w:t>
      </w:r>
      <w:r>
        <w:rPr>
          <w:rFonts w:cstheme="minorHAnsi"/>
        </w:rPr>
        <w:t>503-</w:t>
      </w:r>
      <w:r w:rsidR="007B6FBC">
        <w:rPr>
          <w:rFonts w:cstheme="minorHAnsi"/>
        </w:rPr>
        <w:t>272-1414</w:t>
      </w:r>
    </w:p>
    <w:p w14:paraId="5A6A801C" w14:textId="77777777" w:rsidR="000E3A08" w:rsidRPr="000E3A08" w:rsidRDefault="000E3A08" w:rsidP="000E3A08">
      <w:pPr>
        <w:tabs>
          <w:tab w:val="left" w:pos="4320"/>
        </w:tabs>
        <w:spacing w:after="0"/>
        <w:ind w:left="4320" w:hanging="4320"/>
        <w:rPr>
          <w:rFonts w:cstheme="minorHAnsi"/>
          <w:b/>
          <w:bCs/>
        </w:rPr>
      </w:pPr>
      <w:r w:rsidRPr="000E3A08">
        <w:rPr>
          <w:rFonts w:cstheme="minorHAnsi"/>
        </w:rPr>
        <w:tab/>
      </w:r>
      <w:r w:rsidRPr="000E3A08">
        <w:rPr>
          <w:rFonts w:cstheme="minorHAnsi"/>
          <w:b/>
          <w:bCs/>
        </w:rPr>
        <w:t>3) Ms. Larisa Breton</w:t>
      </w:r>
    </w:p>
    <w:p w14:paraId="693DEA1F" w14:textId="42C1A44A" w:rsidR="000E3A08" w:rsidRPr="000E3A08" w:rsidRDefault="000E3A08" w:rsidP="000E3A08">
      <w:pPr>
        <w:tabs>
          <w:tab w:val="left" w:pos="4320"/>
        </w:tabs>
        <w:spacing w:after="0"/>
        <w:ind w:left="4320" w:hanging="4320"/>
        <w:rPr>
          <w:rFonts w:cstheme="minorHAnsi"/>
        </w:rPr>
      </w:pPr>
      <w:r>
        <w:rPr>
          <w:rFonts w:cstheme="minorHAnsi"/>
        </w:rPr>
        <w:tab/>
      </w:r>
      <w:r w:rsidRPr="000E3A08">
        <w:rPr>
          <w:rFonts w:cstheme="minorHAnsi"/>
        </w:rPr>
        <w:t>President</w:t>
      </w:r>
    </w:p>
    <w:p w14:paraId="3867E469" w14:textId="2D9D2CE3" w:rsidR="000E3A08" w:rsidRPr="000E3A08" w:rsidRDefault="000E3A08" w:rsidP="000E3A08">
      <w:pPr>
        <w:tabs>
          <w:tab w:val="left" w:pos="4320"/>
        </w:tabs>
        <w:spacing w:after="0"/>
        <w:ind w:left="4320" w:hanging="4320"/>
        <w:rPr>
          <w:rFonts w:cstheme="minorHAnsi"/>
          <w:b/>
          <w:bCs/>
        </w:rPr>
      </w:pPr>
      <w:r w:rsidRPr="000E3A08">
        <w:rPr>
          <w:rFonts w:cstheme="minorHAnsi"/>
        </w:rPr>
        <w:tab/>
      </w:r>
      <w:r w:rsidRPr="000E3A08">
        <w:rPr>
          <w:rFonts w:cstheme="minorHAnsi"/>
          <w:b/>
          <w:bCs/>
        </w:rPr>
        <w:t>FullCircle Communications, LLC</w:t>
      </w:r>
    </w:p>
    <w:p w14:paraId="01CFD570" w14:textId="2550B365" w:rsidR="000E3A08" w:rsidRPr="000E3A08" w:rsidRDefault="000E3A08" w:rsidP="000E3A08">
      <w:pPr>
        <w:tabs>
          <w:tab w:val="left" w:pos="4320"/>
        </w:tabs>
        <w:spacing w:after="0"/>
        <w:ind w:left="4320" w:hanging="4320"/>
        <w:rPr>
          <w:rFonts w:cstheme="minorHAnsi"/>
          <w:color w:val="000000"/>
        </w:rPr>
      </w:pPr>
      <w:r w:rsidRPr="000E3A08">
        <w:rPr>
          <w:rFonts w:cstheme="minorHAnsi"/>
        </w:rPr>
        <w:tab/>
      </w:r>
      <w:r w:rsidRPr="000E3A08">
        <w:rPr>
          <w:rFonts w:cstheme="minorHAnsi"/>
          <w:color w:val="000000"/>
        </w:rPr>
        <w:t>32406 Franklin Road</w:t>
      </w:r>
      <w:r w:rsidRPr="000E3A08">
        <w:rPr>
          <w:rFonts w:cstheme="minorHAnsi"/>
          <w:color w:val="000000"/>
        </w:rPr>
        <w:br/>
        <w:t>Unit 250344</w:t>
      </w:r>
      <w:r w:rsidRPr="000E3A08">
        <w:rPr>
          <w:rFonts w:cstheme="minorHAnsi"/>
          <w:color w:val="000000"/>
        </w:rPr>
        <w:br/>
        <w:t>Franklin, MI 48025</w:t>
      </w:r>
    </w:p>
    <w:p w14:paraId="23FEE7CF" w14:textId="49456DAC" w:rsidR="000E3A08" w:rsidRPr="000E3A08" w:rsidRDefault="000E3A08" w:rsidP="000E3A08">
      <w:pPr>
        <w:tabs>
          <w:tab w:val="left" w:pos="4320"/>
        </w:tabs>
        <w:spacing w:after="0"/>
        <w:ind w:left="4320" w:hanging="4320"/>
        <w:rPr>
          <w:rFonts w:cstheme="minorHAnsi"/>
          <w:color w:val="000000"/>
        </w:rPr>
      </w:pPr>
      <w:r w:rsidRPr="000E3A08">
        <w:rPr>
          <w:rFonts w:cstheme="minorHAnsi"/>
          <w:color w:val="000000"/>
        </w:rPr>
        <w:tab/>
      </w:r>
      <w:hyperlink r:id="rId8" w:history="1">
        <w:r w:rsidRPr="000E3A08">
          <w:rPr>
            <w:rStyle w:val="Hyperlink"/>
            <w:rFonts w:cstheme="minorHAnsi"/>
          </w:rPr>
          <w:t>larisa@fullcirclestrategicsolutions.com</w:t>
        </w:r>
      </w:hyperlink>
    </w:p>
    <w:p w14:paraId="56CF6D85" w14:textId="008E3DBB" w:rsidR="000E3A08" w:rsidRDefault="000E3A08" w:rsidP="000E3A08">
      <w:pPr>
        <w:tabs>
          <w:tab w:val="left" w:pos="4320"/>
        </w:tabs>
        <w:spacing w:after="0"/>
        <w:ind w:left="4320" w:hanging="4320"/>
        <w:rPr>
          <w:rFonts w:cstheme="minorHAnsi"/>
          <w:color w:val="000000"/>
        </w:rPr>
      </w:pPr>
      <w:r w:rsidRPr="000E3A08">
        <w:rPr>
          <w:rFonts w:cstheme="minorHAnsi"/>
          <w:color w:val="000000"/>
        </w:rPr>
        <w:tab/>
        <w:t>(248) 635-5699</w:t>
      </w:r>
    </w:p>
    <w:p w14:paraId="6BE2D059" w14:textId="775FE6FB" w:rsidR="007C44F2" w:rsidRDefault="007C44F2" w:rsidP="000E3A08">
      <w:pPr>
        <w:tabs>
          <w:tab w:val="left" w:pos="4320"/>
        </w:tabs>
        <w:spacing w:after="0"/>
        <w:ind w:left="4320" w:hanging="4320"/>
        <w:rPr>
          <w:rFonts w:cstheme="minorHAnsi"/>
          <w:color w:val="000000"/>
        </w:rPr>
      </w:pPr>
    </w:p>
    <w:p w14:paraId="352D3248" w14:textId="21EEBAD1" w:rsidR="007C44F2" w:rsidRDefault="007C44F2" w:rsidP="000E3A08">
      <w:pPr>
        <w:tabs>
          <w:tab w:val="left" w:pos="4320"/>
        </w:tabs>
        <w:spacing w:after="0"/>
        <w:ind w:left="4320" w:hanging="4320"/>
        <w:rPr>
          <w:rFonts w:cstheme="minorHAnsi"/>
          <w:color w:val="000000"/>
        </w:rPr>
      </w:pPr>
    </w:p>
    <w:p w14:paraId="5E81A26A" w14:textId="2E40A915" w:rsidR="007C44F2" w:rsidRDefault="007C44F2" w:rsidP="000E3A08">
      <w:pPr>
        <w:tabs>
          <w:tab w:val="left" w:pos="4320"/>
        </w:tabs>
        <w:spacing w:after="0"/>
        <w:ind w:left="4320" w:hanging="4320"/>
        <w:rPr>
          <w:rFonts w:cstheme="minorHAnsi"/>
          <w:color w:val="000000"/>
        </w:rPr>
      </w:pPr>
    </w:p>
    <w:p w14:paraId="01A345AD" w14:textId="6FB4B66A" w:rsidR="007C44F2" w:rsidRDefault="007C44F2" w:rsidP="000E3A08">
      <w:pPr>
        <w:tabs>
          <w:tab w:val="left" w:pos="4320"/>
        </w:tabs>
        <w:spacing w:after="0"/>
        <w:ind w:left="4320" w:hanging="4320"/>
        <w:rPr>
          <w:rFonts w:cstheme="minorHAnsi"/>
          <w:color w:val="000000"/>
        </w:rPr>
      </w:pPr>
    </w:p>
    <w:p w14:paraId="02C70609" w14:textId="105600C1" w:rsidR="007C44F2" w:rsidRDefault="007C44F2" w:rsidP="005554DC">
      <w:pPr>
        <w:tabs>
          <w:tab w:val="left" w:pos="4320"/>
        </w:tabs>
        <w:spacing w:after="0"/>
        <w:ind w:left="4320" w:hanging="4320"/>
        <w:jc w:val="center"/>
        <w:rPr>
          <w:rFonts w:cstheme="minorHAnsi"/>
          <w:color w:val="000000"/>
        </w:rPr>
      </w:pPr>
      <w:r>
        <w:rPr>
          <w:rFonts w:cstheme="minorHAnsi"/>
          <w:i/>
          <w:iCs/>
          <w:color w:val="000000"/>
        </w:rPr>
        <w:t>The remainder of this title page is intentionally left blank.</w:t>
      </w:r>
    </w:p>
    <w:p w14:paraId="4E67B4F1" w14:textId="7B9570AB" w:rsidR="007C44F2" w:rsidRDefault="007C44F2" w:rsidP="000E3A08">
      <w:pPr>
        <w:tabs>
          <w:tab w:val="left" w:pos="4320"/>
        </w:tabs>
        <w:spacing w:after="0"/>
        <w:ind w:left="4320" w:hanging="4320"/>
        <w:rPr>
          <w:rFonts w:cstheme="minorHAnsi"/>
          <w:color w:val="000000"/>
        </w:rPr>
      </w:pPr>
    </w:p>
    <w:p w14:paraId="2F103846" w14:textId="1C4B9B7D" w:rsidR="007C44F2" w:rsidRDefault="007C44F2" w:rsidP="000E3A08">
      <w:pPr>
        <w:tabs>
          <w:tab w:val="left" w:pos="4320"/>
        </w:tabs>
        <w:spacing w:after="0"/>
        <w:ind w:left="4320" w:hanging="4320"/>
        <w:rPr>
          <w:rFonts w:cstheme="minorHAnsi"/>
          <w:color w:val="000000"/>
        </w:rPr>
      </w:pPr>
    </w:p>
    <w:p w14:paraId="1B98DDE2" w14:textId="5284E7EA" w:rsidR="007C44F2" w:rsidRDefault="007C44F2" w:rsidP="000E3A08">
      <w:pPr>
        <w:tabs>
          <w:tab w:val="left" w:pos="4320"/>
        </w:tabs>
        <w:spacing w:after="0"/>
        <w:ind w:left="4320" w:hanging="4320"/>
        <w:rPr>
          <w:rFonts w:cstheme="minorHAnsi"/>
          <w:color w:val="000000"/>
        </w:rPr>
      </w:pPr>
    </w:p>
    <w:p w14:paraId="4FC1DA6B" w14:textId="5AE50F9D" w:rsidR="007C44F2" w:rsidRDefault="007C44F2" w:rsidP="000E3A08">
      <w:pPr>
        <w:tabs>
          <w:tab w:val="left" w:pos="4320"/>
        </w:tabs>
        <w:spacing w:after="0"/>
        <w:ind w:left="4320" w:hanging="4320"/>
        <w:rPr>
          <w:rFonts w:cstheme="minorHAnsi"/>
          <w:color w:val="000000"/>
        </w:rPr>
      </w:pPr>
    </w:p>
    <w:p w14:paraId="2094E496" w14:textId="0B120D36" w:rsidR="007C44F2" w:rsidRDefault="007C44F2" w:rsidP="000E3A08">
      <w:pPr>
        <w:tabs>
          <w:tab w:val="left" w:pos="4320"/>
        </w:tabs>
        <w:spacing w:after="0"/>
        <w:ind w:left="4320" w:hanging="4320"/>
        <w:rPr>
          <w:rFonts w:cstheme="minorHAnsi"/>
          <w:color w:val="000000"/>
        </w:rPr>
      </w:pPr>
    </w:p>
    <w:p w14:paraId="4E91855E" w14:textId="3FB63C31" w:rsidR="007C44F2" w:rsidRDefault="007C44F2" w:rsidP="000E3A08">
      <w:pPr>
        <w:tabs>
          <w:tab w:val="left" w:pos="4320"/>
        </w:tabs>
        <w:spacing w:after="0"/>
        <w:ind w:left="4320" w:hanging="4320"/>
        <w:rPr>
          <w:rFonts w:cstheme="minorHAnsi"/>
          <w:color w:val="000000"/>
        </w:rPr>
      </w:pPr>
    </w:p>
    <w:p w14:paraId="4D3003DC" w14:textId="4610E384" w:rsidR="007C44F2" w:rsidRDefault="007C44F2" w:rsidP="000E3A08">
      <w:pPr>
        <w:tabs>
          <w:tab w:val="left" w:pos="4320"/>
        </w:tabs>
        <w:spacing w:after="0"/>
        <w:ind w:left="4320" w:hanging="4320"/>
        <w:rPr>
          <w:rFonts w:cstheme="minorHAnsi"/>
          <w:color w:val="000000"/>
        </w:rPr>
      </w:pPr>
    </w:p>
    <w:p w14:paraId="10F51B91" w14:textId="262F50A3" w:rsidR="007C44F2" w:rsidRDefault="007C44F2" w:rsidP="000E3A08">
      <w:pPr>
        <w:tabs>
          <w:tab w:val="left" w:pos="4320"/>
        </w:tabs>
        <w:spacing w:after="0"/>
        <w:ind w:left="4320" w:hanging="4320"/>
        <w:rPr>
          <w:rFonts w:cstheme="minorHAnsi"/>
          <w:color w:val="000000"/>
        </w:rPr>
      </w:pPr>
    </w:p>
    <w:p w14:paraId="00353138" w14:textId="13ADE712" w:rsidR="007C44F2" w:rsidRDefault="007C44F2" w:rsidP="000E3A08">
      <w:pPr>
        <w:tabs>
          <w:tab w:val="left" w:pos="4320"/>
        </w:tabs>
        <w:spacing w:after="0"/>
        <w:ind w:left="4320" w:hanging="4320"/>
        <w:rPr>
          <w:rFonts w:cstheme="minorHAnsi"/>
          <w:color w:val="000000"/>
        </w:rPr>
      </w:pPr>
    </w:p>
    <w:p w14:paraId="1312B5C4" w14:textId="3B61D073" w:rsidR="007C44F2" w:rsidRDefault="007C44F2" w:rsidP="00E143E1">
      <w:pPr>
        <w:tabs>
          <w:tab w:val="left" w:pos="4320"/>
        </w:tabs>
        <w:spacing w:after="0"/>
        <w:rPr>
          <w:rFonts w:cstheme="minorHAnsi"/>
          <w:color w:val="000000"/>
        </w:rPr>
      </w:pPr>
      <w:r>
        <w:rPr>
          <w:rFonts w:cstheme="minorHAnsi"/>
          <w:color w:val="000000"/>
        </w:rPr>
        <w:lastRenderedPageBreak/>
        <w:t>Dear Director Coe:</w:t>
      </w:r>
    </w:p>
    <w:p w14:paraId="3286AF35" w14:textId="77777777" w:rsidR="00E143E1" w:rsidRDefault="00E143E1" w:rsidP="0072615C">
      <w:pPr>
        <w:tabs>
          <w:tab w:val="left" w:pos="4320"/>
        </w:tabs>
        <w:spacing w:after="0"/>
        <w:rPr>
          <w:rFonts w:cstheme="minorHAnsi"/>
          <w:color w:val="000000"/>
        </w:rPr>
      </w:pPr>
    </w:p>
    <w:p w14:paraId="16698E53" w14:textId="5489E15E" w:rsidR="007C44F2" w:rsidRDefault="007C44F2" w:rsidP="007C44F2">
      <w:pPr>
        <w:tabs>
          <w:tab w:val="left" w:pos="4230"/>
        </w:tabs>
        <w:spacing w:after="0"/>
        <w:rPr>
          <w:rFonts w:cstheme="minorHAnsi"/>
          <w:color w:val="000000"/>
        </w:rPr>
      </w:pPr>
      <w:r>
        <w:rPr>
          <w:rFonts w:cstheme="minorHAnsi"/>
          <w:color w:val="000000"/>
        </w:rPr>
        <w:t xml:space="preserve">Thank you for this opportunity to respectfully present inputs to your Request for Information. As President Biden stated in his Address to Congress on April 28, </w:t>
      </w:r>
      <w:r w:rsidR="00CB5DDE">
        <w:rPr>
          <w:rFonts w:cstheme="minorHAnsi"/>
          <w:color w:val="000000"/>
        </w:rPr>
        <w:t>2021</w:t>
      </w:r>
      <w:r w:rsidR="00E143E1">
        <w:rPr>
          <w:rFonts w:cstheme="minorHAnsi"/>
          <w:color w:val="000000"/>
        </w:rPr>
        <w:t>, it is time to solidify national energy infrastructure</w:t>
      </w:r>
      <w:r>
        <w:rPr>
          <w:rFonts w:cstheme="minorHAnsi"/>
          <w:color w:val="000000"/>
        </w:rPr>
        <w:t xml:space="preserve">. With a combined </w:t>
      </w:r>
      <w:r w:rsidR="00706419">
        <w:rPr>
          <w:rFonts w:cstheme="minorHAnsi"/>
          <w:color w:val="000000"/>
        </w:rPr>
        <w:t>50+</w:t>
      </w:r>
      <w:r>
        <w:rPr>
          <w:rFonts w:cstheme="minorHAnsi"/>
          <w:color w:val="000000"/>
        </w:rPr>
        <w:t xml:space="preserve"> years in cybersecurity policy, incident response, and auditing in Federal, </w:t>
      </w:r>
      <w:proofErr w:type="gramStart"/>
      <w:r>
        <w:rPr>
          <w:rFonts w:cstheme="minorHAnsi"/>
          <w:color w:val="000000"/>
        </w:rPr>
        <w:t>Regional</w:t>
      </w:r>
      <w:proofErr w:type="gramEnd"/>
      <w:r>
        <w:rPr>
          <w:rFonts w:cstheme="minorHAnsi"/>
          <w:color w:val="000000"/>
        </w:rPr>
        <w:t xml:space="preserve"> and private-sector roles, we know a comprehensive, integrated approach to energy-sector cybersecurity is critical across physical infrastructure, policy frameworks, and implementation. Based on wide experience, </w:t>
      </w:r>
      <w:r w:rsidR="00884545">
        <w:rPr>
          <w:rFonts w:cstheme="minorHAnsi"/>
          <w:color w:val="000000"/>
        </w:rPr>
        <w:t xml:space="preserve">we present </w:t>
      </w:r>
      <w:r w:rsidR="004061DE">
        <w:rPr>
          <w:rFonts w:cstheme="minorHAnsi"/>
          <w:color w:val="000000"/>
        </w:rPr>
        <w:t xml:space="preserve">three </w:t>
      </w:r>
      <w:r w:rsidR="00884545">
        <w:rPr>
          <w:rFonts w:cstheme="minorHAnsi"/>
          <w:color w:val="000000"/>
        </w:rPr>
        <w:t xml:space="preserve">urgent issues with associated suggested </w:t>
      </w:r>
      <w:r w:rsidR="00E143E1">
        <w:rPr>
          <w:rFonts w:cstheme="minorHAnsi"/>
          <w:color w:val="000000"/>
        </w:rPr>
        <w:t>policy and implementation recommendations</w:t>
      </w:r>
      <w:r w:rsidR="00884545">
        <w:rPr>
          <w:rFonts w:cstheme="minorHAnsi"/>
          <w:color w:val="000000"/>
        </w:rPr>
        <w:t xml:space="preserve"> with potential benchmarks for milestones</w:t>
      </w:r>
      <w:r w:rsidR="00E143E1">
        <w:rPr>
          <w:rFonts w:cstheme="minorHAnsi"/>
          <w:color w:val="000000"/>
        </w:rPr>
        <w:t xml:space="preserve"> as-suggested in President Biden’s recent Executive Order on Cybersecurity</w:t>
      </w:r>
      <w:r w:rsidR="00884545">
        <w:rPr>
          <w:rFonts w:cstheme="minorHAnsi"/>
          <w:color w:val="000000"/>
        </w:rPr>
        <w:t>.</w:t>
      </w:r>
    </w:p>
    <w:p w14:paraId="37CE3CBE" w14:textId="6FCCF607" w:rsidR="00884545" w:rsidRDefault="00884545" w:rsidP="007C44F2">
      <w:pPr>
        <w:tabs>
          <w:tab w:val="left" w:pos="4230"/>
        </w:tabs>
        <w:spacing w:after="0"/>
        <w:rPr>
          <w:rFonts w:cstheme="minorHAnsi"/>
          <w:color w:val="000000"/>
        </w:rPr>
      </w:pPr>
    </w:p>
    <w:p w14:paraId="25075CA9" w14:textId="036965E9" w:rsidR="00884545" w:rsidRPr="0072615C" w:rsidRDefault="00884545" w:rsidP="007C44F2">
      <w:pPr>
        <w:tabs>
          <w:tab w:val="left" w:pos="4230"/>
        </w:tabs>
        <w:spacing w:after="0"/>
        <w:rPr>
          <w:rFonts w:cstheme="minorHAnsi"/>
          <w:b/>
          <w:bCs/>
          <w:color w:val="000000"/>
        </w:rPr>
      </w:pPr>
      <w:r w:rsidRPr="0072615C">
        <w:rPr>
          <w:rFonts w:cstheme="minorHAnsi"/>
          <w:b/>
          <w:bCs/>
          <w:color w:val="000000"/>
        </w:rPr>
        <w:t>General Background:</w:t>
      </w:r>
    </w:p>
    <w:p w14:paraId="259F2C50" w14:textId="7BD1BE56" w:rsidR="00884545" w:rsidRDefault="00706419" w:rsidP="007C44F2">
      <w:pPr>
        <w:tabs>
          <w:tab w:val="left" w:pos="4230"/>
        </w:tabs>
        <w:spacing w:after="0"/>
        <w:rPr>
          <w:rFonts w:cstheme="minorHAnsi"/>
          <w:color w:val="000000"/>
        </w:rPr>
      </w:pPr>
      <w:r>
        <w:rPr>
          <w:rFonts w:cstheme="minorHAnsi"/>
          <w:color w:val="000000"/>
        </w:rPr>
        <w:t>Many individual p</w:t>
      </w:r>
      <w:r w:rsidR="00884545">
        <w:rPr>
          <w:rFonts w:cstheme="minorHAnsi"/>
          <w:color w:val="000000"/>
        </w:rPr>
        <w:t xml:space="preserve">oints of excellence </w:t>
      </w:r>
      <w:r>
        <w:rPr>
          <w:rFonts w:cstheme="minorHAnsi"/>
          <w:color w:val="000000"/>
        </w:rPr>
        <w:t>exist within the Energy ecosystem. It is time to develop and implement widely cohesive</w:t>
      </w:r>
      <w:r w:rsidR="00884545">
        <w:rPr>
          <w:rFonts w:cstheme="minorHAnsi"/>
          <w:color w:val="000000"/>
        </w:rPr>
        <w:t xml:space="preserve"> </w:t>
      </w:r>
      <w:r>
        <w:rPr>
          <w:rFonts w:cstheme="minorHAnsi"/>
          <w:color w:val="000000"/>
        </w:rPr>
        <w:t xml:space="preserve">cybersecurity </w:t>
      </w:r>
      <w:r w:rsidR="00884545">
        <w:rPr>
          <w:rFonts w:cstheme="minorHAnsi"/>
          <w:color w:val="000000"/>
        </w:rPr>
        <w:t>polic</w:t>
      </w:r>
      <w:r>
        <w:rPr>
          <w:rFonts w:cstheme="minorHAnsi"/>
          <w:color w:val="000000"/>
        </w:rPr>
        <w:t>ies that stretch from requirements-building, through procurement</w:t>
      </w:r>
      <w:r w:rsidR="00884545">
        <w:rPr>
          <w:rFonts w:cstheme="minorHAnsi"/>
          <w:color w:val="000000"/>
        </w:rPr>
        <w:t xml:space="preserve"> </w:t>
      </w:r>
      <w:r>
        <w:rPr>
          <w:rFonts w:cstheme="minorHAnsi"/>
          <w:color w:val="000000"/>
        </w:rPr>
        <w:t xml:space="preserve">and implementation to audit. Cohesive policy is hampered by a </w:t>
      </w:r>
      <w:r w:rsidR="00884545">
        <w:rPr>
          <w:rFonts w:cstheme="minorHAnsi"/>
          <w:color w:val="000000"/>
        </w:rPr>
        <w:t xml:space="preserve">lack of practitioner </w:t>
      </w:r>
      <w:r>
        <w:rPr>
          <w:rFonts w:cstheme="minorHAnsi"/>
          <w:color w:val="000000"/>
        </w:rPr>
        <w:t xml:space="preserve">cybersecurity </w:t>
      </w:r>
      <w:r w:rsidR="00884545">
        <w:rPr>
          <w:rFonts w:cstheme="minorHAnsi"/>
          <w:color w:val="000000"/>
        </w:rPr>
        <w:t xml:space="preserve">knowledge in contracting corpus at Energy </w:t>
      </w:r>
      <w:r>
        <w:rPr>
          <w:rFonts w:cstheme="minorHAnsi"/>
          <w:color w:val="000000"/>
        </w:rPr>
        <w:t>(</w:t>
      </w:r>
      <w:r w:rsidR="00884545">
        <w:rPr>
          <w:rFonts w:cstheme="minorHAnsi"/>
          <w:color w:val="000000"/>
        </w:rPr>
        <w:t xml:space="preserve">and </w:t>
      </w:r>
      <w:r>
        <w:rPr>
          <w:rFonts w:cstheme="minorHAnsi"/>
          <w:color w:val="000000"/>
        </w:rPr>
        <w:t>related Agencies such as Department of Defense, Department of Transportation, and Department of Commerce)</w:t>
      </w:r>
      <w:r w:rsidR="00D227E2">
        <w:rPr>
          <w:rFonts w:cstheme="minorHAnsi"/>
          <w:color w:val="000000"/>
        </w:rPr>
        <w:t xml:space="preserve">. As recent, systemic cybersecurity events such as SolarWinds and Colonial Oil have demonstrated, nationally-scoped systems have developed chained </w:t>
      </w:r>
      <w:r w:rsidR="00544D00">
        <w:rPr>
          <w:rFonts w:cstheme="minorHAnsi"/>
          <w:color w:val="000000"/>
        </w:rPr>
        <w:t xml:space="preserve">and complex </w:t>
      </w:r>
      <w:r w:rsidR="00D227E2">
        <w:rPr>
          <w:rFonts w:cstheme="minorHAnsi"/>
          <w:color w:val="000000"/>
        </w:rPr>
        <w:t>interdependencies. A singular, compliance-based approach to cybersecurity that begins at the jumping-off point (Energy transmission and distribution) is no longer sufficient to ensure systemic cybersecurity concerns and an ever-widening attack surface.</w:t>
      </w:r>
    </w:p>
    <w:p w14:paraId="7F94F174" w14:textId="422A2E2F" w:rsidR="00884545" w:rsidRDefault="00884545" w:rsidP="007C44F2">
      <w:pPr>
        <w:tabs>
          <w:tab w:val="left" w:pos="4230"/>
        </w:tabs>
        <w:spacing w:after="0"/>
        <w:rPr>
          <w:rFonts w:cstheme="minorHAnsi"/>
          <w:color w:val="000000"/>
        </w:rPr>
      </w:pPr>
    </w:p>
    <w:p w14:paraId="673A90B9" w14:textId="5C3A33A6" w:rsidR="00884545" w:rsidRPr="0072615C" w:rsidRDefault="00884545" w:rsidP="007C44F2">
      <w:pPr>
        <w:tabs>
          <w:tab w:val="left" w:pos="4230"/>
        </w:tabs>
        <w:spacing w:after="0"/>
        <w:rPr>
          <w:rFonts w:cstheme="minorHAnsi"/>
          <w:b/>
          <w:bCs/>
          <w:color w:val="000000"/>
        </w:rPr>
      </w:pPr>
      <w:r w:rsidRPr="0072615C">
        <w:rPr>
          <w:rFonts w:cstheme="minorHAnsi"/>
          <w:b/>
          <w:bCs/>
          <w:color w:val="000000"/>
        </w:rPr>
        <w:t>Issues and Solution Opportunities:</w:t>
      </w:r>
    </w:p>
    <w:p w14:paraId="0073F1D7" w14:textId="77777777" w:rsidR="00884545" w:rsidRDefault="00884545" w:rsidP="007C44F2">
      <w:pPr>
        <w:tabs>
          <w:tab w:val="left" w:pos="4230"/>
        </w:tabs>
        <w:spacing w:after="0"/>
        <w:rPr>
          <w:rFonts w:cstheme="minorHAnsi"/>
          <w:color w:val="000000"/>
        </w:rPr>
      </w:pPr>
    </w:p>
    <w:p w14:paraId="68CE0B94" w14:textId="2072C932" w:rsidR="002A44F5" w:rsidRPr="0072615C" w:rsidRDefault="005F3349" w:rsidP="00884545">
      <w:pPr>
        <w:pStyle w:val="ListParagraph"/>
        <w:numPr>
          <w:ilvl w:val="0"/>
          <w:numId w:val="1"/>
        </w:numPr>
        <w:tabs>
          <w:tab w:val="left" w:pos="4230"/>
        </w:tabs>
        <w:spacing w:after="0"/>
        <w:rPr>
          <w:rFonts w:cstheme="minorHAnsi"/>
        </w:rPr>
      </w:pPr>
      <w:r>
        <w:rPr>
          <w:rFonts w:cstheme="minorHAnsi"/>
          <w:color w:val="000000"/>
        </w:rPr>
        <w:t xml:space="preserve">Risk Scoping. </w:t>
      </w:r>
    </w:p>
    <w:p w14:paraId="28FF575C" w14:textId="6E9D4C37" w:rsidR="002A44F5" w:rsidRPr="0072615C" w:rsidRDefault="005F3349" w:rsidP="002A44F5">
      <w:pPr>
        <w:pStyle w:val="ListParagraph"/>
        <w:numPr>
          <w:ilvl w:val="1"/>
          <w:numId w:val="1"/>
        </w:numPr>
        <w:tabs>
          <w:tab w:val="left" w:pos="4230"/>
        </w:tabs>
        <w:spacing w:after="0"/>
        <w:rPr>
          <w:rFonts w:cstheme="minorHAnsi"/>
        </w:rPr>
      </w:pPr>
      <w:r>
        <w:rPr>
          <w:rFonts w:cstheme="minorHAnsi"/>
          <w:color w:val="000000"/>
        </w:rPr>
        <w:t>Currently, r</w:t>
      </w:r>
      <w:r w:rsidR="00884545">
        <w:rPr>
          <w:rFonts w:cstheme="minorHAnsi"/>
          <w:color w:val="000000"/>
        </w:rPr>
        <w:t>isk scoping for catastrophic, damaging, or recoverable threat is murky in cyber-physical systems</w:t>
      </w:r>
      <w:r w:rsidR="00D227E2">
        <w:rPr>
          <w:rFonts w:cstheme="minorHAnsi"/>
          <w:color w:val="000000"/>
        </w:rPr>
        <w:t xml:space="preserve"> due to industry’s emphasis on the “Availability” bar of the Confidentiality-Integrity-Availability (CIA) cybersecurity triad which in turn is based on need for operational uptime. </w:t>
      </w:r>
    </w:p>
    <w:p w14:paraId="6DC87236" w14:textId="77777777" w:rsidR="008A528A" w:rsidRPr="0072615C" w:rsidRDefault="008A528A" w:rsidP="0072615C">
      <w:pPr>
        <w:tabs>
          <w:tab w:val="left" w:pos="4230"/>
        </w:tabs>
        <w:spacing w:after="0"/>
        <w:rPr>
          <w:rFonts w:cstheme="minorHAnsi"/>
        </w:rPr>
      </w:pPr>
    </w:p>
    <w:p w14:paraId="02C697DF" w14:textId="07A2654D" w:rsidR="002A44F5" w:rsidRPr="0072615C" w:rsidRDefault="002A44F5" w:rsidP="002A44F5">
      <w:pPr>
        <w:pStyle w:val="ListParagraph"/>
        <w:numPr>
          <w:ilvl w:val="1"/>
          <w:numId w:val="1"/>
        </w:numPr>
        <w:tabs>
          <w:tab w:val="left" w:pos="4230"/>
        </w:tabs>
        <w:spacing w:after="0"/>
        <w:rPr>
          <w:rFonts w:cstheme="minorHAnsi"/>
        </w:rPr>
      </w:pPr>
      <w:r>
        <w:rPr>
          <w:rFonts w:cstheme="minorHAnsi"/>
          <w:color w:val="000000"/>
        </w:rPr>
        <w:t xml:space="preserve">Risk scoping mechanisms exist in cybersecurity frameworks, however, these can be emphasized or de-emphasized by managerial decisions about what is, and is not, in scope for evaluation. </w:t>
      </w:r>
      <w:r w:rsidR="008A528A">
        <w:rPr>
          <w:rFonts w:cstheme="minorHAnsi"/>
          <w:color w:val="000000"/>
        </w:rPr>
        <w:t>(</w:t>
      </w:r>
      <w:r>
        <w:rPr>
          <w:rFonts w:cstheme="minorHAnsi"/>
          <w:color w:val="000000"/>
        </w:rPr>
        <w:t xml:space="preserve">In one instance, we learned of a BES that used NERC CIP pre-audit activities as a reason to completely suspend ordinary cybersecurity activities </w:t>
      </w:r>
      <w:r w:rsidR="003B5650">
        <w:rPr>
          <w:rFonts w:cstheme="minorHAnsi"/>
          <w:color w:val="000000"/>
        </w:rPr>
        <w:t>[</w:t>
      </w:r>
      <w:r>
        <w:rPr>
          <w:rFonts w:cstheme="minorHAnsi"/>
          <w:color w:val="000000"/>
        </w:rPr>
        <w:t>such as patching and vulnerability scanning</w:t>
      </w:r>
      <w:r w:rsidR="003B5650">
        <w:rPr>
          <w:rFonts w:cstheme="minorHAnsi"/>
          <w:color w:val="000000"/>
        </w:rPr>
        <w:t>]</w:t>
      </w:r>
      <w:r>
        <w:rPr>
          <w:rFonts w:cstheme="minorHAnsi"/>
          <w:color w:val="000000"/>
        </w:rPr>
        <w:t xml:space="preserve"> due to resource constraints and the concomitant decision to name neglected subsystems </w:t>
      </w:r>
      <w:r w:rsidR="003B5650">
        <w:rPr>
          <w:rFonts w:cstheme="minorHAnsi"/>
          <w:color w:val="000000"/>
        </w:rPr>
        <w:t xml:space="preserve">as </w:t>
      </w:r>
      <w:r>
        <w:rPr>
          <w:rFonts w:cstheme="minorHAnsi"/>
          <w:color w:val="000000"/>
        </w:rPr>
        <w:t>out of scope.</w:t>
      </w:r>
      <w:r w:rsidR="008A528A">
        <w:rPr>
          <w:rFonts w:cstheme="minorHAnsi"/>
          <w:color w:val="000000"/>
        </w:rPr>
        <w:t>)</w:t>
      </w:r>
    </w:p>
    <w:p w14:paraId="278CF6F7" w14:textId="77777777" w:rsidR="008A528A" w:rsidRPr="0072615C" w:rsidRDefault="008A528A" w:rsidP="0072615C">
      <w:pPr>
        <w:tabs>
          <w:tab w:val="left" w:pos="4230"/>
        </w:tabs>
        <w:spacing w:after="0"/>
        <w:rPr>
          <w:rFonts w:cstheme="minorHAnsi"/>
        </w:rPr>
      </w:pPr>
    </w:p>
    <w:p w14:paraId="7D774A79" w14:textId="2C6CD152" w:rsidR="00884545" w:rsidRPr="0072615C" w:rsidRDefault="00D227E2" w:rsidP="0072615C">
      <w:pPr>
        <w:pStyle w:val="ListParagraph"/>
        <w:numPr>
          <w:ilvl w:val="1"/>
          <w:numId w:val="1"/>
        </w:numPr>
        <w:tabs>
          <w:tab w:val="left" w:pos="4230"/>
        </w:tabs>
        <w:spacing w:after="0"/>
        <w:rPr>
          <w:rFonts w:cstheme="minorHAnsi"/>
        </w:rPr>
      </w:pPr>
      <w:r w:rsidRPr="0072615C">
        <w:rPr>
          <w:rFonts w:cstheme="minorHAnsi"/>
          <w:color w:val="000000"/>
        </w:rPr>
        <w:t xml:space="preserve">Additionally, </w:t>
      </w:r>
      <w:r w:rsidR="005F3349" w:rsidRPr="0072615C">
        <w:rPr>
          <w:rFonts w:cstheme="minorHAnsi"/>
          <w:color w:val="000000"/>
        </w:rPr>
        <w:t>corpo</w:t>
      </w:r>
      <w:r w:rsidR="005F3349" w:rsidRPr="007B6FBC">
        <w:rPr>
          <w:rFonts w:cstheme="minorHAnsi"/>
        </w:rPr>
        <w:t>rate</w:t>
      </w:r>
      <w:r w:rsidRPr="007B6FBC">
        <w:rPr>
          <w:rFonts w:cstheme="minorHAnsi"/>
        </w:rPr>
        <w:t xml:space="preserve"> tendency has been </w:t>
      </w:r>
      <w:r w:rsidRPr="00544D00">
        <w:rPr>
          <w:rFonts w:cstheme="minorHAnsi"/>
        </w:rPr>
        <w:t xml:space="preserve">to use Single Loss Occurrence (SLO) and Annualized Loss Expectancy (ALE) calculations to determine risk, thus enabling </w:t>
      </w:r>
      <w:r w:rsidR="005F3349" w:rsidRPr="0072615C">
        <w:rPr>
          <w:rFonts w:cstheme="minorHAnsi"/>
        </w:rPr>
        <w:t>decisions</w:t>
      </w:r>
      <w:r w:rsidRPr="0072615C">
        <w:rPr>
          <w:rFonts w:cstheme="minorHAnsi"/>
        </w:rPr>
        <w:t xml:space="preserve"> to “accept” </w:t>
      </w:r>
      <w:r w:rsidR="005F3349" w:rsidRPr="0072615C">
        <w:rPr>
          <w:rFonts w:cstheme="minorHAnsi"/>
        </w:rPr>
        <w:t xml:space="preserve">(defer) </w:t>
      </w:r>
      <w:r w:rsidRPr="0072615C">
        <w:rPr>
          <w:rFonts w:cstheme="minorHAnsi"/>
        </w:rPr>
        <w:t>risk that should remain in scope</w:t>
      </w:r>
      <w:r w:rsidR="005F3349" w:rsidRPr="0072615C">
        <w:rPr>
          <w:rFonts w:cstheme="minorHAnsi"/>
        </w:rPr>
        <w:t xml:space="preserve"> due to its multiplexed nature with potentially catastrophic second- and third-order effects to American security, the American economy, and America’s position in the global economy.</w:t>
      </w:r>
      <w:r w:rsidR="008A528A" w:rsidRPr="0072615C">
        <w:rPr>
          <w:rFonts w:cstheme="minorHAnsi"/>
        </w:rPr>
        <w:t xml:space="preserve"> We need to do a better job of </w:t>
      </w:r>
      <w:r w:rsidR="00544D00">
        <w:rPr>
          <w:rFonts w:cstheme="minorHAnsi"/>
        </w:rPr>
        <w:t>helping</w:t>
      </w:r>
      <w:r w:rsidR="008A528A" w:rsidRPr="0072615C">
        <w:rPr>
          <w:rFonts w:cstheme="minorHAnsi"/>
        </w:rPr>
        <w:t xml:space="preserve"> the C-suite understand the cost to mitigate cybersecurity threats, versus the total cost of compromise</w:t>
      </w:r>
      <w:r w:rsidR="003B5650" w:rsidRPr="0072615C">
        <w:rPr>
          <w:rFonts w:cstheme="minorHAnsi"/>
        </w:rPr>
        <w:t xml:space="preserve">, which is a combined </w:t>
      </w:r>
      <w:r w:rsidR="003B5650" w:rsidRPr="0072615C">
        <w:rPr>
          <w:rFonts w:cstheme="minorHAnsi"/>
        </w:rPr>
        <w:lastRenderedPageBreak/>
        <w:t xml:space="preserve">qualitative/quantitative </w:t>
      </w:r>
      <w:r w:rsidR="003B5650">
        <w:rPr>
          <w:rFonts w:cstheme="minorHAnsi"/>
        </w:rPr>
        <w:t>calculation</w:t>
      </w:r>
      <w:r w:rsidR="003B5650" w:rsidRPr="0072615C">
        <w:rPr>
          <w:rFonts w:cstheme="minorHAnsi"/>
        </w:rPr>
        <w:t xml:space="preserve"> performed by cybersecurity professionals that treats </w:t>
      </w:r>
      <w:r w:rsidR="008A528A" w:rsidRPr="0072615C">
        <w:rPr>
          <w:rFonts w:cstheme="minorHAnsi"/>
        </w:rPr>
        <w:t>Loss of Operational Revenue + Cost to Return Business Operation</w:t>
      </w:r>
      <w:r w:rsidR="003B5650" w:rsidRPr="0072615C">
        <w:rPr>
          <w:rFonts w:cstheme="minorHAnsi"/>
        </w:rPr>
        <w:t>s</w:t>
      </w:r>
      <w:r w:rsidR="008A528A" w:rsidRPr="0072615C">
        <w:rPr>
          <w:rFonts w:cstheme="minorHAnsi"/>
        </w:rPr>
        <w:t xml:space="preserve"> + Loss of Reputation + Regulatory Costs</w:t>
      </w:r>
      <w:r w:rsidR="003B5650" w:rsidRPr="0072615C">
        <w:rPr>
          <w:rFonts w:cstheme="minorHAnsi"/>
        </w:rPr>
        <w:t>.</w:t>
      </w:r>
      <w:r w:rsidR="003B5650">
        <w:rPr>
          <w:rFonts w:cstheme="minorHAnsi"/>
        </w:rPr>
        <w:t xml:space="preserve"> To this, we suggest, BES should consider the threat of broad civil liabilities in the event of a major operational cybersecurity event that can be definitively traced to mis-applied risk acceptance.</w:t>
      </w:r>
    </w:p>
    <w:p w14:paraId="7A8BAFC5" w14:textId="5BE3226F" w:rsidR="005F3349" w:rsidRDefault="005F3349" w:rsidP="005F3349">
      <w:pPr>
        <w:pStyle w:val="ListParagraph"/>
        <w:tabs>
          <w:tab w:val="left" w:pos="4230"/>
        </w:tabs>
        <w:spacing w:after="0"/>
        <w:rPr>
          <w:rFonts w:cstheme="minorHAnsi"/>
          <w:color w:val="000000"/>
        </w:rPr>
      </w:pPr>
    </w:p>
    <w:p w14:paraId="03DBDF11" w14:textId="77777777" w:rsidR="00CB39E1" w:rsidRDefault="005F3349" w:rsidP="005F3349">
      <w:pPr>
        <w:pStyle w:val="ListParagraph"/>
        <w:tabs>
          <w:tab w:val="left" w:pos="4230"/>
        </w:tabs>
        <w:spacing w:after="0"/>
        <w:rPr>
          <w:rFonts w:cstheme="minorHAnsi"/>
          <w:i/>
          <w:iCs/>
          <w:color w:val="000000"/>
        </w:rPr>
      </w:pPr>
      <w:r w:rsidRPr="0072615C">
        <w:rPr>
          <w:rFonts w:cstheme="minorHAnsi"/>
          <w:i/>
          <w:iCs/>
          <w:color w:val="000000"/>
          <w:u w:val="single"/>
        </w:rPr>
        <w:t>Recommendation 1:</w:t>
      </w:r>
      <w:r>
        <w:rPr>
          <w:rFonts w:cstheme="minorHAnsi"/>
          <w:i/>
          <w:iCs/>
          <w:color w:val="000000"/>
        </w:rPr>
        <w:t xml:space="preserve"> </w:t>
      </w:r>
      <w:r w:rsidRPr="0072615C">
        <w:rPr>
          <w:rFonts w:cstheme="minorHAnsi"/>
          <w:i/>
          <w:iCs/>
          <w:color w:val="000000"/>
        </w:rPr>
        <w:t xml:space="preserve">Establish </w:t>
      </w:r>
      <w:r>
        <w:rPr>
          <w:rFonts w:cstheme="minorHAnsi"/>
          <w:i/>
          <w:iCs/>
          <w:color w:val="000000"/>
        </w:rPr>
        <w:t>mandatory</w:t>
      </w:r>
      <w:r w:rsidRPr="0072615C">
        <w:rPr>
          <w:rFonts w:cstheme="minorHAnsi"/>
          <w:i/>
          <w:iCs/>
          <w:color w:val="000000"/>
        </w:rPr>
        <w:t xml:space="preserve"> risk </w:t>
      </w:r>
      <w:r>
        <w:rPr>
          <w:rFonts w:cstheme="minorHAnsi"/>
          <w:i/>
          <w:iCs/>
          <w:color w:val="000000"/>
        </w:rPr>
        <w:t xml:space="preserve">scoping </w:t>
      </w:r>
      <w:r w:rsidRPr="0072615C">
        <w:rPr>
          <w:rFonts w:cstheme="minorHAnsi"/>
          <w:i/>
          <w:iCs/>
          <w:color w:val="000000"/>
        </w:rPr>
        <w:t xml:space="preserve">boundaries for BES </w:t>
      </w:r>
      <w:r>
        <w:rPr>
          <w:rFonts w:cstheme="minorHAnsi"/>
          <w:i/>
          <w:iCs/>
          <w:color w:val="000000"/>
        </w:rPr>
        <w:t>down to 3</w:t>
      </w:r>
      <w:r w:rsidRPr="0072615C">
        <w:rPr>
          <w:rFonts w:cstheme="minorHAnsi"/>
          <w:i/>
          <w:iCs/>
          <w:color w:val="000000"/>
          <w:vertAlign w:val="superscript"/>
        </w:rPr>
        <w:t>rd</w:t>
      </w:r>
      <w:r w:rsidRPr="0072615C">
        <w:rPr>
          <w:rFonts w:cstheme="minorHAnsi"/>
          <w:i/>
          <w:iCs/>
          <w:color w:val="000000"/>
        </w:rPr>
        <w:t xml:space="preserve"> tier suppliers in addition to the mechanical aspects of risk allocation established by cybersecurity frameworks.</w:t>
      </w:r>
      <w:r>
        <w:rPr>
          <w:rFonts w:cstheme="minorHAnsi"/>
          <w:i/>
          <w:iCs/>
          <w:color w:val="000000"/>
        </w:rPr>
        <w:t xml:space="preserve"> Prevent corporations from accepting risk on BES and operations infrastructure that are known to have chained dependencies. </w:t>
      </w:r>
    </w:p>
    <w:p w14:paraId="33ACDE8E" w14:textId="434D344A" w:rsidR="005F3349" w:rsidRDefault="005F3349" w:rsidP="005F3349">
      <w:pPr>
        <w:pStyle w:val="ListParagraph"/>
        <w:tabs>
          <w:tab w:val="left" w:pos="4230"/>
        </w:tabs>
        <w:spacing w:after="0"/>
        <w:rPr>
          <w:rFonts w:cstheme="minorHAnsi"/>
          <w:i/>
          <w:iCs/>
          <w:color w:val="000000"/>
        </w:rPr>
      </w:pPr>
      <w:r w:rsidRPr="0072615C">
        <w:rPr>
          <w:rFonts w:cstheme="minorHAnsi"/>
          <w:i/>
          <w:iCs/>
          <w:color w:val="000000"/>
          <w:u w:val="single"/>
        </w:rPr>
        <w:t>Suggested Milestone</w:t>
      </w:r>
      <w:r>
        <w:rPr>
          <w:rFonts w:cstheme="minorHAnsi"/>
          <w:i/>
          <w:iCs/>
          <w:color w:val="000000"/>
        </w:rPr>
        <w:t xml:space="preserve">: Pilot </w:t>
      </w:r>
      <w:r w:rsidR="002A44F5">
        <w:rPr>
          <w:rFonts w:cstheme="minorHAnsi"/>
          <w:i/>
          <w:iCs/>
          <w:color w:val="000000"/>
        </w:rPr>
        <w:t xml:space="preserve">a public-private consortium exercise to re-scope shared risk, with reports to DoE and Congress on re-defining “acceptable risk” per Federal cybersecurity milestones, </w:t>
      </w:r>
      <w:r>
        <w:rPr>
          <w:rFonts w:cstheme="minorHAnsi"/>
          <w:i/>
          <w:iCs/>
          <w:color w:val="000000"/>
        </w:rPr>
        <w:t>in 2023 DoE Federal Budget Request.</w:t>
      </w:r>
    </w:p>
    <w:p w14:paraId="7E630692" w14:textId="77777777" w:rsidR="005F3349" w:rsidRPr="0072615C" w:rsidRDefault="005F3349" w:rsidP="0072615C">
      <w:pPr>
        <w:pStyle w:val="ListParagraph"/>
        <w:tabs>
          <w:tab w:val="left" w:pos="4230"/>
        </w:tabs>
        <w:spacing w:after="0"/>
        <w:rPr>
          <w:rFonts w:cstheme="minorHAnsi"/>
          <w:i/>
          <w:iCs/>
        </w:rPr>
      </w:pPr>
    </w:p>
    <w:p w14:paraId="5D626A71" w14:textId="77777777" w:rsidR="008A528A" w:rsidRPr="0072615C" w:rsidRDefault="00884545" w:rsidP="00884545">
      <w:pPr>
        <w:pStyle w:val="ListParagraph"/>
        <w:numPr>
          <w:ilvl w:val="0"/>
          <w:numId w:val="1"/>
        </w:numPr>
        <w:tabs>
          <w:tab w:val="left" w:pos="4230"/>
        </w:tabs>
        <w:spacing w:after="0"/>
        <w:rPr>
          <w:rFonts w:cstheme="minorHAnsi"/>
        </w:rPr>
      </w:pPr>
      <w:r>
        <w:rPr>
          <w:rFonts w:cstheme="minorHAnsi"/>
          <w:color w:val="000000"/>
        </w:rPr>
        <w:t xml:space="preserve">Buy American. </w:t>
      </w:r>
    </w:p>
    <w:p w14:paraId="612172AD" w14:textId="07530E7A" w:rsidR="008A528A" w:rsidRPr="0072615C" w:rsidRDefault="005554DC" w:rsidP="0072615C">
      <w:pPr>
        <w:tabs>
          <w:tab w:val="left" w:pos="4230"/>
        </w:tabs>
        <w:spacing w:after="0"/>
        <w:ind w:left="360"/>
        <w:rPr>
          <w:rFonts w:cstheme="minorHAnsi"/>
        </w:rPr>
      </w:pPr>
      <w:r w:rsidRPr="0072615C">
        <w:rPr>
          <w:rFonts w:cstheme="minorHAnsi"/>
          <w:color w:val="000000"/>
        </w:rPr>
        <w:t>As President Biden stated</w:t>
      </w:r>
      <w:r w:rsidR="008A528A">
        <w:rPr>
          <w:rFonts w:cstheme="minorHAnsi"/>
          <w:color w:val="000000"/>
        </w:rPr>
        <w:t xml:space="preserve"> in his April address to Congress</w:t>
      </w:r>
      <w:r w:rsidRPr="0072615C">
        <w:rPr>
          <w:rFonts w:cstheme="minorHAnsi"/>
          <w:color w:val="000000"/>
        </w:rPr>
        <w:t xml:space="preserve">, “The blade to a wind turbine in Pittsburgh should not be manufactured in Beijing.” </w:t>
      </w:r>
    </w:p>
    <w:p w14:paraId="18FA6DAC" w14:textId="77777777" w:rsidR="008A528A" w:rsidRPr="0072615C" w:rsidRDefault="008A528A" w:rsidP="0072615C">
      <w:pPr>
        <w:tabs>
          <w:tab w:val="left" w:pos="4230"/>
        </w:tabs>
        <w:spacing w:after="0"/>
        <w:rPr>
          <w:rFonts w:cstheme="minorHAnsi"/>
        </w:rPr>
      </w:pPr>
    </w:p>
    <w:p w14:paraId="3F4C5C3C" w14:textId="2D82191B" w:rsidR="008A528A" w:rsidRPr="0072615C" w:rsidRDefault="002A44F5" w:rsidP="008A528A">
      <w:pPr>
        <w:pStyle w:val="ListParagraph"/>
        <w:numPr>
          <w:ilvl w:val="1"/>
          <w:numId w:val="1"/>
        </w:numPr>
        <w:tabs>
          <w:tab w:val="left" w:pos="4230"/>
        </w:tabs>
        <w:spacing w:after="0"/>
        <w:rPr>
          <w:rFonts w:cstheme="minorHAnsi"/>
        </w:rPr>
      </w:pPr>
      <w:r>
        <w:rPr>
          <w:rFonts w:cstheme="minorHAnsi"/>
          <w:color w:val="000000"/>
        </w:rPr>
        <w:t xml:space="preserve">We strongly recommend that Energy support buy-American provisions in </w:t>
      </w:r>
      <w:r w:rsidR="005554DC">
        <w:rPr>
          <w:rFonts w:cstheme="minorHAnsi"/>
          <w:color w:val="000000"/>
        </w:rPr>
        <w:t>S</w:t>
      </w:r>
      <w:r>
        <w:rPr>
          <w:rFonts w:cstheme="minorHAnsi"/>
          <w:color w:val="000000"/>
        </w:rPr>
        <w:t xml:space="preserve">upply </w:t>
      </w:r>
      <w:r w:rsidR="005554DC">
        <w:rPr>
          <w:rFonts w:cstheme="minorHAnsi"/>
          <w:color w:val="000000"/>
        </w:rPr>
        <w:t>C</w:t>
      </w:r>
      <w:r>
        <w:rPr>
          <w:rFonts w:cstheme="minorHAnsi"/>
          <w:color w:val="000000"/>
        </w:rPr>
        <w:t xml:space="preserve">hain </w:t>
      </w:r>
      <w:r w:rsidR="005554DC">
        <w:rPr>
          <w:rFonts w:cstheme="minorHAnsi"/>
          <w:color w:val="000000"/>
        </w:rPr>
        <w:t>R</w:t>
      </w:r>
      <w:r>
        <w:rPr>
          <w:rFonts w:cstheme="minorHAnsi"/>
          <w:color w:val="000000"/>
        </w:rPr>
        <w:t xml:space="preserve">isk </w:t>
      </w:r>
      <w:r w:rsidR="005554DC">
        <w:rPr>
          <w:rFonts w:cstheme="minorHAnsi"/>
          <w:color w:val="000000"/>
        </w:rPr>
        <w:t>M</w:t>
      </w:r>
      <w:r>
        <w:rPr>
          <w:rFonts w:cstheme="minorHAnsi"/>
          <w:color w:val="000000"/>
        </w:rPr>
        <w:t>anagement provisions</w:t>
      </w:r>
      <w:r w:rsidR="005554DC">
        <w:rPr>
          <w:rFonts w:cstheme="minorHAnsi"/>
          <w:color w:val="000000"/>
        </w:rPr>
        <w:t xml:space="preserve"> (</w:t>
      </w:r>
      <w:r>
        <w:rPr>
          <w:rFonts w:cstheme="minorHAnsi"/>
          <w:color w:val="000000"/>
        </w:rPr>
        <w:t xml:space="preserve">such as those proposed </w:t>
      </w:r>
      <w:r w:rsidR="008A528A">
        <w:rPr>
          <w:rFonts w:cstheme="minorHAnsi"/>
          <w:color w:val="000000"/>
        </w:rPr>
        <w:t xml:space="preserve"> by </w:t>
      </w:r>
      <w:r>
        <w:rPr>
          <w:rFonts w:cstheme="minorHAnsi"/>
          <w:color w:val="000000"/>
        </w:rPr>
        <w:t xml:space="preserve">the revised </w:t>
      </w:r>
      <w:r w:rsidR="005554DC">
        <w:rPr>
          <w:rFonts w:cstheme="minorHAnsi"/>
          <w:color w:val="000000"/>
        </w:rPr>
        <w:t>NIST 800-161 r</w:t>
      </w:r>
      <w:r>
        <w:rPr>
          <w:rFonts w:cstheme="minorHAnsi"/>
          <w:color w:val="000000"/>
        </w:rPr>
        <w:t>r1</w:t>
      </w:r>
      <w:r w:rsidR="005554DC">
        <w:rPr>
          <w:rFonts w:cstheme="minorHAnsi"/>
          <w:color w:val="000000"/>
        </w:rPr>
        <w:t xml:space="preserve">). </w:t>
      </w:r>
      <w:r w:rsidR="008A528A">
        <w:rPr>
          <w:rFonts w:cstheme="minorHAnsi"/>
          <w:color w:val="000000"/>
        </w:rPr>
        <w:t>Below, b) discusses Buy American in a security services context, and c) discusses Buy American in a manufacturing context.</w:t>
      </w:r>
    </w:p>
    <w:p w14:paraId="4FF2F275" w14:textId="77777777" w:rsidR="008A528A" w:rsidRPr="0072615C" w:rsidRDefault="008A528A" w:rsidP="0072615C">
      <w:pPr>
        <w:tabs>
          <w:tab w:val="left" w:pos="4230"/>
        </w:tabs>
        <w:spacing w:after="0"/>
        <w:rPr>
          <w:rFonts w:cstheme="minorHAnsi"/>
        </w:rPr>
      </w:pPr>
    </w:p>
    <w:p w14:paraId="4756F0E4" w14:textId="2574130F" w:rsidR="008A528A" w:rsidRDefault="005554DC" w:rsidP="0072615C">
      <w:pPr>
        <w:pStyle w:val="ListParagraph"/>
        <w:numPr>
          <w:ilvl w:val="1"/>
          <w:numId w:val="1"/>
        </w:numPr>
      </w:pPr>
      <w:r w:rsidRPr="0072615C">
        <w:rPr>
          <w:rFonts w:cstheme="minorHAnsi"/>
          <w:color w:val="000000"/>
        </w:rPr>
        <w:t xml:space="preserve">Buy American </w:t>
      </w:r>
      <w:r w:rsidR="002A44F5" w:rsidRPr="0072615C">
        <w:rPr>
          <w:rFonts w:cstheme="minorHAnsi"/>
          <w:color w:val="000000"/>
        </w:rPr>
        <w:t>should be deployed when engaging assessors for BES and supply chain to the lowest tier</w:t>
      </w:r>
      <w:r w:rsidR="008A528A" w:rsidRPr="0072615C">
        <w:rPr>
          <w:rFonts w:cstheme="minorHAnsi"/>
          <w:color w:val="000000"/>
        </w:rPr>
        <w:t xml:space="preserve">. To use a particularly troublesome example from a partner Agency, the Department of Defense currently allows non-US companies to become accredited auditors for DoD’s Cybersecurity Certification Maturity Model assessments on its entire supply chain. We acknowledge that even </w:t>
      </w:r>
      <w:r w:rsidR="001C6C84" w:rsidRPr="008A528A">
        <w:t>if the vendor has the supply chain risk mitigation basic requirements in place</w:t>
      </w:r>
      <w:r w:rsidR="008A528A" w:rsidRPr="0072615C">
        <w:t>, i</w:t>
      </w:r>
      <w:r w:rsidR="001C6C84" w:rsidRPr="008A528A">
        <w:t xml:space="preserve">f there is compromised sourced components this causes a problem. </w:t>
      </w:r>
    </w:p>
    <w:p w14:paraId="1DE1C187" w14:textId="77777777" w:rsidR="008A528A" w:rsidRPr="007B6FBC" w:rsidRDefault="008A528A">
      <w:pPr>
        <w:tabs>
          <w:tab w:val="left" w:pos="4230"/>
        </w:tabs>
        <w:spacing w:after="0"/>
        <w:rPr>
          <w:rFonts w:cstheme="minorHAnsi"/>
        </w:rPr>
      </w:pPr>
    </w:p>
    <w:p w14:paraId="4591FE94" w14:textId="74378B45" w:rsidR="008A528A" w:rsidRDefault="00D73675" w:rsidP="008A528A">
      <w:pPr>
        <w:pStyle w:val="ListParagraph"/>
        <w:numPr>
          <w:ilvl w:val="1"/>
          <w:numId w:val="1"/>
        </w:numPr>
        <w:tabs>
          <w:tab w:val="left" w:pos="4230"/>
        </w:tabs>
        <w:spacing w:after="0"/>
        <w:rPr>
          <w:rFonts w:cstheme="minorHAnsi"/>
        </w:rPr>
      </w:pPr>
      <w:r w:rsidRPr="007B6FBC">
        <w:rPr>
          <w:rFonts w:cstheme="minorHAnsi"/>
        </w:rPr>
        <w:t xml:space="preserve">This could be an opportunity to partner with </w:t>
      </w:r>
      <w:r w:rsidR="008A528A">
        <w:rPr>
          <w:rFonts w:cstheme="minorHAnsi"/>
        </w:rPr>
        <w:t xml:space="preserve">Allied </w:t>
      </w:r>
      <w:r w:rsidRPr="007B6FBC">
        <w:rPr>
          <w:rFonts w:cstheme="minorHAnsi"/>
        </w:rPr>
        <w:t xml:space="preserve">countries </w:t>
      </w:r>
      <w:r w:rsidRPr="0072615C">
        <w:rPr>
          <w:rFonts w:cstheme="minorHAnsi"/>
        </w:rPr>
        <w:t xml:space="preserve">to diversify our supply chain and </w:t>
      </w:r>
      <w:r w:rsidR="00DC7858" w:rsidRPr="0072615C">
        <w:rPr>
          <w:rFonts w:cstheme="minorHAnsi"/>
        </w:rPr>
        <w:t xml:space="preserve">move towards creating resilient systems where any single point of failure is reenforced with </w:t>
      </w:r>
      <w:r w:rsidR="008D2079">
        <w:rPr>
          <w:rFonts w:cstheme="minorHAnsi"/>
        </w:rPr>
        <w:t xml:space="preserve">the </w:t>
      </w:r>
      <w:r w:rsidR="00DC7858" w:rsidRPr="008D2079">
        <w:rPr>
          <w:rFonts w:cstheme="minorHAnsi"/>
        </w:rPr>
        <w:t>resilien</w:t>
      </w:r>
      <w:r w:rsidR="008D2079">
        <w:rPr>
          <w:rFonts w:cstheme="minorHAnsi"/>
        </w:rPr>
        <w:t>ce</w:t>
      </w:r>
      <w:r w:rsidR="00DC7858" w:rsidRPr="0072615C">
        <w:rPr>
          <w:rFonts w:cstheme="minorHAnsi"/>
        </w:rPr>
        <w:t xml:space="preserve"> of having a different product being able to complete the same task. This would also eliminate two of the same products offering redundancy but susceptible to the same attack</w:t>
      </w:r>
      <w:r w:rsidR="008A528A">
        <w:rPr>
          <w:rFonts w:cstheme="minorHAnsi"/>
        </w:rPr>
        <w:t>, as is currently prevalent in Industrial Control System manufacturing and its security surveillance products</w:t>
      </w:r>
      <w:r w:rsidR="00DC7858" w:rsidRPr="007B6FBC">
        <w:rPr>
          <w:rFonts w:cstheme="minorHAnsi"/>
        </w:rPr>
        <w:t xml:space="preserve">. </w:t>
      </w:r>
    </w:p>
    <w:p w14:paraId="19652E1E" w14:textId="77777777" w:rsidR="008A528A" w:rsidRPr="007B6FBC" w:rsidRDefault="008A528A" w:rsidP="0072615C">
      <w:pPr>
        <w:tabs>
          <w:tab w:val="left" w:pos="4230"/>
        </w:tabs>
        <w:spacing w:after="0"/>
        <w:rPr>
          <w:rFonts w:cstheme="minorHAnsi"/>
        </w:rPr>
      </w:pPr>
    </w:p>
    <w:p w14:paraId="6E773C09" w14:textId="77777777" w:rsidR="00CB39E1" w:rsidRDefault="008A528A" w:rsidP="008A528A">
      <w:pPr>
        <w:pStyle w:val="ListParagraph"/>
        <w:tabs>
          <w:tab w:val="left" w:pos="4230"/>
        </w:tabs>
        <w:spacing w:after="0"/>
        <w:rPr>
          <w:rFonts w:cstheme="minorHAnsi"/>
          <w:i/>
          <w:iCs/>
        </w:rPr>
      </w:pPr>
      <w:r w:rsidRPr="0072615C">
        <w:rPr>
          <w:rFonts w:cstheme="minorHAnsi"/>
          <w:i/>
          <w:iCs/>
          <w:u w:val="single"/>
        </w:rPr>
        <w:t>Recommendation 2</w:t>
      </w:r>
      <w:r>
        <w:rPr>
          <w:rFonts w:cstheme="minorHAnsi"/>
          <w:i/>
          <w:iCs/>
        </w:rPr>
        <w:t>: Establish comprehensive Buy American policies that shoot through procurement for security services (software, consultant services); manufacturing partnerships; and software bills of manufacture (SBOM).</w:t>
      </w:r>
      <w:r w:rsidR="00540F57">
        <w:rPr>
          <w:rFonts w:cstheme="minorHAnsi"/>
          <w:i/>
          <w:iCs/>
        </w:rPr>
        <w:t xml:space="preserve"> </w:t>
      </w:r>
    </w:p>
    <w:p w14:paraId="2085371A" w14:textId="578BBC30" w:rsidR="008A528A" w:rsidRPr="007B6FBC" w:rsidRDefault="00540F57" w:rsidP="0072615C">
      <w:pPr>
        <w:pStyle w:val="ListParagraph"/>
        <w:tabs>
          <w:tab w:val="left" w:pos="4230"/>
        </w:tabs>
        <w:spacing w:after="0"/>
        <w:rPr>
          <w:rFonts w:cstheme="minorHAnsi"/>
        </w:rPr>
      </w:pPr>
      <w:r>
        <w:rPr>
          <w:rFonts w:cstheme="minorHAnsi"/>
          <w:i/>
          <w:iCs/>
          <w:u w:val="single"/>
        </w:rPr>
        <w:t>Suggested Milestone:</w:t>
      </w:r>
      <w:r w:rsidR="00827340">
        <w:rPr>
          <w:rFonts w:cstheme="minorHAnsi"/>
          <w:i/>
          <w:iCs/>
          <w:u w:val="single"/>
        </w:rPr>
        <w:t xml:space="preserve"> By end of FY 2022, </w:t>
      </w:r>
      <w:r w:rsidR="0072615C">
        <w:rPr>
          <w:rFonts w:cstheme="minorHAnsi"/>
          <w:i/>
          <w:iCs/>
          <w:u w:val="single"/>
        </w:rPr>
        <w:t xml:space="preserve">provide Lead Agency </w:t>
      </w:r>
      <w:r w:rsidR="00827340">
        <w:rPr>
          <w:rFonts w:cstheme="minorHAnsi"/>
          <w:i/>
          <w:iCs/>
          <w:u w:val="single"/>
        </w:rPr>
        <w:t>draft language for inclusion in FAR/DFAR</w:t>
      </w:r>
      <w:r w:rsidR="0072615C">
        <w:rPr>
          <w:rFonts w:cstheme="minorHAnsi"/>
          <w:i/>
          <w:iCs/>
          <w:u w:val="single"/>
        </w:rPr>
        <w:t xml:space="preserve"> and wide Agency adoption to require Buy American provisions. By end of FY 2023, </w:t>
      </w:r>
      <w:r w:rsidR="0072615C">
        <w:rPr>
          <w:rFonts w:cstheme="minorHAnsi"/>
          <w:i/>
          <w:iCs/>
          <w:u w:val="single"/>
        </w:rPr>
        <w:lastRenderedPageBreak/>
        <w:t>pilot an exemplar procurement-mep-sbom cybersecurity integration cycle with a goal for FY2024 implementation.</w:t>
      </w:r>
    </w:p>
    <w:p w14:paraId="7F60DA95" w14:textId="77777777" w:rsidR="00D73675" w:rsidRPr="00C05905" w:rsidRDefault="00D73675" w:rsidP="00C05905">
      <w:pPr>
        <w:tabs>
          <w:tab w:val="left" w:pos="4230"/>
        </w:tabs>
        <w:spacing w:after="0"/>
        <w:rPr>
          <w:rFonts w:cstheme="minorHAnsi"/>
          <w:color w:val="FF0000"/>
        </w:rPr>
      </w:pPr>
    </w:p>
    <w:p w14:paraId="2EEA716A" w14:textId="4095F020" w:rsidR="003B5650" w:rsidRPr="0072615C" w:rsidRDefault="008A528A" w:rsidP="00884545">
      <w:pPr>
        <w:pStyle w:val="ListParagraph"/>
        <w:numPr>
          <w:ilvl w:val="0"/>
          <w:numId w:val="1"/>
        </w:numPr>
        <w:tabs>
          <w:tab w:val="left" w:pos="4230"/>
        </w:tabs>
        <w:spacing w:after="0"/>
        <w:rPr>
          <w:rFonts w:cstheme="minorHAnsi"/>
        </w:rPr>
      </w:pPr>
      <w:r w:rsidRPr="0072615C">
        <w:rPr>
          <w:rFonts w:cstheme="minorHAnsi"/>
        </w:rPr>
        <w:t xml:space="preserve">Incentives. </w:t>
      </w:r>
      <w:r w:rsidR="003B5650" w:rsidRPr="0072615C">
        <w:rPr>
          <w:rFonts w:cstheme="minorHAnsi"/>
        </w:rPr>
        <w:t>Incentives should encompass education and training (</w:t>
      </w:r>
      <w:proofErr w:type="gramStart"/>
      <w:r w:rsidR="003B5650" w:rsidRPr="0072615C">
        <w:rPr>
          <w:rFonts w:cstheme="minorHAnsi"/>
        </w:rPr>
        <w:t>para a</w:t>
      </w:r>
      <w:proofErr w:type="gramEnd"/>
      <w:r w:rsidR="003B5650" w:rsidRPr="0072615C">
        <w:rPr>
          <w:rFonts w:cstheme="minorHAnsi"/>
        </w:rPr>
        <w:t>), below) as well as dual-use technologies (para b), below) that enable people-hours for critical thinking and systems curation versus mere security responsiveness.</w:t>
      </w:r>
    </w:p>
    <w:p w14:paraId="1FFF7959" w14:textId="77777777" w:rsidR="003B5650" w:rsidRPr="007B6FBC" w:rsidRDefault="003B5650" w:rsidP="0072615C">
      <w:pPr>
        <w:tabs>
          <w:tab w:val="left" w:pos="4230"/>
        </w:tabs>
        <w:spacing w:after="0"/>
        <w:rPr>
          <w:rFonts w:cstheme="minorHAnsi"/>
        </w:rPr>
      </w:pPr>
    </w:p>
    <w:p w14:paraId="52805D38" w14:textId="68BF2711" w:rsidR="003B5650" w:rsidRPr="0072615C" w:rsidRDefault="001C6C84" w:rsidP="003B5650">
      <w:pPr>
        <w:pStyle w:val="ListParagraph"/>
        <w:numPr>
          <w:ilvl w:val="1"/>
          <w:numId w:val="1"/>
        </w:numPr>
        <w:tabs>
          <w:tab w:val="left" w:pos="4230"/>
        </w:tabs>
        <w:spacing w:after="0"/>
        <w:rPr>
          <w:rFonts w:cstheme="minorHAnsi"/>
        </w:rPr>
      </w:pPr>
      <w:r w:rsidRPr="0072615C">
        <w:rPr>
          <w:rFonts w:cstheme="minorHAnsi"/>
        </w:rPr>
        <w:t xml:space="preserve">The best investment in the BES is by incentivizing utilities to send people to further their skillsets and become as educated as possible on developing threats, best practice mitigation techniques and encouraging them to take an active role to think independently and </w:t>
      </w:r>
      <w:r w:rsidR="008D2079">
        <w:rPr>
          <w:rFonts w:cstheme="minorHAnsi"/>
        </w:rPr>
        <w:t>creatively</w:t>
      </w:r>
      <w:r w:rsidRPr="0072615C">
        <w:rPr>
          <w:rFonts w:cstheme="minorHAnsi"/>
        </w:rPr>
        <w:t xml:space="preserve">. If we can foster an environment of highly motivated, and enabled individuals, </w:t>
      </w:r>
      <w:r w:rsidR="003B5650" w:rsidRPr="0072615C">
        <w:rPr>
          <w:rFonts w:cstheme="minorHAnsi"/>
        </w:rPr>
        <w:t>these individuals will be able</w:t>
      </w:r>
      <w:r w:rsidR="003C61A5" w:rsidRPr="0072615C">
        <w:rPr>
          <w:rFonts w:cstheme="minorHAnsi"/>
        </w:rPr>
        <w:t xml:space="preserve"> to con</w:t>
      </w:r>
      <w:r w:rsidR="003B5650" w:rsidRPr="0072615C">
        <w:rPr>
          <w:rFonts w:cstheme="minorHAnsi"/>
        </w:rPr>
        <w:t>v</w:t>
      </w:r>
      <w:r w:rsidR="003C61A5" w:rsidRPr="0072615C">
        <w:rPr>
          <w:rFonts w:cstheme="minorHAnsi"/>
        </w:rPr>
        <w:t xml:space="preserve">ey the story to the C suite effectively. </w:t>
      </w:r>
    </w:p>
    <w:p w14:paraId="5377F624" w14:textId="77777777" w:rsidR="003B5650" w:rsidRPr="0072615C" w:rsidRDefault="003B5650" w:rsidP="0072615C">
      <w:pPr>
        <w:pStyle w:val="ListParagraph"/>
        <w:tabs>
          <w:tab w:val="left" w:pos="4230"/>
        </w:tabs>
        <w:spacing w:after="0"/>
        <w:ind w:left="1800"/>
        <w:rPr>
          <w:rFonts w:cstheme="minorHAnsi"/>
        </w:rPr>
      </w:pPr>
    </w:p>
    <w:p w14:paraId="2BEAE551" w14:textId="014EF16C" w:rsidR="003B5650" w:rsidRPr="0072615C" w:rsidRDefault="004332A0" w:rsidP="0072615C">
      <w:pPr>
        <w:pStyle w:val="ListParagraph"/>
        <w:numPr>
          <w:ilvl w:val="1"/>
          <w:numId w:val="1"/>
        </w:numPr>
        <w:tabs>
          <w:tab w:val="left" w:pos="4230"/>
        </w:tabs>
        <w:spacing w:after="0"/>
        <w:rPr>
          <w:rFonts w:cstheme="minorHAnsi"/>
        </w:rPr>
      </w:pPr>
      <w:r w:rsidRPr="0072615C">
        <w:rPr>
          <w:rFonts w:cstheme="minorHAnsi"/>
        </w:rPr>
        <w:t xml:space="preserve">Encourage business to invest in technologies that </w:t>
      </w:r>
      <w:r w:rsidR="003B5650" w:rsidRPr="0072615C">
        <w:rPr>
          <w:rFonts w:cstheme="minorHAnsi"/>
        </w:rPr>
        <w:t xml:space="preserve">improve </w:t>
      </w:r>
      <w:r w:rsidRPr="0072615C">
        <w:rPr>
          <w:rFonts w:cstheme="minorHAnsi"/>
        </w:rPr>
        <w:t xml:space="preserve">efficiencies, compliance objectives, </w:t>
      </w:r>
      <w:r w:rsidRPr="0072615C">
        <w:rPr>
          <w:rFonts w:cstheme="minorHAnsi"/>
          <w:i/>
          <w:iCs/>
        </w:rPr>
        <w:t>and</w:t>
      </w:r>
      <w:r w:rsidRPr="0072615C">
        <w:rPr>
          <w:rFonts w:cstheme="minorHAnsi"/>
        </w:rPr>
        <w:t xml:space="preserve"> security objectives. It is difficult to do all three without a </w:t>
      </w:r>
      <w:proofErr w:type="gramStart"/>
      <w:r w:rsidRPr="0072615C">
        <w:rPr>
          <w:rFonts w:cstheme="minorHAnsi"/>
        </w:rPr>
        <w:t>long term</w:t>
      </w:r>
      <w:proofErr w:type="gramEnd"/>
      <w:r w:rsidRPr="0072615C">
        <w:rPr>
          <w:rFonts w:cstheme="minorHAnsi"/>
        </w:rPr>
        <w:t xml:space="preserve"> strategy in place. You can have the best technology in any given area of ICS/OT security</w:t>
      </w:r>
      <w:r w:rsidR="003B5650" w:rsidRPr="0072615C">
        <w:rPr>
          <w:rFonts w:cstheme="minorHAnsi"/>
        </w:rPr>
        <w:t>, yet p</w:t>
      </w:r>
      <w:r w:rsidRPr="0072615C">
        <w:rPr>
          <w:rFonts w:cstheme="minorHAnsi"/>
        </w:rPr>
        <w:t xml:space="preserve">eople are the </w:t>
      </w:r>
      <w:proofErr w:type="gramStart"/>
      <w:r w:rsidRPr="0072615C">
        <w:rPr>
          <w:rFonts w:cstheme="minorHAnsi"/>
        </w:rPr>
        <w:t xml:space="preserve">most </w:t>
      </w:r>
      <w:r w:rsidR="003B5650" w:rsidRPr="0072615C">
        <w:rPr>
          <w:rFonts w:cstheme="minorHAnsi"/>
        </w:rPr>
        <w:t>scarce</w:t>
      </w:r>
      <w:proofErr w:type="gramEnd"/>
      <w:r w:rsidRPr="0072615C">
        <w:rPr>
          <w:rFonts w:cstheme="minorHAnsi"/>
        </w:rPr>
        <w:t xml:space="preserve"> resource</w:t>
      </w:r>
      <w:r w:rsidR="008D2079">
        <w:rPr>
          <w:rFonts w:cstheme="minorHAnsi"/>
        </w:rPr>
        <w:t xml:space="preserve"> and also most difficult cost to justify</w:t>
      </w:r>
      <w:r w:rsidRPr="0072615C">
        <w:rPr>
          <w:rFonts w:cstheme="minorHAnsi"/>
        </w:rPr>
        <w:t xml:space="preserve">. Invest in technologies that integrate across platforms to reduce manual workload. </w:t>
      </w:r>
      <w:r w:rsidR="003B5650" w:rsidRPr="0072615C">
        <w:rPr>
          <w:rFonts w:cstheme="minorHAnsi"/>
        </w:rPr>
        <w:t>M</w:t>
      </w:r>
      <w:r w:rsidRPr="0072615C">
        <w:rPr>
          <w:rFonts w:cstheme="minorHAnsi"/>
        </w:rPr>
        <w:t xml:space="preserve">any great technologies never </w:t>
      </w:r>
      <w:r w:rsidR="003B5650" w:rsidRPr="0072615C">
        <w:rPr>
          <w:rFonts w:cstheme="minorHAnsi"/>
        </w:rPr>
        <w:t>produce</w:t>
      </w:r>
      <w:r w:rsidRPr="0072615C">
        <w:rPr>
          <w:rFonts w:cstheme="minorHAnsi"/>
        </w:rPr>
        <w:t xml:space="preserve"> full ROI because people are too busy to use them to their full potential. </w:t>
      </w:r>
    </w:p>
    <w:p w14:paraId="1DAB6A7C" w14:textId="77777777" w:rsidR="003B5650" w:rsidRPr="0072615C" w:rsidRDefault="003B5650" w:rsidP="0072615C">
      <w:pPr>
        <w:pStyle w:val="ListParagraph"/>
        <w:tabs>
          <w:tab w:val="left" w:pos="4230"/>
        </w:tabs>
        <w:spacing w:after="0"/>
        <w:ind w:left="1800"/>
        <w:rPr>
          <w:rFonts w:cstheme="minorHAnsi"/>
        </w:rPr>
      </w:pPr>
    </w:p>
    <w:p w14:paraId="454EA17C" w14:textId="6EB80108" w:rsidR="00884545" w:rsidRPr="0072615C" w:rsidRDefault="00D73675" w:rsidP="003B5650">
      <w:pPr>
        <w:pStyle w:val="ListParagraph"/>
        <w:numPr>
          <w:ilvl w:val="1"/>
          <w:numId w:val="1"/>
        </w:numPr>
        <w:tabs>
          <w:tab w:val="left" w:pos="4230"/>
        </w:tabs>
        <w:spacing w:after="0"/>
        <w:rPr>
          <w:rFonts w:cstheme="minorHAnsi"/>
        </w:rPr>
      </w:pPr>
      <w:r w:rsidRPr="007B6FBC">
        <w:rPr>
          <w:rFonts w:cstheme="minorHAnsi"/>
        </w:rPr>
        <w:t>Offer programs that reward ingenuity</w:t>
      </w:r>
      <w:r w:rsidR="003B5650" w:rsidRPr="0072615C">
        <w:rPr>
          <w:rFonts w:cstheme="minorHAnsi"/>
        </w:rPr>
        <w:t>. C</w:t>
      </w:r>
      <w:r w:rsidRPr="0072615C">
        <w:rPr>
          <w:rFonts w:cstheme="minorHAnsi"/>
        </w:rPr>
        <w:t>ompliance</w:t>
      </w:r>
      <w:r w:rsidR="003B5650" w:rsidRPr="0072615C">
        <w:rPr>
          <w:rFonts w:cstheme="minorHAnsi"/>
        </w:rPr>
        <w:t>-only cybersecurity</w:t>
      </w:r>
      <w:r w:rsidRPr="007B6FBC">
        <w:rPr>
          <w:rFonts w:cstheme="minorHAnsi"/>
        </w:rPr>
        <w:t xml:space="preserve"> has unfortunately become a place where organizations </w:t>
      </w:r>
      <w:r w:rsidR="003B5650" w:rsidRPr="0072615C">
        <w:rPr>
          <w:rFonts w:cstheme="minorHAnsi"/>
        </w:rPr>
        <w:t>suffer from</w:t>
      </w:r>
      <w:r w:rsidRPr="007B6FBC">
        <w:rPr>
          <w:rFonts w:cstheme="minorHAnsi"/>
        </w:rPr>
        <w:t xml:space="preserve"> paralysis by analysis</w:t>
      </w:r>
      <w:r w:rsidR="008D2079">
        <w:rPr>
          <w:rFonts w:cstheme="minorHAnsi"/>
        </w:rPr>
        <w:t xml:space="preserve"> and checkbox minimalism</w:t>
      </w:r>
      <w:r w:rsidRPr="007B6FBC">
        <w:rPr>
          <w:rFonts w:cstheme="minorHAnsi"/>
        </w:rPr>
        <w:t>. This is not an environment that rewards creative minds to implement mitigating co</w:t>
      </w:r>
      <w:r w:rsidRPr="00544D00">
        <w:rPr>
          <w:rFonts w:cstheme="minorHAnsi"/>
        </w:rPr>
        <w:t xml:space="preserve">ntrols without a lot of </w:t>
      </w:r>
      <w:r w:rsidR="008D2079">
        <w:rPr>
          <w:rFonts w:cstheme="minorHAnsi"/>
        </w:rPr>
        <w:t>administrative overhead</w:t>
      </w:r>
      <w:r w:rsidRPr="00544D00">
        <w:rPr>
          <w:rFonts w:cstheme="minorHAnsi"/>
        </w:rPr>
        <w:t>. The adversaries we are encountering adapt quickly</w:t>
      </w:r>
      <w:r w:rsidR="003B5650" w:rsidRPr="0072615C">
        <w:rPr>
          <w:rFonts w:cstheme="minorHAnsi"/>
        </w:rPr>
        <w:t>. T</w:t>
      </w:r>
      <w:r w:rsidRPr="0072615C">
        <w:rPr>
          <w:rFonts w:cstheme="minorHAnsi"/>
        </w:rPr>
        <w:t xml:space="preserve">o meet them on equal footing, we need to be more flexible in our approach to encourage people to innovate and </w:t>
      </w:r>
      <w:r w:rsidR="003B5650" w:rsidRPr="0072615C">
        <w:rPr>
          <w:rFonts w:cstheme="minorHAnsi"/>
        </w:rPr>
        <w:t>for quick Federal adoption</w:t>
      </w:r>
      <w:r w:rsidRPr="0072615C">
        <w:rPr>
          <w:rFonts w:cstheme="minorHAnsi"/>
        </w:rPr>
        <w:t xml:space="preserve">. Our end game is the </w:t>
      </w:r>
      <w:r w:rsidR="008D2079">
        <w:rPr>
          <w:rFonts w:cstheme="minorHAnsi"/>
        </w:rPr>
        <w:t xml:space="preserve">continued </w:t>
      </w:r>
      <w:r w:rsidRPr="008D2079">
        <w:rPr>
          <w:rFonts w:cstheme="minorHAnsi"/>
        </w:rPr>
        <w:t>reliable operation of the Bulk Electric System</w:t>
      </w:r>
      <w:r w:rsidR="00540F57" w:rsidRPr="0072615C">
        <w:rPr>
          <w:rFonts w:cstheme="minorHAnsi"/>
        </w:rPr>
        <w:t xml:space="preserve">. </w:t>
      </w:r>
      <w:r w:rsidRPr="0072615C">
        <w:rPr>
          <w:rFonts w:cstheme="minorHAnsi"/>
        </w:rPr>
        <w:t>This is done most efficien</w:t>
      </w:r>
      <w:r w:rsidR="008D2079">
        <w:rPr>
          <w:rFonts w:cstheme="minorHAnsi"/>
        </w:rPr>
        <w:t>tl</w:t>
      </w:r>
      <w:r w:rsidRPr="0072615C">
        <w:rPr>
          <w:rFonts w:cstheme="minorHAnsi"/>
        </w:rPr>
        <w:t xml:space="preserve">y when people are free to </w:t>
      </w:r>
      <w:r w:rsidRPr="007B6FBC">
        <w:rPr>
          <w:rFonts w:cstheme="minorHAnsi"/>
        </w:rPr>
        <w:t>share information and implement quickly. They need to be encouraged to share information and those mitig</w:t>
      </w:r>
      <w:r w:rsidRPr="00544D00">
        <w:rPr>
          <w:rFonts w:cstheme="minorHAnsi"/>
        </w:rPr>
        <w:t xml:space="preserve">ation techniques need to be able to be adopted quickly to meet the adversaries on equal footing. </w:t>
      </w:r>
    </w:p>
    <w:p w14:paraId="72B9E2B6" w14:textId="77777777" w:rsidR="00540F57" w:rsidRPr="0072615C" w:rsidRDefault="00540F57" w:rsidP="00540F57">
      <w:pPr>
        <w:tabs>
          <w:tab w:val="left" w:pos="4230"/>
        </w:tabs>
        <w:spacing w:after="0"/>
        <w:ind w:left="810"/>
        <w:rPr>
          <w:rFonts w:cstheme="minorHAnsi"/>
          <w:i/>
          <w:iCs/>
        </w:rPr>
      </w:pPr>
    </w:p>
    <w:p w14:paraId="0EEE1671" w14:textId="45C5267A" w:rsidR="00540F57" w:rsidRPr="0072615C" w:rsidRDefault="00540F57" w:rsidP="0072615C">
      <w:pPr>
        <w:tabs>
          <w:tab w:val="left" w:pos="4230"/>
        </w:tabs>
        <w:spacing w:after="0"/>
        <w:ind w:left="810"/>
        <w:rPr>
          <w:rFonts w:cstheme="minorHAnsi"/>
          <w:i/>
          <w:iCs/>
          <w:color w:val="FF0000"/>
        </w:rPr>
      </w:pPr>
      <w:r w:rsidRPr="0072615C">
        <w:rPr>
          <w:rFonts w:cstheme="minorHAnsi"/>
          <w:i/>
          <w:iCs/>
          <w:u w:val="single"/>
        </w:rPr>
        <w:t>Recommendation 3</w:t>
      </w:r>
      <w:r w:rsidRPr="0072615C">
        <w:rPr>
          <w:rFonts w:cstheme="minorHAnsi"/>
          <w:i/>
          <w:iCs/>
        </w:rPr>
        <w:t xml:space="preserve">: Energy should pilot, then adopt, strategic initiatives that have a </w:t>
      </w:r>
      <w:proofErr w:type="gramStart"/>
      <w:r w:rsidRPr="0072615C">
        <w:rPr>
          <w:rFonts w:cstheme="minorHAnsi"/>
          <w:i/>
          <w:iCs/>
        </w:rPr>
        <w:t>3 to 5 year</w:t>
      </w:r>
      <w:proofErr w:type="gramEnd"/>
      <w:r w:rsidRPr="0072615C">
        <w:rPr>
          <w:rFonts w:cstheme="minorHAnsi"/>
          <w:i/>
          <w:iCs/>
        </w:rPr>
        <w:t xml:space="preserve"> window to enable the DoE and partner Agency ecosystem to plan and implement incentives that improve skillsets, dual-use technologies, and approaches that reward ingenuity.</w:t>
      </w:r>
      <w:r>
        <w:rPr>
          <w:rFonts w:cstheme="minorHAnsi"/>
          <w:i/>
          <w:iCs/>
        </w:rPr>
        <w:t xml:space="preserve"> </w:t>
      </w:r>
      <w:r>
        <w:rPr>
          <w:rFonts w:cstheme="minorHAnsi"/>
          <w:i/>
          <w:iCs/>
          <w:u w:val="single"/>
        </w:rPr>
        <w:t xml:space="preserve">Suggested Milestone: </w:t>
      </w:r>
      <w:r w:rsidR="0072615C">
        <w:rPr>
          <w:rFonts w:cstheme="minorHAnsi"/>
          <w:i/>
          <w:iCs/>
          <w:u w:val="single"/>
        </w:rPr>
        <w:t>In FY 2023 – 2030, obligate appropriations for undergraduate and graduate scholarships at public colleges and universities. In FY 2023-2030, obligate appropriations for developing integrated cybersecurity technologies via SBIR, Congressionally-directed pilot, and small business set-aside procurements. Additionally, obligate funds for open challenges similar to those funded by DARPA.</w:t>
      </w:r>
    </w:p>
    <w:p w14:paraId="45346470" w14:textId="67E7E7F6" w:rsidR="005554DC" w:rsidRDefault="005554DC" w:rsidP="005554DC">
      <w:pPr>
        <w:tabs>
          <w:tab w:val="left" w:pos="4230"/>
        </w:tabs>
        <w:spacing w:after="0"/>
        <w:rPr>
          <w:rFonts w:cstheme="minorHAnsi"/>
        </w:rPr>
      </w:pPr>
    </w:p>
    <w:p w14:paraId="44275C7B" w14:textId="77777777" w:rsidR="0072615C" w:rsidRDefault="0072615C" w:rsidP="005554DC">
      <w:pPr>
        <w:tabs>
          <w:tab w:val="left" w:pos="4230"/>
        </w:tabs>
        <w:spacing w:after="0"/>
        <w:rPr>
          <w:rFonts w:cstheme="minorHAnsi"/>
          <w:b/>
          <w:bCs/>
        </w:rPr>
      </w:pPr>
    </w:p>
    <w:p w14:paraId="46BAC0ED" w14:textId="3761F601" w:rsidR="005554DC" w:rsidRPr="0072615C" w:rsidRDefault="005554DC" w:rsidP="005554DC">
      <w:pPr>
        <w:tabs>
          <w:tab w:val="left" w:pos="4230"/>
        </w:tabs>
        <w:spacing w:after="0"/>
        <w:rPr>
          <w:rFonts w:cstheme="minorHAnsi"/>
          <w:b/>
          <w:bCs/>
        </w:rPr>
      </w:pPr>
      <w:r w:rsidRPr="0072615C">
        <w:rPr>
          <w:rFonts w:cstheme="minorHAnsi"/>
          <w:b/>
          <w:bCs/>
        </w:rPr>
        <w:lastRenderedPageBreak/>
        <w:t>Professional Backgrounds of Submitting Parties:</w:t>
      </w:r>
    </w:p>
    <w:p w14:paraId="64EF70A2" w14:textId="77777777" w:rsidR="00E143E1" w:rsidRPr="0072615C" w:rsidRDefault="00E143E1" w:rsidP="005554DC">
      <w:pPr>
        <w:tabs>
          <w:tab w:val="left" w:pos="4230"/>
        </w:tabs>
        <w:spacing w:after="0"/>
        <w:rPr>
          <w:rFonts w:cstheme="minorHAnsi"/>
        </w:rPr>
      </w:pPr>
    </w:p>
    <w:p w14:paraId="6DF48948" w14:textId="0F568B13" w:rsidR="00242EB3" w:rsidRPr="0072615C" w:rsidRDefault="00242EB3" w:rsidP="00242EB3">
      <w:pPr>
        <w:jc w:val="both"/>
        <w:rPr>
          <w:rFonts w:cs="Arial"/>
        </w:rPr>
      </w:pPr>
      <w:r w:rsidRPr="0072615C">
        <w:rPr>
          <w:rFonts w:cs="Arial"/>
          <w:b/>
          <w:bCs/>
        </w:rPr>
        <w:t>PFES</w:t>
      </w:r>
      <w:r w:rsidRPr="0072615C">
        <w:rPr>
          <w:rFonts w:cs="Arial"/>
          <w:b/>
          <w:bCs/>
          <w:shd w:val="clear" w:color="auto" w:fill="FFFFFF"/>
        </w:rPr>
        <w:t xml:space="preserve">, part of </w:t>
      </w:r>
      <w:hyperlink r:id="rId9" w:history="1">
        <w:r w:rsidRPr="0072615C">
          <w:rPr>
            <w:rStyle w:val="Hyperlink"/>
            <w:rFonts w:cs="Arial"/>
            <w:b/>
            <w:bCs/>
            <w:color w:val="auto"/>
            <w:shd w:val="clear" w:color="auto" w:fill="FFFFFF"/>
          </w:rPr>
          <w:t>The Planet Group</w:t>
        </w:r>
      </w:hyperlink>
      <w:r w:rsidRPr="0072615C">
        <w:rPr>
          <w:rFonts w:cs="Arial"/>
          <w:shd w:val="clear" w:color="auto" w:fill="FFFFFF"/>
        </w:rPr>
        <w:t xml:space="preserve">, provides consulting, advisory, risk, and compliance services to organizations in the energy, utility, heavy </w:t>
      </w:r>
      <w:proofErr w:type="gramStart"/>
      <w:r w:rsidRPr="0072615C">
        <w:rPr>
          <w:rFonts w:cs="Arial"/>
          <w:shd w:val="clear" w:color="auto" w:fill="FFFFFF"/>
        </w:rPr>
        <w:t>infrastructure</w:t>
      </w:r>
      <w:proofErr w:type="gramEnd"/>
      <w:r w:rsidRPr="0072615C">
        <w:rPr>
          <w:rFonts w:cs="Arial"/>
          <w:shd w:val="clear" w:color="auto" w:fill="FFFFFF"/>
        </w:rPr>
        <w:t xml:space="preserve"> and industrial markets. With a headquarters in Chicago and 16 locations worldwide, </w:t>
      </w:r>
      <w:proofErr w:type="gramStart"/>
      <w:r w:rsidRPr="0072615C">
        <w:rPr>
          <w:rFonts w:cs="Arial"/>
          <w:shd w:val="clear" w:color="auto" w:fill="FFFFFF"/>
        </w:rPr>
        <w:t>we’ve</w:t>
      </w:r>
      <w:proofErr w:type="gramEnd"/>
      <w:r w:rsidRPr="0072615C">
        <w:rPr>
          <w:rFonts w:cs="Arial"/>
          <w:shd w:val="clear" w:color="auto" w:fill="FFFFFF"/>
        </w:rPr>
        <w:t xml:space="preserve"> been delivering innovative consulting solutions since 2012.</w:t>
      </w:r>
      <w:r w:rsidRPr="0072615C">
        <w:rPr>
          <w:rFonts w:cs="Arial"/>
        </w:rPr>
        <w:t xml:space="preserve"> Being a part of the Planet Group puts PFES in a unique position to integrate global knowledge and provide clients with </w:t>
      </w:r>
      <w:proofErr w:type="gramStart"/>
      <w:r w:rsidRPr="0072615C">
        <w:rPr>
          <w:rFonts w:cs="Arial"/>
        </w:rPr>
        <w:t>well qualified</w:t>
      </w:r>
      <w:proofErr w:type="gramEnd"/>
      <w:r w:rsidRPr="0072615C">
        <w:rPr>
          <w:rFonts w:cs="Arial"/>
        </w:rPr>
        <w:t xml:space="preserve"> resources from a network of over 500,000 consultants.   PFES has executed over $30B in capital projects since our founding in 2012.  PFES has emerged as a leader in providing cybersecurity consulting services for Industrial Control System (ICS) and Operational Technology (OT) environments.  Our cybersecurity consulting organization is composed of cybersecurity subject matter experts and former NERC CIP auditors with extensive ICS/OT credentials and experience implementing cost-effective, comprehensive solutions that will not impact operations. </w:t>
      </w:r>
    </w:p>
    <w:p w14:paraId="709E83C1" w14:textId="77777777" w:rsidR="00242EB3" w:rsidRPr="0072615C" w:rsidRDefault="00242EB3" w:rsidP="00242EB3">
      <w:pPr>
        <w:spacing w:after="120" w:line="240" w:lineRule="auto"/>
        <w:ind w:right="1980"/>
        <w:rPr>
          <w:rFonts w:cstheme="minorHAnsi"/>
        </w:rPr>
      </w:pPr>
      <w:r w:rsidRPr="0072615C">
        <w:rPr>
          <w:rFonts w:cstheme="minorHAnsi"/>
          <w:b/>
          <w:bCs/>
        </w:rPr>
        <w:t>Dominick Birolin</w:t>
      </w:r>
      <w:r w:rsidRPr="0072615C">
        <w:rPr>
          <w:rFonts w:cstheme="minorHAnsi"/>
        </w:rPr>
        <w:t xml:space="preserve">, Vice President of Cyber Services | CISSP, CISA.                             </w:t>
      </w:r>
      <w:r w:rsidRPr="0072615C">
        <w:rPr>
          <w:rFonts w:cstheme="minorHAnsi"/>
          <w:noProof/>
        </w:rPr>
        <w:t xml:space="preserve"> </w:t>
      </w:r>
    </w:p>
    <w:p w14:paraId="0C317695" w14:textId="1487027F" w:rsidR="00242EB3" w:rsidRPr="0072615C" w:rsidRDefault="00242EB3" w:rsidP="0072615C">
      <w:pPr>
        <w:pStyle w:val="ListParagraph"/>
        <w:spacing w:after="120"/>
        <w:ind w:left="0"/>
        <w:rPr>
          <w:rFonts w:cstheme="minorHAnsi"/>
        </w:rPr>
      </w:pPr>
      <w:r w:rsidRPr="0072615C">
        <w:rPr>
          <w:rFonts w:cstheme="minorHAnsi"/>
        </w:rPr>
        <w:t xml:space="preserve">Dominick Birolin has 25 years’ experience in IT &amp; ICS/OT, </w:t>
      </w:r>
      <w:proofErr w:type="gramStart"/>
      <w:r w:rsidRPr="0072615C">
        <w:rPr>
          <w:rFonts w:cstheme="minorHAnsi"/>
        </w:rPr>
        <w:t>audit</w:t>
      </w:r>
      <w:proofErr w:type="gramEnd"/>
      <w:r w:rsidRPr="0072615C">
        <w:rPr>
          <w:rFonts w:cstheme="minorHAnsi"/>
        </w:rPr>
        <w:t xml:space="preserve"> and compliance experience across a broad range of industries. Mr. Birolin has 11 years of NERC CIP experience in the Energy Industry. Most recently he served as Senior Cybersecurity Analyst for Archer International where he led NERC CIP compliance and served as the Subject Matter Expert (SME) on Industrial Control Systems (ICS) Environments and Regulatory Compliance. He has also held senior Cybersecurity roles with Wurldtech, a GE Company, and North American Energy Alliance LLC (Essential Power, LLC) as well as technology SME roles with AT&amp;T Managed Internet Service. Mr. Birolin holds a bachelor’s degree in information technology from Phoenix University and completed the CIO Executive Counsel Pathways Leadership Program </w:t>
      </w:r>
    </w:p>
    <w:p w14:paraId="4BA413F5" w14:textId="52960D61" w:rsidR="00242EB3" w:rsidRDefault="00242EB3" w:rsidP="00C05905">
      <w:pPr>
        <w:jc w:val="both"/>
      </w:pPr>
    </w:p>
    <w:p w14:paraId="6C74871F" w14:textId="12E6A670" w:rsidR="00827340" w:rsidRPr="0072615C" w:rsidRDefault="00827340" w:rsidP="00C05905">
      <w:pPr>
        <w:jc w:val="both"/>
        <w:rPr>
          <w:rFonts w:cs="Arial"/>
        </w:rPr>
      </w:pPr>
      <w:r>
        <w:rPr>
          <w:b/>
          <w:bCs/>
        </w:rPr>
        <w:t xml:space="preserve">Ampere Industrial </w:t>
      </w:r>
      <w:r w:rsidR="00A13E81">
        <w:rPr>
          <w:b/>
          <w:bCs/>
        </w:rPr>
        <w:t>Security</w:t>
      </w:r>
      <w:r>
        <w:t>, LLC</w:t>
      </w:r>
    </w:p>
    <w:p w14:paraId="4AF90495" w14:textId="4A915B97" w:rsidR="00242EB3" w:rsidRPr="0072615C" w:rsidRDefault="00827340" w:rsidP="0072615C">
      <w:pPr>
        <w:jc w:val="both"/>
        <w:rPr>
          <w:rFonts w:cstheme="minorHAnsi"/>
        </w:rPr>
      </w:pPr>
      <w:r w:rsidRPr="0072615C">
        <w:rPr>
          <w:rFonts w:cstheme="minorHAnsi"/>
        </w:rPr>
        <w:t>Ampere Industrial S</w:t>
      </w:r>
      <w:r w:rsidR="00A13E81">
        <w:rPr>
          <w:rFonts w:cstheme="minorHAnsi"/>
        </w:rPr>
        <w:t>ecurity</w:t>
      </w:r>
      <w:r w:rsidRPr="0072615C">
        <w:rPr>
          <w:rFonts w:cstheme="minorHAnsi"/>
        </w:rPr>
        <w:t xml:space="preserve"> is a</w:t>
      </w:r>
      <w:r>
        <w:rPr>
          <w:rFonts w:cstheme="minorHAnsi"/>
        </w:rPr>
        <w:t>n international</w:t>
      </w:r>
      <w:r w:rsidRPr="0072615C">
        <w:rPr>
          <w:rFonts w:cstheme="minorHAnsi"/>
        </w:rPr>
        <w:t xml:space="preserve"> cybersecurity solutions consultancy founded by Patrick C. Miller. </w:t>
      </w:r>
    </w:p>
    <w:p w14:paraId="45D2EBE4" w14:textId="2B7FF6EE" w:rsidR="00827340" w:rsidRPr="0072615C" w:rsidRDefault="0072615C" w:rsidP="005554DC">
      <w:pPr>
        <w:tabs>
          <w:tab w:val="left" w:pos="4230"/>
        </w:tabs>
        <w:spacing w:after="0"/>
        <w:rPr>
          <w:rFonts w:cstheme="minorHAnsi"/>
          <w:b/>
          <w:bCs/>
        </w:rPr>
      </w:pPr>
      <w:r>
        <w:rPr>
          <w:rFonts w:cstheme="minorHAnsi"/>
          <w:b/>
          <w:bCs/>
        </w:rPr>
        <w:t>Patrick C. Miller</w:t>
      </w:r>
    </w:p>
    <w:p w14:paraId="61F14F53" w14:textId="2C6FBA35" w:rsidR="00242EB3" w:rsidRPr="00C329DB" w:rsidRDefault="00C329DB" w:rsidP="00C329DB">
      <w:pPr>
        <w:shd w:val="clear" w:color="auto" w:fill="FFFFFF" w:themeFill="background1"/>
        <w:tabs>
          <w:tab w:val="left" w:pos="4230"/>
        </w:tabs>
        <w:spacing w:after="0"/>
        <w:rPr>
          <w:rFonts w:ascii="Calibri" w:hAnsi="Calibri" w:cs="Calibri"/>
        </w:rPr>
      </w:pPr>
      <w:r w:rsidRPr="00C329DB">
        <w:rPr>
          <w:rFonts w:ascii="Calibri" w:hAnsi="Calibri" w:cs="Calibri"/>
          <w:color w:val="1D1C1D"/>
          <w:sz w:val="23"/>
          <w:szCs w:val="23"/>
          <w:shd w:val="clear" w:color="auto" w:fill="F8F8F8"/>
        </w:rPr>
        <w:t xml:space="preserve">Patrick Miller has dedicated his career to the protection and defense of critical infrastructures. As President and CEO of Ampere Industrial Security, he is a trusted independent security and regulatory advisor for industrial control systems worldwide. In addition to his role at Ampere, Mr. Miller is also the founder, </w:t>
      </w:r>
      <w:proofErr w:type="gramStart"/>
      <w:r w:rsidRPr="00C329DB">
        <w:rPr>
          <w:rFonts w:ascii="Calibri" w:hAnsi="Calibri" w:cs="Calibri"/>
          <w:color w:val="1D1C1D"/>
          <w:sz w:val="23"/>
          <w:szCs w:val="23"/>
          <w:shd w:val="clear" w:color="auto" w:fill="F8F8F8"/>
        </w:rPr>
        <w:t>director</w:t>
      </w:r>
      <w:proofErr w:type="gramEnd"/>
      <w:r w:rsidRPr="00C329DB">
        <w:rPr>
          <w:rFonts w:ascii="Calibri" w:hAnsi="Calibri" w:cs="Calibri"/>
          <w:color w:val="1D1C1D"/>
          <w:sz w:val="23"/>
          <w:szCs w:val="23"/>
          <w:shd w:val="clear" w:color="auto" w:fill="F8F8F8"/>
        </w:rPr>
        <w:t xml:space="preserve"> and president emeritus of EnergySec and US. Coordinator for the Industrial Cybersecurity Center. Patrick's diverse background spans the Energy, Telecommunications, Water, Wastewater, Manufacturing and Financial Services verticals including key positions with regulatory agencies, private consulting firms, utility asset owners and commercial organizations. Patrick Miller currently holds or has held the following professional certifications: Certified Information Systems Auditor, Certified Risk and Information System Control, Certified Information System Security Professional, Information Systems Security Architecture Professional, Systems Security Certified Practitioner, National Security Agency Infosec Assessment Methodologies, Certified Ethical Hacker, and Chemical-Terrorism Vulnerability Information.</w:t>
      </w:r>
    </w:p>
    <w:p w14:paraId="4F2A592F" w14:textId="4B767F88" w:rsidR="005554DC" w:rsidRDefault="005554DC" w:rsidP="005554DC">
      <w:pPr>
        <w:tabs>
          <w:tab w:val="left" w:pos="4230"/>
        </w:tabs>
        <w:spacing w:after="0"/>
        <w:rPr>
          <w:rFonts w:cstheme="minorHAnsi"/>
        </w:rPr>
      </w:pPr>
    </w:p>
    <w:p w14:paraId="51FFF706" w14:textId="036CB901" w:rsidR="005554DC" w:rsidRDefault="00540F57" w:rsidP="005554DC">
      <w:pPr>
        <w:tabs>
          <w:tab w:val="left" w:pos="4230"/>
        </w:tabs>
        <w:spacing w:after="0"/>
        <w:rPr>
          <w:rFonts w:cstheme="minorHAnsi"/>
        </w:rPr>
      </w:pPr>
      <w:r>
        <w:rPr>
          <w:rFonts w:cstheme="minorHAnsi"/>
          <w:b/>
          <w:bCs/>
        </w:rPr>
        <w:t xml:space="preserve">FullCircle Communications, </w:t>
      </w:r>
      <w:r w:rsidR="00A13E81">
        <w:rPr>
          <w:rFonts w:cstheme="minorHAnsi"/>
          <w:b/>
          <w:bCs/>
        </w:rPr>
        <w:t>LLC</w:t>
      </w:r>
    </w:p>
    <w:p w14:paraId="037E6DE5" w14:textId="4735D7AD" w:rsidR="00540F57" w:rsidRDefault="00540F57" w:rsidP="005554DC">
      <w:pPr>
        <w:tabs>
          <w:tab w:val="left" w:pos="4230"/>
        </w:tabs>
        <w:spacing w:after="0"/>
        <w:rPr>
          <w:rFonts w:cstheme="minorHAnsi"/>
        </w:rPr>
      </w:pPr>
      <w:r>
        <w:rPr>
          <w:rFonts w:cstheme="minorHAnsi"/>
        </w:rPr>
        <w:t xml:space="preserve">FullCircle is a </w:t>
      </w:r>
      <w:r w:rsidR="00CB39E1">
        <w:rPr>
          <w:rFonts w:cstheme="minorHAnsi"/>
        </w:rPr>
        <w:t>mature</w:t>
      </w:r>
      <w:r>
        <w:rPr>
          <w:rFonts w:cstheme="minorHAnsi"/>
        </w:rPr>
        <w:t xml:space="preserve"> boutique cybersecurity consultanc</w:t>
      </w:r>
      <w:r w:rsidR="00CB39E1">
        <w:rPr>
          <w:rFonts w:cstheme="minorHAnsi"/>
        </w:rPr>
        <w:t>y</w:t>
      </w:r>
      <w:r>
        <w:rPr>
          <w:rFonts w:cstheme="minorHAnsi"/>
        </w:rPr>
        <w:t xml:space="preserve"> in operation since 2006. FullCircle </w:t>
      </w:r>
      <w:r w:rsidR="00CB39E1">
        <w:rPr>
          <w:rFonts w:cstheme="minorHAnsi"/>
        </w:rPr>
        <w:t>participates</w:t>
      </w:r>
      <w:r>
        <w:rPr>
          <w:rFonts w:cstheme="minorHAnsi"/>
        </w:rPr>
        <w:t xml:space="preserve"> in Federal and State cybersecurity projects with an emphasis on policy development and implementation; audit and assessment; and education. </w:t>
      </w:r>
      <w:r w:rsidR="00CB39E1">
        <w:rPr>
          <w:rFonts w:cstheme="minorHAnsi"/>
        </w:rPr>
        <w:t>FullCircle also serves the micro-small-business community.</w:t>
      </w:r>
    </w:p>
    <w:p w14:paraId="384E4FEE" w14:textId="2E89D6ED" w:rsidR="00540F57" w:rsidRDefault="00540F57" w:rsidP="005554DC">
      <w:pPr>
        <w:tabs>
          <w:tab w:val="left" w:pos="4230"/>
        </w:tabs>
        <w:spacing w:after="0"/>
        <w:rPr>
          <w:rFonts w:cstheme="minorHAnsi"/>
        </w:rPr>
      </w:pPr>
      <w:r>
        <w:rPr>
          <w:rFonts w:cstheme="minorHAnsi"/>
          <w:b/>
          <w:bCs/>
        </w:rPr>
        <w:t>Larisa Breton</w:t>
      </w:r>
      <w:r>
        <w:rPr>
          <w:rFonts w:cstheme="minorHAnsi"/>
        </w:rPr>
        <w:t>, President</w:t>
      </w:r>
      <w:r w:rsidR="00827340">
        <w:rPr>
          <w:rFonts w:cstheme="minorHAnsi"/>
        </w:rPr>
        <w:t xml:space="preserve"> / Founder</w:t>
      </w:r>
    </w:p>
    <w:p w14:paraId="553A1CF6" w14:textId="2DC947E9" w:rsidR="00540F57" w:rsidRPr="00540F57" w:rsidRDefault="00540F57" w:rsidP="005554DC">
      <w:pPr>
        <w:tabs>
          <w:tab w:val="left" w:pos="4230"/>
        </w:tabs>
        <w:spacing w:after="0"/>
        <w:rPr>
          <w:rFonts w:cstheme="minorHAnsi"/>
        </w:rPr>
      </w:pPr>
      <w:r>
        <w:rPr>
          <w:rFonts w:cstheme="minorHAnsi"/>
        </w:rPr>
        <w:t xml:space="preserve">Larisa Breton is a seasoned cybersecurity professional with a dual focus on cybersecurity practice and education/training. She was deputy program manager for </w:t>
      </w:r>
      <w:r w:rsidR="00CB39E1">
        <w:rPr>
          <w:rFonts w:cstheme="minorHAnsi"/>
        </w:rPr>
        <w:t>the Congressionally-mandated, cross-component</w:t>
      </w:r>
      <w:r>
        <w:rPr>
          <w:rFonts w:cstheme="minorHAnsi"/>
        </w:rPr>
        <w:t xml:space="preserve"> Platform Resilience Mission Assurance program </w:t>
      </w:r>
      <w:r w:rsidR="00CB39E1">
        <w:rPr>
          <w:rFonts w:cstheme="minorHAnsi"/>
        </w:rPr>
        <w:t xml:space="preserve">at DoD, where she </w:t>
      </w:r>
      <w:r>
        <w:rPr>
          <w:rFonts w:cstheme="minorHAnsi"/>
        </w:rPr>
        <w:t>supported a major policy development portfolio for control systems cybersecurity</w:t>
      </w:r>
      <w:r w:rsidR="00CB39E1">
        <w:rPr>
          <w:rFonts w:cstheme="minorHAnsi"/>
        </w:rPr>
        <w:t xml:space="preserve"> at OSD with major throughputs to Energy via the DoD’s Office of Installations and Energy (OIE). Larisa is also a senior cybersecurity consultant to the California Manufacturing Technology Consortium, a NIST MEP partner. She is a subject-matter expert on cybersecurity in industrial supply chains and the NIST cybersecurity frameworks. Larisa also has pioneered cybersecurity curricula for several </w:t>
      </w:r>
      <w:proofErr w:type="gramStart"/>
      <w:r w:rsidR="00CB39E1">
        <w:rPr>
          <w:rFonts w:cstheme="minorHAnsi"/>
        </w:rPr>
        <w:t>Universities, and</w:t>
      </w:r>
      <w:proofErr w:type="gramEnd"/>
      <w:r w:rsidR="00CB39E1">
        <w:rPr>
          <w:rFonts w:cstheme="minorHAnsi"/>
        </w:rPr>
        <w:t xml:space="preserve"> is a Digital Fellow at the University of Alaska SE (Juneau). She currently serves on the NIST National Initiative for Cybersecurity Education (NICE) subcommittee for cybersecurity apprenticeships ROI; the GSA’s cross-agency committee on federal building cybersecurity commissioning; and the Industrial Control Systems Joint Working Group’s Security Requirements Guide </w:t>
      </w:r>
      <w:r w:rsidR="00167A16">
        <w:rPr>
          <w:rFonts w:cstheme="minorHAnsi"/>
        </w:rPr>
        <w:t>subcommittee.</w:t>
      </w:r>
    </w:p>
    <w:p w14:paraId="74840E98" w14:textId="0930C3B9" w:rsidR="00DD1A0B" w:rsidRDefault="00DD1A0B" w:rsidP="005554DC">
      <w:pPr>
        <w:tabs>
          <w:tab w:val="left" w:pos="4230"/>
        </w:tabs>
        <w:spacing w:after="0"/>
        <w:rPr>
          <w:rFonts w:cstheme="minorHAnsi"/>
        </w:rPr>
      </w:pPr>
    </w:p>
    <w:p w14:paraId="2ED15644" w14:textId="534D536D" w:rsidR="00DD1A0B" w:rsidRPr="0072615C" w:rsidRDefault="00DD1A0B" w:rsidP="005554DC">
      <w:pPr>
        <w:tabs>
          <w:tab w:val="left" w:pos="4230"/>
        </w:tabs>
        <w:spacing w:after="0"/>
        <w:rPr>
          <w:rFonts w:cstheme="minorHAnsi"/>
          <w:b/>
          <w:bCs/>
        </w:rPr>
      </w:pPr>
      <w:r w:rsidRPr="0072615C">
        <w:rPr>
          <w:rFonts w:cstheme="minorHAnsi"/>
          <w:b/>
          <w:bCs/>
        </w:rPr>
        <w:t>Conclusion and Signed:</w:t>
      </w:r>
    </w:p>
    <w:p w14:paraId="7BCB9003" w14:textId="02095F0E" w:rsidR="00DD1A0B" w:rsidRDefault="00DD1A0B" w:rsidP="005554DC">
      <w:pPr>
        <w:tabs>
          <w:tab w:val="left" w:pos="4230"/>
        </w:tabs>
        <w:spacing w:after="0"/>
        <w:rPr>
          <w:rFonts w:cstheme="minorHAnsi"/>
        </w:rPr>
      </w:pPr>
      <w:r>
        <w:rPr>
          <w:rFonts w:cstheme="minorHAnsi"/>
        </w:rPr>
        <w:t xml:space="preserve">Thank you for this opportunity to submit to Department of Energy’s Request for Information. If we may provide any additional information, </w:t>
      </w:r>
      <w:r w:rsidR="00E143E1">
        <w:rPr>
          <w:rFonts w:cstheme="minorHAnsi"/>
        </w:rPr>
        <w:t xml:space="preserve">working group participation, </w:t>
      </w:r>
      <w:r>
        <w:rPr>
          <w:rFonts w:cstheme="minorHAnsi"/>
        </w:rPr>
        <w:t xml:space="preserve">or public testimony we would be honored to be of service. </w:t>
      </w:r>
    </w:p>
    <w:p w14:paraId="107D4C2B" w14:textId="31DFB4CF" w:rsidR="00DD1A0B" w:rsidRDefault="00DD1A0B" w:rsidP="005554DC">
      <w:pPr>
        <w:tabs>
          <w:tab w:val="left" w:pos="4230"/>
        </w:tabs>
        <w:spacing w:after="0"/>
        <w:rPr>
          <w:rFonts w:cstheme="minorHAnsi"/>
        </w:rPr>
      </w:pPr>
    </w:p>
    <w:p w14:paraId="6E2842F6" w14:textId="32813276" w:rsidR="00DD1A0B" w:rsidRDefault="00DD1A0B" w:rsidP="005554DC">
      <w:pPr>
        <w:tabs>
          <w:tab w:val="left" w:pos="4230"/>
        </w:tabs>
        <w:spacing w:after="0"/>
        <w:rPr>
          <w:rFonts w:cstheme="minorHAnsi"/>
        </w:rPr>
      </w:pPr>
      <w:r>
        <w:rPr>
          <w:rFonts w:cstheme="minorHAnsi"/>
        </w:rPr>
        <w:t xml:space="preserve">Respectfully Submitted, </w:t>
      </w:r>
    </w:p>
    <w:p w14:paraId="2179A9DE" w14:textId="53766AAF" w:rsidR="00DD1A0B" w:rsidRDefault="00DD1A0B" w:rsidP="005554DC">
      <w:pPr>
        <w:tabs>
          <w:tab w:val="left" w:pos="4230"/>
        </w:tabs>
        <w:spacing w:after="0"/>
        <w:rPr>
          <w:rFonts w:cstheme="minorHAnsi"/>
        </w:rPr>
      </w:pPr>
    </w:p>
    <w:p w14:paraId="00E7AEE5" w14:textId="532D2935" w:rsidR="00DD1A0B" w:rsidRDefault="00DD1A0B" w:rsidP="005554DC">
      <w:pPr>
        <w:tabs>
          <w:tab w:val="left" w:pos="4230"/>
        </w:tabs>
        <w:spacing w:after="0"/>
        <w:rPr>
          <w:rFonts w:cstheme="minorHAnsi"/>
        </w:rPr>
      </w:pPr>
    </w:p>
    <w:p w14:paraId="0692C1EE" w14:textId="184C02F6" w:rsidR="00DD1A0B" w:rsidRDefault="00E143E1" w:rsidP="005554DC">
      <w:pPr>
        <w:tabs>
          <w:tab w:val="left" w:pos="4230"/>
        </w:tabs>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2C18C5E9" w14:textId="087CAB27" w:rsidR="00DD1A0B" w:rsidRDefault="00DD1A0B" w:rsidP="00E143E1">
      <w:pPr>
        <w:tabs>
          <w:tab w:val="left" w:pos="2880"/>
        </w:tabs>
        <w:spacing w:after="0"/>
        <w:rPr>
          <w:rFonts w:cstheme="minorHAnsi"/>
        </w:rPr>
      </w:pPr>
      <w:r>
        <w:rPr>
          <w:rFonts w:cstheme="minorHAnsi"/>
        </w:rPr>
        <w:t>Dom</w:t>
      </w:r>
      <w:r w:rsidR="00E143E1">
        <w:rPr>
          <w:rFonts w:cstheme="minorHAnsi"/>
        </w:rPr>
        <w:t>inic Birolin</w:t>
      </w:r>
      <w:r w:rsidR="00E143E1">
        <w:rPr>
          <w:rFonts w:cstheme="minorHAnsi"/>
        </w:rPr>
        <w:tab/>
      </w:r>
      <w:r>
        <w:rPr>
          <w:rFonts w:cstheme="minorHAnsi"/>
        </w:rPr>
        <w:t>Patrick</w:t>
      </w:r>
      <w:r w:rsidR="00E143E1">
        <w:rPr>
          <w:rFonts w:cstheme="minorHAnsi"/>
        </w:rPr>
        <w:t xml:space="preserve"> C. Miller</w:t>
      </w:r>
      <w:r>
        <w:rPr>
          <w:rFonts w:cstheme="minorHAnsi"/>
        </w:rPr>
        <w:tab/>
      </w:r>
      <w:r>
        <w:rPr>
          <w:rFonts w:cstheme="minorHAnsi"/>
        </w:rPr>
        <w:tab/>
      </w:r>
      <w:r>
        <w:rPr>
          <w:rFonts w:cstheme="minorHAnsi"/>
        </w:rPr>
        <w:tab/>
      </w:r>
      <w:r>
        <w:rPr>
          <w:rFonts w:cstheme="minorHAnsi"/>
        </w:rPr>
        <w:tab/>
        <w:t>Larisa</w:t>
      </w:r>
      <w:r w:rsidR="00E143E1">
        <w:rPr>
          <w:rFonts w:cstheme="minorHAnsi"/>
        </w:rPr>
        <w:t xml:space="preserve"> Breton</w:t>
      </w:r>
    </w:p>
    <w:p w14:paraId="619222AE" w14:textId="38DEABB9" w:rsidR="00E143E1" w:rsidRDefault="00E143E1" w:rsidP="00E143E1">
      <w:pPr>
        <w:tabs>
          <w:tab w:val="left" w:pos="2880"/>
        </w:tabs>
        <w:spacing w:after="0"/>
        <w:rPr>
          <w:rFonts w:cstheme="minorHAnsi"/>
        </w:rPr>
      </w:pPr>
      <w:r>
        <w:rPr>
          <w:rFonts w:cstheme="minorHAnsi"/>
        </w:rPr>
        <w:t>Vice President</w:t>
      </w:r>
      <w:r>
        <w:rPr>
          <w:rFonts w:cstheme="minorHAnsi"/>
        </w:rPr>
        <w:tab/>
      </w:r>
      <w:proofErr w:type="spellStart"/>
      <w:r>
        <w:rPr>
          <w:rFonts w:cstheme="minorHAnsi"/>
        </w:rPr>
        <w:t>President</w:t>
      </w:r>
      <w:proofErr w:type="spellEnd"/>
      <w:r>
        <w:rPr>
          <w:rFonts w:cstheme="minorHAnsi"/>
        </w:rPr>
        <w:tab/>
      </w:r>
      <w:r>
        <w:rPr>
          <w:rFonts w:cstheme="minorHAnsi"/>
        </w:rPr>
        <w:tab/>
      </w:r>
      <w:r>
        <w:rPr>
          <w:rFonts w:cstheme="minorHAnsi"/>
        </w:rPr>
        <w:tab/>
      </w:r>
      <w:r>
        <w:rPr>
          <w:rFonts w:cstheme="minorHAnsi"/>
        </w:rPr>
        <w:tab/>
      </w:r>
      <w:proofErr w:type="spellStart"/>
      <w:r>
        <w:rPr>
          <w:rFonts w:cstheme="minorHAnsi"/>
        </w:rPr>
        <w:t>President</w:t>
      </w:r>
      <w:proofErr w:type="spellEnd"/>
    </w:p>
    <w:p w14:paraId="516E99C5" w14:textId="78D68807" w:rsidR="00E143E1" w:rsidRDefault="00E143E1" w:rsidP="0072615C">
      <w:pPr>
        <w:tabs>
          <w:tab w:val="left" w:pos="2880"/>
        </w:tabs>
        <w:spacing w:after="0"/>
        <w:rPr>
          <w:rFonts w:cstheme="minorHAnsi"/>
        </w:rPr>
      </w:pPr>
      <w:r>
        <w:rPr>
          <w:rFonts w:cstheme="minorHAnsi"/>
        </w:rPr>
        <w:t>PFES</w:t>
      </w:r>
      <w:r>
        <w:rPr>
          <w:rFonts w:cstheme="minorHAnsi"/>
        </w:rPr>
        <w:tab/>
        <w:t>Ampere Industrial S</w:t>
      </w:r>
      <w:r w:rsidR="00A13E81">
        <w:rPr>
          <w:rFonts w:cstheme="minorHAnsi"/>
        </w:rPr>
        <w:t>ecurity</w:t>
      </w:r>
      <w:r>
        <w:rPr>
          <w:rFonts w:cstheme="minorHAnsi"/>
        </w:rPr>
        <w:tab/>
      </w:r>
      <w:r>
        <w:rPr>
          <w:rFonts w:cstheme="minorHAnsi"/>
        </w:rPr>
        <w:tab/>
        <w:t>FullCircle Communications</w:t>
      </w:r>
    </w:p>
    <w:p w14:paraId="536FA0A8" w14:textId="77777777" w:rsidR="005554DC" w:rsidRPr="005554DC" w:rsidRDefault="005554DC" w:rsidP="005554DC">
      <w:pPr>
        <w:tabs>
          <w:tab w:val="left" w:pos="4230"/>
        </w:tabs>
        <w:spacing w:after="0"/>
        <w:rPr>
          <w:rFonts w:cstheme="minorHAnsi"/>
        </w:rPr>
      </w:pPr>
    </w:p>
    <w:sectPr w:rsidR="005554DC" w:rsidRPr="005554DC" w:rsidSect="00C81B96">
      <w:headerReference w:type="default" r:id="rId10"/>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4FCA" w14:textId="77777777" w:rsidR="005E4D6E" w:rsidRDefault="005E4D6E" w:rsidP="000E3A08">
      <w:pPr>
        <w:spacing w:after="0" w:line="240" w:lineRule="auto"/>
      </w:pPr>
      <w:r>
        <w:separator/>
      </w:r>
    </w:p>
  </w:endnote>
  <w:endnote w:type="continuationSeparator" w:id="0">
    <w:p w14:paraId="7ABD7A18" w14:textId="77777777" w:rsidR="005E4D6E" w:rsidRDefault="005E4D6E" w:rsidP="000E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8375" w14:textId="77777777" w:rsidR="005E4D6E" w:rsidRDefault="005E4D6E" w:rsidP="000E3A08">
      <w:pPr>
        <w:spacing w:after="0" w:line="240" w:lineRule="auto"/>
      </w:pPr>
      <w:r>
        <w:separator/>
      </w:r>
    </w:p>
  </w:footnote>
  <w:footnote w:type="continuationSeparator" w:id="0">
    <w:p w14:paraId="2B6D1326" w14:textId="77777777" w:rsidR="005E4D6E" w:rsidRDefault="005E4D6E" w:rsidP="000E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2C44" w14:textId="21D5B0A4" w:rsidR="000E3A08" w:rsidRDefault="000E3A08">
    <w:pPr>
      <w:pStyle w:val="Header"/>
    </w:pPr>
    <w:r>
      <w:t>UNCLASSIFIED</w:t>
    </w:r>
  </w:p>
  <w:p w14:paraId="05BC6184" w14:textId="2F2BF5E5" w:rsidR="000E3A08" w:rsidRDefault="000E3A08">
    <w:pPr>
      <w:pStyle w:val="Header"/>
    </w:pPr>
    <w:r>
      <w:t xml:space="preserve">TLP </w:t>
    </w:r>
    <w:r w:rsidR="005554DC">
      <w:t>WHITE</w:t>
    </w:r>
  </w:p>
  <w:p w14:paraId="1DE637F5" w14:textId="700FFEFB" w:rsidR="000E3A08" w:rsidRDefault="000E3A08">
    <w:pPr>
      <w:pStyle w:val="Header"/>
    </w:pPr>
    <w:r>
      <w:t xml:space="preserve">DOE RFI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165"/>
    <w:multiLevelType w:val="hybridMultilevel"/>
    <w:tmpl w:val="166A335C"/>
    <w:lvl w:ilvl="0" w:tplc="41D60D0A">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074E6E"/>
    <w:multiLevelType w:val="hybridMultilevel"/>
    <w:tmpl w:val="CBB0DA86"/>
    <w:lvl w:ilvl="0" w:tplc="30326F3E">
      <w:start w:val="1"/>
      <w:numFmt w:val="decimal"/>
      <w:lvlText w:val="%1)"/>
      <w:lvlJc w:val="left"/>
      <w:pPr>
        <w:ind w:left="1080" w:hanging="360"/>
      </w:pPr>
      <w:rPr>
        <w:rFonts w:hint="default"/>
        <w:color w:val="000000"/>
      </w:rPr>
    </w:lvl>
    <w:lvl w:ilvl="1" w:tplc="DED89E5C">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31280E"/>
    <w:multiLevelType w:val="hybridMultilevel"/>
    <w:tmpl w:val="77A0B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08"/>
    <w:rsid w:val="000D14D6"/>
    <w:rsid w:val="000E3A08"/>
    <w:rsid w:val="00142703"/>
    <w:rsid w:val="00167A16"/>
    <w:rsid w:val="0019342D"/>
    <w:rsid w:val="001C6C84"/>
    <w:rsid w:val="00242EB3"/>
    <w:rsid w:val="002A44F5"/>
    <w:rsid w:val="003B5650"/>
    <w:rsid w:val="003C61A5"/>
    <w:rsid w:val="004061DE"/>
    <w:rsid w:val="004332A0"/>
    <w:rsid w:val="00540F57"/>
    <w:rsid w:val="00544D00"/>
    <w:rsid w:val="005554DC"/>
    <w:rsid w:val="005E4D6E"/>
    <w:rsid w:val="005F3349"/>
    <w:rsid w:val="0060186C"/>
    <w:rsid w:val="00706419"/>
    <w:rsid w:val="0072615C"/>
    <w:rsid w:val="007613D3"/>
    <w:rsid w:val="007B6FBC"/>
    <w:rsid w:val="007C44F2"/>
    <w:rsid w:val="00827340"/>
    <w:rsid w:val="00884545"/>
    <w:rsid w:val="008A528A"/>
    <w:rsid w:val="008D2079"/>
    <w:rsid w:val="00922AA0"/>
    <w:rsid w:val="00A13E81"/>
    <w:rsid w:val="00C05905"/>
    <w:rsid w:val="00C329DB"/>
    <w:rsid w:val="00C81B96"/>
    <w:rsid w:val="00CB39E1"/>
    <w:rsid w:val="00CB5DDE"/>
    <w:rsid w:val="00CD2F05"/>
    <w:rsid w:val="00D227E2"/>
    <w:rsid w:val="00D661DA"/>
    <w:rsid w:val="00D73675"/>
    <w:rsid w:val="00DC7858"/>
    <w:rsid w:val="00DD1A0B"/>
    <w:rsid w:val="00E143E1"/>
    <w:rsid w:val="00E4724B"/>
    <w:rsid w:val="00EB2A4B"/>
    <w:rsid w:val="00F0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DE99"/>
  <w15:chartTrackingRefBased/>
  <w15:docId w15:val="{E956B414-590D-4636-8209-FAA291DE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059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08"/>
  </w:style>
  <w:style w:type="paragraph" w:styleId="Footer">
    <w:name w:val="footer"/>
    <w:basedOn w:val="Normal"/>
    <w:link w:val="FooterChar"/>
    <w:uiPriority w:val="99"/>
    <w:unhideWhenUsed/>
    <w:rsid w:val="000E3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08"/>
  </w:style>
  <w:style w:type="character" w:styleId="Hyperlink">
    <w:name w:val="Hyperlink"/>
    <w:basedOn w:val="DefaultParagraphFont"/>
    <w:uiPriority w:val="99"/>
    <w:unhideWhenUsed/>
    <w:rsid w:val="000E3A08"/>
    <w:rPr>
      <w:color w:val="0563C1" w:themeColor="hyperlink"/>
      <w:u w:val="single"/>
    </w:rPr>
  </w:style>
  <w:style w:type="character" w:styleId="UnresolvedMention">
    <w:name w:val="Unresolved Mention"/>
    <w:basedOn w:val="DefaultParagraphFont"/>
    <w:uiPriority w:val="99"/>
    <w:semiHidden/>
    <w:unhideWhenUsed/>
    <w:rsid w:val="000E3A08"/>
    <w:rPr>
      <w:color w:val="605E5C"/>
      <w:shd w:val="clear" w:color="auto" w:fill="E1DFDD"/>
    </w:rPr>
  </w:style>
  <w:style w:type="character" w:styleId="Emphasis">
    <w:name w:val="Emphasis"/>
    <w:basedOn w:val="DefaultParagraphFont"/>
    <w:uiPriority w:val="20"/>
    <w:qFormat/>
    <w:rsid w:val="007C44F2"/>
    <w:rPr>
      <w:i/>
      <w:iCs/>
    </w:rPr>
  </w:style>
  <w:style w:type="character" w:styleId="CommentReference">
    <w:name w:val="annotation reference"/>
    <w:basedOn w:val="DefaultParagraphFont"/>
    <w:uiPriority w:val="99"/>
    <w:semiHidden/>
    <w:unhideWhenUsed/>
    <w:rsid w:val="007C44F2"/>
    <w:rPr>
      <w:sz w:val="16"/>
      <w:szCs w:val="16"/>
    </w:rPr>
  </w:style>
  <w:style w:type="paragraph" w:styleId="CommentText">
    <w:name w:val="annotation text"/>
    <w:basedOn w:val="Normal"/>
    <w:link w:val="CommentTextChar"/>
    <w:uiPriority w:val="99"/>
    <w:semiHidden/>
    <w:unhideWhenUsed/>
    <w:rsid w:val="007C44F2"/>
    <w:pPr>
      <w:spacing w:line="240" w:lineRule="auto"/>
    </w:pPr>
    <w:rPr>
      <w:sz w:val="20"/>
      <w:szCs w:val="20"/>
    </w:rPr>
  </w:style>
  <w:style w:type="character" w:customStyle="1" w:styleId="CommentTextChar">
    <w:name w:val="Comment Text Char"/>
    <w:basedOn w:val="DefaultParagraphFont"/>
    <w:link w:val="CommentText"/>
    <w:uiPriority w:val="99"/>
    <w:semiHidden/>
    <w:rsid w:val="007C44F2"/>
    <w:rPr>
      <w:sz w:val="20"/>
      <w:szCs w:val="20"/>
    </w:rPr>
  </w:style>
  <w:style w:type="paragraph" w:styleId="CommentSubject">
    <w:name w:val="annotation subject"/>
    <w:basedOn w:val="CommentText"/>
    <w:next w:val="CommentText"/>
    <w:link w:val="CommentSubjectChar"/>
    <w:uiPriority w:val="99"/>
    <w:semiHidden/>
    <w:unhideWhenUsed/>
    <w:rsid w:val="007C44F2"/>
    <w:rPr>
      <w:b/>
      <w:bCs/>
    </w:rPr>
  </w:style>
  <w:style w:type="character" w:customStyle="1" w:styleId="CommentSubjectChar">
    <w:name w:val="Comment Subject Char"/>
    <w:basedOn w:val="CommentTextChar"/>
    <w:link w:val="CommentSubject"/>
    <w:uiPriority w:val="99"/>
    <w:semiHidden/>
    <w:rsid w:val="007C44F2"/>
    <w:rPr>
      <w:b/>
      <w:bCs/>
      <w:sz w:val="20"/>
      <w:szCs w:val="20"/>
    </w:rPr>
  </w:style>
  <w:style w:type="paragraph" w:styleId="ListParagraph">
    <w:name w:val="List Paragraph"/>
    <w:aliases w:val="Bullet Styles para,Liste 1,Colorful List - Accent 11"/>
    <w:basedOn w:val="Normal"/>
    <w:link w:val="ListParagraphChar"/>
    <w:uiPriority w:val="34"/>
    <w:qFormat/>
    <w:rsid w:val="00884545"/>
    <w:pPr>
      <w:ind w:left="720"/>
      <w:contextualSpacing/>
    </w:pPr>
  </w:style>
  <w:style w:type="character" w:customStyle="1" w:styleId="ListParagraphChar">
    <w:name w:val="List Paragraph Char"/>
    <w:aliases w:val="Bullet Styles para Char,Liste 1 Char,Colorful List - Accent 11 Char"/>
    <w:link w:val="ListParagraph"/>
    <w:uiPriority w:val="34"/>
    <w:locked/>
    <w:rsid w:val="00242EB3"/>
  </w:style>
  <w:style w:type="character" w:customStyle="1" w:styleId="Heading3Char">
    <w:name w:val="Heading 3 Char"/>
    <w:basedOn w:val="DefaultParagraphFont"/>
    <w:link w:val="Heading3"/>
    <w:uiPriority w:val="9"/>
    <w:rsid w:val="00C0590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isa@fullcirclestrategicsolution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ElectricSystemEO@hq.do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planetgroup.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015C27563304BA9608B9C165B4A2D" ma:contentTypeVersion="12" ma:contentTypeDescription="Create a new document." ma:contentTypeScope="" ma:versionID="3b5c13b72d8b224ea0303970191c6580">
  <xsd:schema xmlns:xsd="http://www.w3.org/2001/XMLSchema" xmlns:xs="http://www.w3.org/2001/XMLSchema" xmlns:p="http://schemas.microsoft.com/office/2006/metadata/properties" xmlns:ns2="7305ee1e-2738-42a5-8a89-6e8963b55926" xmlns:ns3="1eec20a9-7098-4619-a204-478c53b72f4c" targetNamespace="http://schemas.microsoft.com/office/2006/metadata/properties" ma:root="true" ma:fieldsID="3d1f6d81c92ceffb7a4db9d5f4505633" ns2:_="" ns3:_="">
    <xsd:import namespace="7305ee1e-2738-42a5-8a89-6e8963b55926"/>
    <xsd:import namespace="1eec20a9-7098-4619-a204-478c53b72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ee1e-2738-42a5-8a89-6e8963b55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c20a9-7098-4619-a204-478c53b72f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70E9D-5777-4475-876E-0616AFE94E2C}"/>
</file>

<file path=customXml/itemProps2.xml><?xml version="1.0" encoding="utf-8"?>
<ds:datastoreItem xmlns:ds="http://schemas.openxmlformats.org/officeDocument/2006/customXml" ds:itemID="{C0CB6083-60AD-4BB1-9CE3-67070CE1888C}"/>
</file>

<file path=customXml/itemProps3.xml><?xml version="1.0" encoding="utf-8"?>
<ds:datastoreItem xmlns:ds="http://schemas.openxmlformats.org/officeDocument/2006/customXml" ds:itemID="{78C640BC-3F12-438F-B7B9-48CFEE17B289}"/>
</file>

<file path=docProps/app.xml><?xml version="1.0" encoding="utf-8"?>
<Properties xmlns="http://schemas.openxmlformats.org/officeDocument/2006/extended-properties" xmlns:vt="http://schemas.openxmlformats.org/officeDocument/2006/docPropsVTypes">
  <Template>Normal</Template>
  <TotalTime>2</TotalTime>
  <Pages>6</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Breton</dc:creator>
  <cp:keywords/>
  <dc:description/>
  <cp:lastModifiedBy>Larisa Breton</cp:lastModifiedBy>
  <cp:revision>2</cp:revision>
  <dcterms:created xsi:type="dcterms:W3CDTF">2021-06-07T21:55:00Z</dcterms:created>
  <dcterms:modified xsi:type="dcterms:W3CDTF">2021-06-07T21:55:00Z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0x0101005AA015C27563304BA9608B9C165B4A2D</vt:lpwstr>
  </property>
</Properties>
</file>