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C2F13" w14:textId="49710180" w:rsidR="00BB7EE0" w:rsidRDefault="008E619E" w:rsidP="00BB7EE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B4DD9C6" wp14:editId="59772F85">
            <wp:simplePos x="0" y="0"/>
            <wp:positionH relativeFrom="column">
              <wp:posOffset>3579495</wp:posOffset>
            </wp:positionH>
            <wp:positionV relativeFrom="paragraph">
              <wp:posOffset>-179071</wp:posOffset>
            </wp:positionV>
            <wp:extent cx="1894986" cy="6572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430" cy="658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2096" behindDoc="0" locked="0" layoutInCell="1" allowOverlap="1" wp14:anchorId="0F3CEE1D" wp14:editId="2D2FF328">
            <wp:simplePos x="0" y="0"/>
            <wp:positionH relativeFrom="column">
              <wp:posOffset>179070</wp:posOffset>
            </wp:positionH>
            <wp:positionV relativeFrom="paragraph">
              <wp:posOffset>-188595</wp:posOffset>
            </wp:positionV>
            <wp:extent cx="2123900" cy="619125"/>
            <wp:effectExtent l="0" t="0" r="0" b="0"/>
            <wp:wrapNone/>
            <wp:docPr id="5" name="Picture 5" descr="C:\Users\tstrajnic\AppData\Local\Microsoft\Windows\Temporary Internet Files\Content.Outlook\XH00A7B0\FEM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tstrajnic\AppData\Local\Microsoft\Windows\Temporary Internet Files\Content.Outlook\XH00A7B0\FEMP logo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429" cy="62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B4B0A" wp14:editId="739E720B">
                <wp:simplePos x="0" y="0"/>
                <wp:positionH relativeFrom="column">
                  <wp:posOffset>5303520</wp:posOffset>
                </wp:positionH>
                <wp:positionV relativeFrom="paragraph">
                  <wp:posOffset>-198120</wp:posOffset>
                </wp:positionV>
                <wp:extent cx="3276600" cy="666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95A00" w14:textId="3A878FA0" w:rsidR="00BB7EE0" w:rsidRPr="007450C0" w:rsidRDefault="008E619E" w:rsidP="008E619E">
                            <w:pPr>
                              <w:pStyle w:val="Header"/>
                              <w:spacing w:line="220" w:lineRule="exact"/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Preliminary Assessment (</w:t>
                            </w:r>
                            <w:r w:rsidR="00BB7EE0" w:rsidRPr="007450C0">
                              <w:rPr>
                                <w:i/>
                              </w:rPr>
                              <w:t>PA</w:t>
                            </w:r>
                            <w:r>
                              <w:rPr>
                                <w:i/>
                              </w:rPr>
                              <w:t>)</w:t>
                            </w:r>
                            <w:r w:rsidR="00BB7EE0" w:rsidRPr="007450C0">
                              <w:rPr>
                                <w:i/>
                              </w:rPr>
                              <w:t xml:space="preserve"> Review Template</w:t>
                            </w:r>
                          </w:p>
                          <w:p w14:paraId="26AE8C37" w14:textId="77777777" w:rsidR="00BB7EE0" w:rsidRPr="007450C0" w:rsidRDefault="00BB7EE0" w:rsidP="008E619E">
                            <w:pPr>
                              <w:pStyle w:val="Header"/>
                              <w:spacing w:line="220" w:lineRule="exact"/>
                              <w:jc w:val="right"/>
                            </w:pPr>
                            <w:r w:rsidRPr="007450C0">
                              <w:t xml:space="preserve">ESPC Process Doc. P2-10 </w:t>
                            </w:r>
                          </w:p>
                          <w:p w14:paraId="1145E822" w14:textId="5B5EE0E1" w:rsidR="00BB7EE0" w:rsidRPr="007450C0" w:rsidRDefault="0006268D" w:rsidP="008E619E">
                            <w:pPr>
                              <w:pStyle w:val="Header"/>
                              <w:spacing w:line="220" w:lineRule="exact"/>
                              <w:jc w:val="right"/>
                            </w:pPr>
                            <w:r>
                              <w:t>Rev</w:t>
                            </w:r>
                            <w:r w:rsidR="00BB7EE0" w:rsidRPr="007450C0">
                              <w:t xml:space="preserve">. </w:t>
                            </w:r>
                            <w:r w:rsidR="00390224" w:rsidRPr="007450C0">
                              <w:t>05-0</w:t>
                            </w:r>
                            <w:r w:rsidR="00C50FE0">
                              <w:t>7</w:t>
                            </w:r>
                            <w:bookmarkStart w:id="0" w:name="_GoBack"/>
                            <w:bookmarkEnd w:id="0"/>
                            <w:r w:rsidR="00390224" w:rsidRPr="007450C0">
                              <w:t>-18</w:t>
                            </w:r>
                          </w:p>
                          <w:p w14:paraId="41E72523" w14:textId="44A7B063" w:rsidR="00BB7EE0" w:rsidRPr="007450C0" w:rsidRDefault="00BB7EE0" w:rsidP="008E619E">
                            <w:pPr>
                              <w:spacing w:line="220" w:lineRule="exact"/>
                              <w:ind w:left="0"/>
                              <w:jc w:val="right"/>
                              <w:rPr>
                                <w:b/>
                              </w:rPr>
                            </w:pPr>
                            <w:r w:rsidRPr="007450C0">
                              <w:t>Responsibility:</w:t>
                            </w:r>
                            <w:r w:rsidRPr="007450C0">
                              <w:rPr>
                                <w:noProof/>
                              </w:rPr>
                              <w:t xml:space="preserve"> </w:t>
                            </w:r>
                            <w:r w:rsidRPr="007450C0">
                              <w:t xml:space="preserve">  </w:t>
                            </w:r>
                            <w:r w:rsidR="00A0034F" w:rsidRPr="007450C0">
                              <w:t>Agency</w:t>
                            </w:r>
                            <w:r w:rsidR="00507C87" w:rsidRPr="007450C0">
                              <w:t xml:space="preserve"> &amp; 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B4B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7.6pt;margin-top:-15.6pt;width:258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" filled="f" stroked="f" strokeweight=".5pt">
                <v:textbox>
                  <w:txbxContent>
                    <w:p w14:paraId="2A695A00" w14:textId="3A878FA0" w:rsidR="00BB7EE0" w:rsidRPr="007450C0" w:rsidRDefault="008E619E" w:rsidP="008E619E">
                      <w:pPr>
                        <w:pStyle w:val="Header"/>
                        <w:spacing w:line="220" w:lineRule="exact"/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Preliminary Assessment (</w:t>
                      </w:r>
                      <w:r w:rsidR="00BB7EE0" w:rsidRPr="007450C0">
                        <w:rPr>
                          <w:i/>
                        </w:rPr>
                        <w:t>PA</w:t>
                      </w:r>
                      <w:r>
                        <w:rPr>
                          <w:i/>
                        </w:rPr>
                        <w:t>)</w:t>
                      </w:r>
                      <w:r w:rsidR="00BB7EE0" w:rsidRPr="007450C0">
                        <w:rPr>
                          <w:i/>
                        </w:rPr>
                        <w:t xml:space="preserve"> Review Template</w:t>
                      </w:r>
                    </w:p>
                    <w:p w14:paraId="26AE8C37" w14:textId="77777777" w:rsidR="00BB7EE0" w:rsidRPr="007450C0" w:rsidRDefault="00BB7EE0" w:rsidP="008E619E">
                      <w:pPr>
                        <w:pStyle w:val="Header"/>
                        <w:spacing w:line="220" w:lineRule="exact"/>
                        <w:jc w:val="right"/>
                      </w:pPr>
                      <w:r w:rsidRPr="007450C0">
                        <w:t xml:space="preserve">ESPC Process Doc. P2-10 </w:t>
                      </w:r>
                    </w:p>
                    <w:p w14:paraId="1145E822" w14:textId="5B5EE0E1" w:rsidR="00BB7EE0" w:rsidRPr="007450C0" w:rsidRDefault="0006268D" w:rsidP="008E619E">
                      <w:pPr>
                        <w:pStyle w:val="Header"/>
                        <w:spacing w:line="220" w:lineRule="exact"/>
                        <w:jc w:val="right"/>
                      </w:pPr>
                      <w:r>
                        <w:t>Rev</w:t>
                      </w:r>
                      <w:r w:rsidR="00BB7EE0" w:rsidRPr="007450C0">
                        <w:t xml:space="preserve">. </w:t>
                      </w:r>
                      <w:r w:rsidR="00390224" w:rsidRPr="007450C0">
                        <w:t>05-0</w:t>
                      </w:r>
                      <w:r w:rsidR="00C50FE0">
                        <w:t>7</w:t>
                      </w:r>
                      <w:bookmarkStart w:id="1" w:name="_GoBack"/>
                      <w:bookmarkEnd w:id="1"/>
                      <w:r w:rsidR="00390224" w:rsidRPr="007450C0">
                        <w:t>-18</w:t>
                      </w:r>
                    </w:p>
                    <w:p w14:paraId="41E72523" w14:textId="44A7B063" w:rsidR="00BB7EE0" w:rsidRPr="007450C0" w:rsidRDefault="00BB7EE0" w:rsidP="008E619E">
                      <w:pPr>
                        <w:spacing w:line="220" w:lineRule="exact"/>
                        <w:ind w:left="0"/>
                        <w:jc w:val="right"/>
                        <w:rPr>
                          <w:b/>
                        </w:rPr>
                      </w:pPr>
                      <w:r w:rsidRPr="007450C0">
                        <w:t>Responsibility:</w:t>
                      </w:r>
                      <w:r w:rsidRPr="007450C0">
                        <w:rPr>
                          <w:noProof/>
                        </w:rPr>
                        <w:t xml:space="preserve"> </w:t>
                      </w:r>
                      <w:r w:rsidRPr="007450C0">
                        <w:t xml:space="preserve">  </w:t>
                      </w:r>
                      <w:r w:rsidR="00A0034F" w:rsidRPr="007450C0">
                        <w:t>Agency</w:t>
                      </w:r>
                      <w:r w:rsidR="00507C87" w:rsidRPr="007450C0">
                        <w:t xml:space="preserve"> &amp; PF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CF1D220" wp14:editId="3EA5BBFA">
                <wp:simplePos x="0" y="0"/>
                <wp:positionH relativeFrom="column">
                  <wp:posOffset>74295</wp:posOffset>
                </wp:positionH>
                <wp:positionV relativeFrom="paragraph">
                  <wp:posOffset>-369570</wp:posOffset>
                </wp:positionV>
                <wp:extent cx="8683395" cy="142875"/>
                <wp:effectExtent l="0" t="0" r="2286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3395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9C3C1" id="Rectangle 4" o:spid="_x0000_s1026" style="position:absolute;margin-left:5.85pt;margin-top:-29.1pt;width:683.75pt;height:11.2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" fillcolor="#b8cce4 [1300]" strokecolor="#95b3d7 [1940]" strokeweight="2pt"/>
            </w:pict>
          </mc:Fallback>
        </mc:AlternateContent>
      </w:r>
    </w:p>
    <w:p w14:paraId="68C69D94" w14:textId="77777777" w:rsidR="00BB7EE0" w:rsidRDefault="00BB7EE0" w:rsidP="00BB7EE0">
      <w:pPr>
        <w:rPr>
          <w:b/>
        </w:rPr>
      </w:pPr>
    </w:p>
    <w:p w14:paraId="26982104" w14:textId="0731A272" w:rsidR="00BB7EE0" w:rsidRDefault="008E619E" w:rsidP="00BB7EE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A284309" wp14:editId="27D7712D">
                <wp:simplePos x="0" y="0"/>
                <wp:positionH relativeFrom="column">
                  <wp:posOffset>112395</wp:posOffset>
                </wp:positionH>
                <wp:positionV relativeFrom="paragraph">
                  <wp:posOffset>120650</wp:posOffset>
                </wp:positionV>
                <wp:extent cx="86106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10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A3642" id="Straight Connector 2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9.5pt" to="686.8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" strokecolor="#4579b8 [3044]"/>
            </w:pict>
          </mc:Fallback>
        </mc:AlternateContent>
      </w:r>
    </w:p>
    <w:p w14:paraId="35375FA9" w14:textId="377E6691" w:rsidR="00BB7EE0" w:rsidRDefault="00BB7EE0" w:rsidP="00BB7EE0">
      <w:pPr>
        <w:rPr>
          <w:b/>
        </w:rPr>
      </w:pPr>
    </w:p>
    <w:p w14:paraId="2495E6F1" w14:textId="570F88CC" w:rsidR="00380D47" w:rsidRDefault="00380D47" w:rsidP="00380D47">
      <w:pPr>
        <w:pStyle w:val="Heading2"/>
      </w:pPr>
      <w:r w:rsidRPr="00700030">
        <w:t xml:space="preserve">Preliminary Assessment Review </w:t>
      </w:r>
      <w:r>
        <w:t>TEMPLATE FOR</w:t>
      </w:r>
      <w:r w:rsidRPr="00700030">
        <w:t xml:space="preserve"> ESPC</w:t>
      </w:r>
      <w:r w:rsidR="001A19AB">
        <w:t xml:space="preserve"> Project</w:t>
      </w:r>
      <w:r>
        <w:t>s</w:t>
      </w:r>
    </w:p>
    <w:tbl>
      <w:tblPr>
        <w:tblW w:w="139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0"/>
        <w:gridCol w:w="7380"/>
        <w:gridCol w:w="1440"/>
      </w:tblGrid>
      <w:tr w:rsidR="00380D47" w:rsidRPr="00700030" w14:paraId="7A6729D5" w14:textId="77777777" w:rsidTr="00524508">
        <w:trPr>
          <w:trHeight w:val="359"/>
        </w:trPr>
        <w:tc>
          <w:tcPr>
            <w:tcW w:w="5130" w:type="dxa"/>
            <w:shd w:val="clear" w:color="auto" w:fill="auto"/>
          </w:tcPr>
          <w:p w14:paraId="5DDD9B3F" w14:textId="71D6B94D" w:rsidR="00380D47" w:rsidRPr="00C76393" w:rsidRDefault="00C76393" w:rsidP="00C76393">
            <w:pPr>
              <w:ind w:left="0"/>
              <w:rPr>
                <w:b/>
                <w:sz w:val="24"/>
                <w:szCs w:val="24"/>
              </w:rPr>
            </w:pPr>
            <w:r w:rsidRPr="00C76393">
              <w:rPr>
                <w:b/>
                <w:sz w:val="24"/>
                <w:szCs w:val="24"/>
              </w:rPr>
              <w:t>Area Reviewed</w:t>
            </w:r>
          </w:p>
        </w:tc>
        <w:tc>
          <w:tcPr>
            <w:tcW w:w="7380" w:type="dxa"/>
            <w:shd w:val="clear" w:color="auto" w:fill="auto"/>
          </w:tcPr>
          <w:p w14:paraId="7C7EB728" w14:textId="77777777" w:rsidR="00380D47" w:rsidRPr="00C76393" w:rsidRDefault="00380D47" w:rsidP="004E6504">
            <w:pPr>
              <w:ind w:left="0"/>
              <w:rPr>
                <w:b/>
                <w:sz w:val="24"/>
                <w:szCs w:val="24"/>
              </w:rPr>
            </w:pPr>
            <w:r w:rsidRPr="00C76393">
              <w:rPr>
                <w:b/>
                <w:sz w:val="24"/>
                <w:szCs w:val="24"/>
              </w:rPr>
              <w:t>Notes/Comments</w:t>
            </w:r>
          </w:p>
        </w:tc>
        <w:tc>
          <w:tcPr>
            <w:tcW w:w="1440" w:type="dxa"/>
            <w:shd w:val="clear" w:color="auto" w:fill="auto"/>
          </w:tcPr>
          <w:p w14:paraId="079857A6" w14:textId="02EED797" w:rsidR="00380D47" w:rsidRPr="00C76393" w:rsidRDefault="00380D47" w:rsidP="00FF0093">
            <w:pPr>
              <w:ind w:left="0" w:right="-491"/>
              <w:rPr>
                <w:b/>
                <w:sz w:val="24"/>
                <w:szCs w:val="24"/>
              </w:rPr>
            </w:pPr>
            <w:r w:rsidRPr="00C76393">
              <w:rPr>
                <w:b/>
                <w:sz w:val="24"/>
                <w:szCs w:val="24"/>
              </w:rPr>
              <w:t>Assessment</w:t>
            </w:r>
            <w:r w:rsidR="00FF0093" w:rsidRPr="00FF0093">
              <w:rPr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6C7A8C" w:rsidRPr="00700030" w14:paraId="5ACCDC50" w14:textId="77777777" w:rsidTr="00524508">
        <w:tc>
          <w:tcPr>
            <w:tcW w:w="5130" w:type="dxa"/>
            <w:shd w:val="clear" w:color="auto" w:fill="auto"/>
          </w:tcPr>
          <w:p w14:paraId="5B5F0BAF" w14:textId="77777777" w:rsidR="006C7A8C" w:rsidRDefault="006C7A8C" w:rsidP="006C7A8C">
            <w:pPr>
              <w:numPr>
                <w:ilvl w:val="0"/>
                <w:numId w:val="17"/>
              </w:numPr>
              <w:rPr>
                <w:b/>
              </w:rPr>
            </w:pPr>
            <w:r>
              <w:rPr>
                <w:b/>
              </w:rPr>
              <w:t>Contract Requirements Met:</w:t>
            </w:r>
          </w:p>
          <w:p w14:paraId="68500E37" w14:textId="09FFD8AC" w:rsidR="006C7A8C" w:rsidRPr="00EE69B3" w:rsidRDefault="006C7A8C" w:rsidP="00A0034F">
            <w:pPr>
              <w:rPr>
                <w:b/>
              </w:rPr>
            </w:pPr>
            <w:r>
              <w:rPr>
                <w:b/>
              </w:rPr>
              <w:t xml:space="preserve"> (see Section </w:t>
            </w:r>
            <w:r w:rsidR="00A0034F">
              <w:rPr>
                <w:b/>
              </w:rPr>
              <w:t>H.4</w:t>
            </w:r>
            <w:r>
              <w:rPr>
                <w:b/>
              </w:rPr>
              <w:t xml:space="preserve"> of DOE ESPC IDIQ)</w:t>
            </w:r>
          </w:p>
        </w:tc>
        <w:tc>
          <w:tcPr>
            <w:tcW w:w="7380" w:type="dxa"/>
            <w:shd w:val="clear" w:color="auto" w:fill="auto"/>
          </w:tcPr>
          <w:p w14:paraId="623E456C" w14:textId="77777777" w:rsidR="006C7A8C" w:rsidRPr="00700030" w:rsidRDefault="006C7A8C" w:rsidP="004E6504"/>
        </w:tc>
        <w:tc>
          <w:tcPr>
            <w:tcW w:w="1440" w:type="dxa"/>
            <w:shd w:val="clear" w:color="auto" w:fill="auto"/>
          </w:tcPr>
          <w:p w14:paraId="0C2E6742" w14:textId="79F9AB1C" w:rsidR="006C7A8C" w:rsidRDefault="006C7A8C" w:rsidP="004E6504">
            <w:pPr>
              <w:ind w:right="-491"/>
            </w:pPr>
          </w:p>
          <w:p w14:paraId="09FA1A3A" w14:textId="77777777" w:rsidR="00C76393" w:rsidRPr="00700030" w:rsidRDefault="00C76393" w:rsidP="004E6504">
            <w:pPr>
              <w:ind w:right="-491"/>
            </w:pPr>
          </w:p>
        </w:tc>
      </w:tr>
      <w:tr w:rsidR="006C7A8C" w:rsidRPr="00700030" w14:paraId="707C00A3" w14:textId="77777777" w:rsidTr="00524508">
        <w:tc>
          <w:tcPr>
            <w:tcW w:w="5130" w:type="dxa"/>
            <w:shd w:val="clear" w:color="auto" w:fill="auto"/>
          </w:tcPr>
          <w:p w14:paraId="275EC6E3" w14:textId="4AD2F41F" w:rsidR="006C7A8C" w:rsidRPr="00700030" w:rsidRDefault="006C7A8C" w:rsidP="00FF0093">
            <w:pPr>
              <w:numPr>
                <w:ilvl w:val="0"/>
                <w:numId w:val="17"/>
              </w:numPr>
              <w:rPr>
                <w:i/>
              </w:rPr>
            </w:pPr>
            <w:r w:rsidRPr="00700030">
              <w:rPr>
                <w:b/>
              </w:rPr>
              <w:t>E</w:t>
            </w:r>
            <w:r w:rsidR="003341B4">
              <w:rPr>
                <w:b/>
              </w:rPr>
              <w:t>nergy Conservation Measures</w:t>
            </w:r>
          </w:p>
        </w:tc>
        <w:tc>
          <w:tcPr>
            <w:tcW w:w="7380" w:type="dxa"/>
            <w:shd w:val="clear" w:color="auto" w:fill="auto"/>
          </w:tcPr>
          <w:p w14:paraId="7A00C94E" w14:textId="77777777" w:rsidR="006C7A8C" w:rsidRPr="00700030" w:rsidRDefault="006C7A8C" w:rsidP="004E6504"/>
        </w:tc>
        <w:tc>
          <w:tcPr>
            <w:tcW w:w="1440" w:type="dxa"/>
            <w:shd w:val="clear" w:color="auto" w:fill="auto"/>
          </w:tcPr>
          <w:p w14:paraId="0B37A32F" w14:textId="77777777" w:rsidR="006C7A8C" w:rsidRPr="00700030" w:rsidRDefault="006C7A8C" w:rsidP="004E6504">
            <w:pPr>
              <w:ind w:right="-491"/>
            </w:pPr>
          </w:p>
        </w:tc>
      </w:tr>
      <w:tr w:rsidR="006C7A8C" w:rsidRPr="00700030" w14:paraId="6131AED2" w14:textId="77777777" w:rsidTr="00524508">
        <w:tc>
          <w:tcPr>
            <w:tcW w:w="5130" w:type="dxa"/>
            <w:shd w:val="clear" w:color="auto" w:fill="auto"/>
          </w:tcPr>
          <w:p w14:paraId="5DE6FE5F" w14:textId="19EC1D55" w:rsidR="006C7A8C" w:rsidRPr="00700030" w:rsidRDefault="006C7A8C" w:rsidP="004C764A">
            <w:pPr>
              <w:ind w:left="288"/>
              <w:rPr>
                <w:i/>
              </w:rPr>
            </w:pPr>
            <w:r w:rsidRPr="00700030">
              <w:rPr>
                <w:i/>
              </w:rPr>
              <w:t>List each ECM</w:t>
            </w:r>
            <w:r w:rsidR="00FF0093" w:rsidRPr="00425E2A">
              <w:rPr>
                <w:i/>
                <w:vertAlign w:val="superscript"/>
              </w:rPr>
              <w:t>2</w:t>
            </w:r>
            <w:r w:rsidR="003341B4">
              <w:rPr>
                <w:i/>
              </w:rPr>
              <w:t xml:space="preserve"> </w:t>
            </w:r>
            <w:r w:rsidRPr="00700030">
              <w:rPr>
                <w:i/>
              </w:rPr>
              <w:t xml:space="preserve"> identified in the Preliminary Assessment.  Make review comments as to whether </w:t>
            </w:r>
            <w:r w:rsidR="00B532C8">
              <w:rPr>
                <w:i/>
              </w:rPr>
              <w:t xml:space="preserve">each </w:t>
            </w:r>
            <w:r w:rsidRPr="00700030">
              <w:rPr>
                <w:i/>
              </w:rPr>
              <w:t>is reasonable, acceptable,</w:t>
            </w:r>
            <w:r w:rsidR="00B532C8">
              <w:rPr>
                <w:i/>
              </w:rPr>
              <w:t xml:space="preserve"> and </w:t>
            </w:r>
            <w:r w:rsidR="004C764A">
              <w:rPr>
                <w:i/>
              </w:rPr>
              <w:t>in line with agency needs.</w:t>
            </w:r>
            <w:r w:rsidR="00B532C8">
              <w:rPr>
                <w:i/>
              </w:rPr>
              <w:t xml:space="preserve">  </w:t>
            </w:r>
            <w:r w:rsidR="00A0034F">
              <w:rPr>
                <w:i/>
              </w:rPr>
              <w:t>At bottom, i</w:t>
            </w:r>
            <w:r w:rsidR="00B532C8">
              <w:rPr>
                <w:i/>
              </w:rPr>
              <w:t xml:space="preserve">s </w:t>
            </w:r>
            <w:r w:rsidR="009578A7">
              <w:rPr>
                <w:i/>
              </w:rPr>
              <w:t>overall package</w:t>
            </w:r>
            <w:r w:rsidR="00B532C8">
              <w:rPr>
                <w:i/>
              </w:rPr>
              <w:t xml:space="preserve"> of </w:t>
            </w:r>
            <w:r w:rsidR="009578A7">
              <w:rPr>
                <w:i/>
              </w:rPr>
              <w:t xml:space="preserve">ECMs </w:t>
            </w:r>
            <w:r w:rsidR="009578A7" w:rsidRPr="00700030">
              <w:rPr>
                <w:i/>
              </w:rPr>
              <w:t>comprehensive</w:t>
            </w:r>
            <w:r w:rsidRPr="00700030">
              <w:rPr>
                <w:i/>
              </w:rPr>
              <w:t xml:space="preserve"> and</w:t>
            </w:r>
            <w:r w:rsidR="00B532C8">
              <w:rPr>
                <w:i/>
              </w:rPr>
              <w:t xml:space="preserve"> does it</w:t>
            </w:r>
            <w:r w:rsidRPr="00700030">
              <w:rPr>
                <w:i/>
              </w:rPr>
              <w:t xml:space="preserve"> provide a </w:t>
            </w:r>
            <w:r w:rsidR="00B532C8">
              <w:rPr>
                <w:i/>
              </w:rPr>
              <w:t xml:space="preserve">robust </w:t>
            </w:r>
            <w:r w:rsidRPr="00700030">
              <w:rPr>
                <w:i/>
              </w:rPr>
              <w:t>solution to</w:t>
            </w:r>
            <w:r w:rsidR="00BB7EE0">
              <w:rPr>
                <w:i/>
              </w:rPr>
              <w:t>ward</w:t>
            </w:r>
            <w:r w:rsidRPr="00700030">
              <w:rPr>
                <w:i/>
              </w:rPr>
              <w:t xml:space="preserve"> the agency’s </w:t>
            </w:r>
            <w:r w:rsidR="00BB7EE0">
              <w:rPr>
                <w:i/>
              </w:rPr>
              <w:t>energy reduction goals and other needs?</w:t>
            </w:r>
          </w:p>
        </w:tc>
        <w:tc>
          <w:tcPr>
            <w:tcW w:w="7380" w:type="dxa"/>
            <w:shd w:val="clear" w:color="auto" w:fill="auto"/>
          </w:tcPr>
          <w:p w14:paraId="4E90C29D" w14:textId="6DC5E0FB" w:rsidR="00F955FB" w:rsidRDefault="00F955FB" w:rsidP="006C7A8C">
            <w:pPr>
              <w:ind w:left="0"/>
            </w:pPr>
            <w:r>
              <w:t>Recommended</w:t>
            </w:r>
            <w:r w:rsidR="00BB7EE0">
              <w:t xml:space="preserve"> ECMs</w:t>
            </w:r>
            <w:r w:rsidR="00441FD7">
              <w:t>:</w:t>
            </w:r>
          </w:p>
          <w:p w14:paraId="018CE752" w14:textId="63AB8665" w:rsidR="006C7A8C" w:rsidRDefault="006C7A8C" w:rsidP="006C7A8C">
            <w:pPr>
              <w:ind w:left="0"/>
            </w:pPr>
            <w:r>
              <w:t>ECM 1:</w:t>
            </w:r>
          </w:p>
          <w:p w14:paraId="1592D53C" w14:textId="6180DB70" w:rsidR="006C7A8C" w:rsidRPr="0006268D" w:rsidRDefault="006C7A8C" w:rsidP="006C7A8C">
            <w:pPr>
              <w:ind w:left="0"/>
              <w:rPr>
                <w:i/>
              </w:rPr>
            </w:pPr>
            <w:r>
              <w:t>ECM 2:</w:t>
            </w:r>
            <w:r w:rsidR="0006268D">
              <w:t xml:space="preserve"> </w:t>
            </w:r>
            <w:r w:rsidR="0006268D">
              <w:rPr>
                <w:i/>
              </w:rPr>
              <w:t>(add more ECMs as needed)</w:t>
            </w:r>
          </w:p>
          <w:p w14:paraId="06E9BBF3" w14:textId="5B54FDE9" w:rsidR="00F955FB" w:rsidRDefault="00F955FB" w:rsidP="006A47AA">
            <w:pPr>
              <w:ind w:left="0"/>
            </w:pPr>
            <w:r>
              <w:t>Potential</w:t>
            </w:r>
            <w:r w:rsidR="00BB7EE0">
              <w:t xml:space="preserve"> ECMs</w:t>
            </w:r>
            <w:r w:rsidR="00441FD7">
              <w:t>:</w:t>
            </w:r>
          </w:p>
          <w:p w14:paraId="045D8493" w14:textId="77777777" w:rsidR="00441FD7" w:rsidRDefault="00441FD7" w:rsidP="006A47AA">
            <w:pPr>
              <w:ind w:left="0"/>
            </w:pPr>
            <w:r>
              <w:t>ECM 1:</w:t>
            </w:r>
          </w:p>
          <w:p w14:paraId="320D0EB3" w14:textId="072D9982" w:rsidR="00B532C8" w:rsidRDefault="00B532C8" w:rsidP="006A47AA">
            <w:pPr>
              <w:ind w:left="0"/>
            </w:pPr>
            <w:r>
              <w:t>ECM 2:</w:t>
            </w:r>
            <w:r w:rsidR="0006268D">
              <w:t xml:space="preserve"> </w:t>
            </w:r>
            <w:r w:rsidR="0006268D">
              <w:rPr>
                <w:i/>
              </w:rPr>
              <w:t>(add more ECMs as needed)</w:t>
            </w:r>
          </w:p>
          <w:p w14:paraId="01B97B00" w14:textId="39F9BB99" w:rsidR="00B532C8" w:rsidRPr="00700030" w:rsidRDefault="00B532C8" w:rsidP="006A47AA">
            <w:pPr>
              <w:ind w:left="0"/>
            </w:pPr>
            <w:r>
              <w:t>Overall:</w:t>
            </w:r>
          </w:p>
        </w:tc>
        <w:tc>
          <w:tcPr>
            <w:tcW w:w="1440" w:type="dxa"/>
            <w:shd w:val="clear" w:color="auto" w:fill="auto"/>
          </w:tcPr>
          <w:p w14:paraId="43B06579" w14:textId="77777777" w:rsidR="006C7A8C" w:rsidRPr="00700030" w:rsidRDefault="006C7A8C" w:rsidP="004E6504">
            <w:pPr>
              <w:ind w:right="-491"/>
            </w:pPr>
          </w:p>
        </w:tc>
      </w:tr>
      <w:tr w:rsidR="00380D47" w:rsidRPr="00700030" w14:paraId="7F74B8B9" w14:textId="77777777" w:rsidTr="00524508">
        <w:tc>
          <w:tcPr>
            <w:tcW w:w="5130" w:type="dxa"/>
            <w:shd w:val="clear" w:color="auto" w:fill="auto"/>
          </w:tcPr>
          <w:p w14:paraId="42AB312F" w14:textId="4EF9092A" w:rsidR="00380D47" w:rsidRPr="00EE69B3" w:rsidRDefault="00380D47" w:rsidP="00FF0093">
            <w:pPr>
              <w:numPr>
                <w:ilvl w:val="0"/>
                <w:numId w:val="17"/>
              </w:numPr>
              <w:rPr>
                <w:b/>
              </w:rPr>
            </w:pPr>
            <w:r>
              <w:rPr>
                <w:b/>
              </w:rPr>
              <w:t>RRPM</w:t>
            </w:r>
            <w:r w:rsidR="00FF0093" w:rsidRPr="00425E2A">
              <w:rPr>
                <w:b/>
                <w:vertAlign w:val="superscript"/>
              </w:rPr>
              <w:t>3</w:t>
            </w:r>
            <w:r>
              <w:rPr>
                <w:b/>
              </w:rPr>
              <w:t xml:space="preserve"> </w:t>
            </w:r>
            <w:r w:rsidRPr="00EE69B3">
              <w:rPr>
                <w:b/>
              </w:rPr>
              <w:t>Financial Factors:</w:t>
            </w:r>
          </w:p>
        </w:tc>
        <w:tc>
          <w:tcPr>
            <w:tcW w:w="7380" w:type="dxa"/>
            <w:shd w:val="clear" w:color="auto" w:fill="auto"/>
          </w:tcPr>
          <w:p w14:paraId="647023AD" w14:textId="2EC195B6" w:rsidR="00380D47" w:rsidRPr="00700030" w:rsidRDefault="00A0034F" w:rsidP="00A0034F">
            <w:pPr>
              <w:ind w:left="0"/>
            </w:pPr>
            <w:r>
              <w:t>Review and assess</w:t>
            </w:r>
            <w:r w:rsidR="00122821">
              <w:t>:</w:t>
            </w:r>
          </w:p>
        </w:tc>
        <w:tc>
          <w:tcPr>
            <w:tcW w:w="1440" w:type="dxa"/>
            <w:shd w:val="clear" w:color="auto" w:fill="auto"/>
          </w:tcPr>
          <w:p w14:paraId="3D159152" w14:textId="77777777" w:rsidR="00380D47" w:rsidRPr="00700030" w:rsidRDefault="00380D47" w:rsidP="006A47AA">
            <w:pPr>
              <w:ind w:right="-491"/>
            </w:pPr>
          </w:p>
        </w:tc>
      </w:tr>
      <w:tr w:rsidR="00380D47" w:rsidRPr="00700030" w14:paraId="5F2B7DEF" w14:textId="77777777" w:rsidTr="00524508">
        <w:tc>
          <w:tcPr>
            <w:tcW w:w="5130" w:type="dxa"/>
            <w:shd w:val="clear" w:color="auto" w:fill="auto"/>
          </w:tcPr>
          <w:p w14:paraId="3BDF8B6A" w14:textId="77777777" w:rsidR="00380D47" w:rsidRPr="00EE69B3" w:rsidRDefault="00380D47" w:rsidP="004E6504">
            <w:pPr>
              <w:numPr>
                <w:ilvl w:val="0"/>
                <w:numId w:val="17"/>
              </w:numPr>
              <w:rPr>
                <w:b/>
              </w:rPr>
            </w:pPr>
            <w:r>
              <w:rPr>
                <w:b/>
              </w:rPr>
              <w:t xml:space="preserve">RRPM </w:t>
            </w:r>
            <w:r w:rsidRPr="00EE69B3">
              <w:rPr>
                <w:b/>
              </w:rPr>
              <w:t>Operational Factors:</w:t>
            </w:r>
          </w:p>
        </w:tc>
        <w:tc>
          <w:tcPr>
            <w:tcW w:w="7380" w:type="dxa"/>
            <w:shd w:val="clear" w:color="auto" w:fill="auto"/>
          </w:tcPr>
          <w:p w14:paraId="571D7452" w14:textId="539922D6" w:rsidR="00380D47" w:rsidRPr="00700030" w:rsidRDefault="00A0034F" w:rsidP="00A0034F">
            <w:pPr>
              <w:ind w:left="0"/>
            </w:pPr>
            <w:r>
              <w:t>Review and assess</w:t>
            </w:r>
            <w:r w:rsidR="00122821">
              <w:t>:</w:t>
            </w:r>
          </w:p>
        </w:tc>
        <w:tc>
          <w:tcPr>
            <w:tcW w:w="1440" w:type="dxa"/>
            <w:shd w:val="clear" w:color="auto" w:fill="auto"/>
          </w:tcPr>
          <w:p w14:paraId="2004472E" w14:textId="77777777" w:rsidR="00380D47" w:rsidRPr="00700030" w:rsidRDefault="00380D47" w:rsidP="006A47AA">
            <w:pPr>
              <w:ind w:right="-491"/>
            </w:pPr>
          </w:p>
        </w:tc>
      </w:tr>
      <w:tr w:rsidR="00380D47" w:rsidRPr="00700030" w14:paraId="2386AF14" w14:textId="77777777" w:rsidTr="00524508">
        <w:tc>
          <w:tcPr>
            <w:tcW w:w="5130" w:type="dxa"/>
            <w:shd w:val="clear" w:color="auto" w:fill="auto"/>
          </w:tcPr>
          <w:p w14:paraId="228B2BF1" w14:textId="77777777" w:rsidR="00380D47" w:rsidRPr="00EE69B3" w:rsidRDefault="00380D47" w:rsidP="004E6504">
            <w:pPr>
              <w:numPr>
                <w:ilvl w:val="0"/>
                <w:numId w:val="17"/>
              </w:numPr>
              <w:rPr>
                <w:b/>
              </w:rPr>
            </w:pPr>
            <w:r>
              <w:rPr>
                <w:b/>
              </w:rPr>
              <w:t xml:space="preserve">RRPM </w:t>
            </w:r>
            <w:r w:rsidRPr="00EE69B3">
              <w:rPr>
                <w:b/>
              </w:rPr>
              <w:t>Performance Factors</w:t>
            </w:r>
            <w:r>
              <w:rPr>
                <w:b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03F4EF9F" w14:textId="34DA3CAA" w:rsidR="00380D47" w:rsidRPr="00700030" w:rsidRDefault="00A0034F" w:rsidP="00A0034F">
            <w:pPr>
              <w:ind w:left="0"/>
            </w:pPr>
            <w:r>
              <w:t>Review and assess</w:t>
            </w:r>
            <w:r w:rsidR="00122821">
              <w:t>:</w:t>
            </w:r>
          </w:p>
        </w:tc>
        <w:tc>
          <w:tcPr>
            <w:tcW w:w="1440" w:type="dxa"/>
            <w:shd w:val="clear" w:color="auto" w:fill="auto"/>
          </w:tcPr>
          <w:p w14:paraId="6699560A" w14:textId="77777777" w:rsidR="00380D47" w:rsidRPr="00700030" w:rsidRDefault="00380D47" w:rsidP="006A47AA">
            <w:pPr>
              <w:ind w:right="-491"/>
            </w:pPr>
          </w:p>
        </w:tc>
      </w:tr>
      <w:tr w:rsidR="00380D47" w:rsidRPr="00700030" w14:paraId="2EA6A200" w14:textId="77777777" w:rsidTr="00524508">
        <w:tc>
          <w:tcPr>
            <w:tcW w:w="5130" w:type="dxa"/>
            <w:shd w:val="clear" w:color="auto" w:fill="auto"/>
          </w:tcPr>
          <w:p w14:paraId="00F745E5" w14:textId="77777777" w:rsidR="00380D47" w:rsidRPr="00700030" w:rsidRDefault="00380D47" w:rsidP="004E6504">
            <w:pPr>
              <w:numPr>
                <w:ilvl w:val="0"/>
                <w:numId w:val="17"/>
              </w:numPr>
            </w:pPr>
            <w:r>
              <w:rPr>
                <w:b/>
              </w:rPr>
              <w:t>Management</w:t>
            </w:r>
            <w:r w:rsidRPr="00700030">
              <w:rPr>
                <w:b/>
              </w:rPr>
              <w:t xml:space="preserve"> Approach</w:t>
            </w:r>
            <w:r>
              <w:rPr>
                <w:b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73B0B437" w14:textId="33562631" w:rsidR="00380D47" w:rsidRPr="00700030" w:rsidRDefault="00A0034F" w:rsidP="00A0034F">
            <w:pPr>
              <w:ind w:left="0"/>
            </w:pPr>
            <w:r>
              <w:t>Review and assess</w:t>
            </w:r>
            <w:r w:rsidR="00122821">
              <w:t>:</w:t>
            </w:r>
          </w:p>
        </w:tc>
        <w:tc>
          <w:tcPr>
            <w:tcW w:w="1440" w:type="dxa"/>
            <w:shd w:val="clear" w:color="auto" w:fill="auto"/>
          </w:tcPr>
          <w:p w14:paraId="5CFE9BAA" w14:textId="77777777" w:rsidR="00380D47" w:rsidRPr="00700030" w:rsidRDefault="00380D47" w:rsidP="006A47AA">
            <w:pPr>
              <w:ind w:left="0" w:right="-491"/>
            </w:pPr>
          </w:p>
        </w:tc>
      </w:tr>
      <w:tr w:rsidR="00380D47" w:rsidRPr="00700030" w14:paraId="38D40CA8" w14:textId="77777777" w:rsidTr="00524508">
        <w:tc>
          <w:tcPr>
            <w:tcW w:w="5130" w:type="dxa"/>
            <w:shd w:val="clear" w:color="auto" w:fill="auto"/>
          </w:tcPr>
          <w:p w14:paraId="72D781AA" w14:textId="4EE2C307" w:rsidR="00380D47" w:rsidRPr="00700030" w:rsidRDefault="00380D47" w:rsidP="00FF0093">
            <w:pPr>
              <w:numPr>
                <w:ilvl w:val="0"/>
                <w:numId w:val="17"/>
              </w:numPr>
              <w:rPr>
                <w:i/>
              </w:rPr>
            </w:pPr>
            <w:r w:rsidRPr="00700030">
              <w:rPr>
                <w:b/>
              </w:rPr>
              <w:t>M&amp;V</w:t>
            </w:r>
            <w:r w:rsidR="00FF0093" w:rsidRPr="00425E2A">
              <w:rPr>
                <w:b/>
                <w:vertAlign w:val="superscript"/>
              </w:rPr>
              <w:t>4</w:t>
            </w:r>
            <w:r w:rsidRPr="00700030">
              <w:rPr>
                <w:b/>
              </w:rPr>
              <w:t xml:space="preserve"> Option</w:t>
            </w:r>
            <w:r w:rsidR="003341B4">
              <w:rPr>
                <w:b/>
              </w:rPr>
              <w:t>s</w:t>
            </w:r>
            <w:r w:rsidRPr="00700030">
              <w:rPr>
                <w:b/>
              </w:rPr>
              <w:t>/Approach</w:t>
            </w:r>
            <w:r w:rsidR="003341B4">
              <w:rPr>
                <w:b/>
              </w:rPr>
              <w:t>es</w:t>
            </w:r>
          </w:p>
        </w:tc>
        <w:tc>
          <w:tcPr>
            <w:tcW w:w="7380" w:type="dxa"/>
            <w:shd w:val="clear" w:color="auto" w:fill="auto"/>
          </w:tcPr>
          <w:p w14:paraId="20B5B3B3" w14:textId="0B03F6E0" w:rsidR="00380D47" w:rsidRPr="00700030" w:rsidRDefault="00A0034F" w:rsidP="00A0034F">
            <w:pPr>
              <w:ind w:left="0"/>
            </w:pPr>
            <w:r>
              <w:t>Review and assess</w:t>
            </w:r>
            <w:r w:rsidR="00122821">
              <w:t>:</w:t>
            </w:r>
          </w:p>
        </w:tc>
        <w:tc>
          <w:tcPr>
            <w:tcW w:w="1440" w:type="dxa"/>
            <w:shd w:val="clear" w:color="auto" w:fill="auto"/>
          </w:tcPr>
          <w:p w14:paraId="75BB9871" w14:textId="77777777" w:rsidR="00380D47" w:rsidRPr="00700030" w:rsidRDefault="00380D47" w:rsidP="006A47AA">
            <w:pPr>
              <w:ind w:right="-491"/>
            </w:pPr>
          </w:p>
        </w:tc>
      </w:tr>
      <w:tr w:rsidR="00380D47" w:rsidRPr="00700030" w14:paraId="44C28AA5" w14:textId="77777777" w:rsidTr="00524508">
        <w:tc>
          <w:tcPr>
            <w:tcW w:w="5130" w:type="dxa"/>
            <w:shd w:val="clear" w:color="auto" w:fill="auto"/>
          </w:tcPr>
          <w:p w14:paraId="39F64832" w14:textId="3213F11C" w:rsidR="00380D47" w:rsidRPr="00700030" w:rsidRDefault="00380D47" w:rsidP="009578A7">
            <w:pPr>
              <w:ind w:left="288"/>
              <w:rPr>
                <w:i/>
              </w:rPr>
            </w:pPr>
            <w:r w:rsidRPr="00700030">
              <w:rPr>
                <w:i/>
              </w:rPr>
              <w:t xml:space="preserve">Identify the M&amp;V option for each of the ECMs and determine whether the offered </w:t>
            </w:r>
            <w:r w:rsidR="00B532C8">
              <w:rPr>
                <w:i/>
              </w:rPr>
              <w:t>strategy</w:t>
            </w:r>
            <w:r w:rsidRPr="00700030">
              <w:rPr>
                <w:i/>
              </w:rPr>
              <w:t xml:space="preserve"> is appropriate for the ECM and whether the M&amp;V option costs reflect</w:t>
            </w:r>
            <w:r w:rsidR="00B532C8">
              <w:rPr>
                <w:i/>
              </w:rPr>
              <w:t xml:space="preserve"> a reasonable balance between cost and savings uncertainty.</w:t>
            </w:r>
          </w:p>
        </w:tc>
        <w:tc>
          <w:tcPr>
            <w:tcW w:w="7380" w:type="dxa"/>
            <w:shd w:val="clear" w:color="auto" w:fill="auto"/>
          </w:tcPr>
          <w:p w14:paraId="50E8D9C5" w14:textId="77777777" w:rsidR="00380D47" w:rsidRDefault="00380D47" w:rsidP="004E6504">
            <w:pPr>
              <w:ind w:left="0"/>
            </w:pPr>
            <w:r>
              <w:t>ECM 1 M&amp;V Option:</w:t>
            </w:r>
          </w:p>
          <w:p w14:paraId="0FF74066" w14:textId="77777777" w:rsidR="00380D47" w:rsidRDefault="00380D47" w:rsidP="004E6504">
            <w:pPr>
              <w:ind w:left="0"/>
            </w:pPr>
            <w:r>
              <w:t>ECM 2 M&amp;V Option:</w:t>
            </w:r>
          </w:p>
          <w:p w14:paraId="1B6E36C3" w14:textId="7B66D29C" w:rsidR="00380D47" w:rsidRDefault="00BB7EE0" w:rsidP="004E6504">
            <w:pPr>
              <w:ind w:left="0"/>
            </w:pPr>
            <w:r>
              <w:t>ECM 3 M&amp;V Option:</w:t>
            </w:r>
          </w:p>
          <w:p w14:paraId="32AAA854" w14:textId="50BC1DD0" w:rsidR="0006268D" w:rsidRDefault="0006268D" w:rsidP="004E6504">
            <w:pPr>
              <w:ind w:left="0"/>
            </w:pPr>
            <w:r>
              <w:t xml:space="preserve">ECM 4 M&amp;V Option: </w:t>
            </w:r>
            <w:r>
              <w:rPr>
                <w:i/>
              </w:rPr>
              <w:t>(add more ECMs as needed)</w:t>
            </w:r>
          </w:p>
          <w:p w14:paraId="6E37A909" w14:textId="196E0B05" w:rsidR="00380D47" w:rsidRPr="00700030" w:rsidRDefault="00380D47" w:rsidP="004E6504">
            <w:pPr>
              <w:ind w:left="0"/>
            </w:pPr>
          </w:p>
        </w:tc>
        <w:tc>
          <w:tcPr>
            <w:tcW w:w="1440" w:type="dxa"/>
            <w:shd w:val="clear" w:color="auto" w:fill="auto"/>
          </w:tcPr>
          <w:p w14:paraId="685CA212" w14:textId="77777777" w:rsidR="00380D47" w:rsidRPr="00700030" w:rsidRDefault="00380D47" w:rsidP="006A47AA">
            <w:pPr>
              <w:ind w:right="-491"/>
            </w:pPr>
          </w:p>
        </w:tc>
      </w:tr>
      <w:tr w:rsidR="00C31F13" w:rsidRPr="00700030" w14:paraId="65AEA1F8" w14:textId="77777777" w:rsidTr="00524508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9193E" w14:textId="6C60BBBB" w:rsidR="00C31F13" w:rsidRPr="00C31F13" w:rsidRDefault="00C31F13" w:rsidP="0009698B">
            <w:pPr>
              <w:numPr>
                <w:ilvl w:val="0"/>
                <w:numId w:val="17"/>
              </w:numPr>
              <w:rPr>
                <w:i/>
              </w:rPr>
            </w:pPr>
            <w:r w:rsidRPr="00C31F13">
              <w:rPr>
                <w:b/>
              </w:rPr>
              <w:t>TO</w:t>
            </w:r>
            <w:r w:rsidR="00FF0093" w:rsidRPr="00425E2A">
              <w:rPr>
                <w:b/>
                <w:vertAlign w:val="superscript"/>
              </w:rPr>
              <w:t>5</w:t>
            </w:r>
            <w:r w:rsidRPr="00C31F13">
              <w:rPr>
                <w:b/>
              </w:rPr>
              <w:t xml:space="preserve"> Schedules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A5E3A" w14:textId="77777777" w:rsidR="00C31F13" w:rsidRPr="00700030" w:rsidRDefault="00C31F13" w:rsidP="00C31F13">
            <w:pPr>
              <w:ind w:left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B6E7" w14:textId="77777777" w:rsidR="00C31F13" w:rsidRPr="00700030" w:rsidRDefault="00C31F13" w:rsidP="0009698B">
            <w:pPr>
              <w:ind w:right="-491"/>
            </w:pPr>
          </w:p>
        </w:tc>
      </w:tr>
      <w:tr w:rsidR="00C31F13" w:rsidRPr="00700030" w14:paraId="63C6C13A" w14:textId="77777777" w:rsidTr="00524508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89011" w14:textId="4B95CA27" w:rsidR="00C31F13" w:rsidRPr="00700030" w:rsidRDefault="009268AC" w:rsidP="00A0034F">
            <w:pPr>
              <w:ind w:left="288"/>
              <w:rPr>
                <w:i/>
              </w:rPr>
            </w:pPr>
            <w:r>
              <w:rPr>
                <w:i/>
              </w:rPr>
              <w:t>Are payments less than guarantee</w:t>
            </w:r>
            <w:r w:rsidR="00A0034F">
              <w:rPr>
                <w:i/>
              </w:rPr>
              <w:t>d saving</w:t>
            </w:r>
            <w:r>
              <w:rPr>
                <w:i/>
              </w:rPr>
              <w:t>s</w:t>
            </w:r>
            <w:r w:rsidR="00A0034F">
              <w:rPr>
                <w:i/>
              </w:rPr>
              <w:t>?</w:t>
            </w:r>
            <w:r>
              <w:rPr>
                <w:i/>
              </w:rPr>
              <w:t xml:space="preserve"> </w:t>
            </w:r>
            <w:r w:rsidR="00A0034F">
              <w:rPr>
                <w:i/>
              </w:rPr>
              <w:t>I</w:t>
            </w:r>
            <w:r>
              <w:rPr>
                <w:i/>
              </w:rPr>
              <w:t xml:space="preserve">s contract within </w:t>
            </w:r>
            <w:r w:rsidR="00A0034F">
              <w:rPr>
                <w:i/>
              </w:rPr>
              <w:t xml:space="preserve">required </w:t>
            </w:r>
            <w:r>
              <w:rPr>
                <w:i/>
              </w:rPr>
              <w:t>term?</w:t>
            </w:r>
            <w:r w:rsidR="00C31F13">
              <w:rPr>
                <w:i/>
              </w:rPr>
              <w:t xml:space="preserve">  Note </w:t>
            </w:r>
            <w:r>
              <w:rPr>
                <w:i/>
              </w:rPr>
              <w:t xml:space="preserve">other terms &amp; conditions or </w:t>
            </w:r>
            <w:r w:rsidR="00C31F13">
              <w:rPr>
                <w:i/>
              </w:rPr>
              <w:t>areas requiring discussion.</w:t>
            </w:r>
            <w:r w:rsidR="00C31F13" w:rsidRPr="00700030">
              <w:rPr>
                <w:i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BC85F" w14:textId="77777777" w:rsidR="00C31F13" w:rsidRPr="00700030" w:rsidRDefault="00C31F13" w:rsidP="00C31F13">
            <w:pPr>
              <w:ind w:left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2C970" w14:textId="77777777" w:rsidR="00C31F13" w:rsidRPr="00700030" w:rsidRDefault="00C31F13" w:rsidP="0009698B">
            <w:pPr>
              <w:ind w:right="-491"/>
            </w:pPr>
          </w:p>
        </w:tc>
      </w:tr>
    </w:tbl>
    <w:p w14:paraId="1C8BBF1E" w14:textId="16926AF4" w:rsidR="00380D47" w:rsidRDefault="00FF0093" w:rsidP="00C76393">
      <w:pPr>
        <w:pStyle w:val="Header"/>
        <w:ind w:left="0"/>
        <w:rPr>
          <w:i/>
        </w:rPr>
      </w:pPr>
      <w:r w:rsidRPr="00425E2A">
        <w:rPr>
          <w:i/>
          <w:vertAlign w:val="superscript"/>
        </w:rPr>
        <w:t>1</w:t>
      </w:r>
      <w:r w:rsidR="00425E2A">
        <w:rPr>
          <w:i/>
          <w:vertAlign w:val="superscript"/>
        </w:rPr>
        <w:t xml:space="preserve"> </w:t>
      </w:r>
      <w:r w:rsidR="00C76393" w:rsidRPr="00C76393">
        <w:rPr>
          <w:i/>
        </w:rPr>
        <w:t>A – Acceptable, M – Minimal changes needed, S – Significant changes required</w:t>
      </w:r>
    </w:p>
    <w:p w14:paraId="36D3DAD9" w14:textId="163F15D7" w:rsidR="00FF0093" w:rsidRPr="000F161B" w:rsidRDefault="00FF0093" w:rsidP="00BB7EE0">
      <w:pPr>
        <w:pStyle w:val="Header"/>
        <w:ind w:left="0"/>
        <w:rPr>
          <w:i/>
        </w:rPr>
      </w:pPr>
      <w:r w:rsidRPr="00FF0093">
        <w:rPr>
          <w:i/>
          <w:vertAlign w:val="superscript"/>
        </w:rPr>
        <w:t>2</w:t>
      </w:r>
      <w:r w:rsidR="003341B4">
        <w:rPr>
          <w:i/>
        </w:rPr>
        <w:t xml:space="preserve"> Energy Conservation Measure</w:t>
      </w:r>
      <w:r>
        <w:rPr>
          <w:i/>
        </w:rPr>
        <w:t xml:space="preserve">;  </w:t>
      </w:r>
      <w:r w:rsidR="00425E2A" w:rsidRPr="00425E2A">
        <w:rPr>
          <w:i/>
          <w:vertAlign w:val="superscript"/>
        </w:rPr>
        <w:t>3</w:t>
      </w:r>
      <w:r>
        <w:rPr>
          <w:i/>
        </w:rPr>
        <w:t xml:space="preserve"> Risk, Responsibility, and Performance Matrix; </w:t>
      </w:r>
      <w:r w:rsidR="00425E2A" w:rsidRPr="00425E2A">
        <w:rPr>
          <w:i/>
          <w:vertAlign w:val="superscript"/>
        </w:rPr>
        <w:t>4</w:t>
      </w:r>
      <w:r>
        <w:rPr>
          <w:i/>
        </w:rPr>
        <w:t xml:space="preserve"> M&amp;V – Measurement and Verification; </w:t>
      </w:r>
      <w:r w:rsidR="00425E2A" w:rsidRPr="00425E2A">
        <w:rPr>
          <w:i/>
          <w:vertAlign w:val="superscript"/>
        </w:rPr>
        <w:t>5</w:t>
      </w:r>
      <w:r w:rsidR="00425E2A">
        <w:rPr>
          <w:i/>
          <w:vertAlign w:val="superscript"/>
        </w:rPr>
        <w:t xml:space="preserve"> </w:t>
      </w:r>
      <w:r>
        <w:rPr>
          <w:i/>
        </w:rPr>
        <w:t>TO - Task Order</w:t>
      </w:r>
    </w:p>
    <w:sectPr w:rsidR="00FF0093" w:rsidRPr="000F161B" w:rsidSect="00BB7EE0">
      <w:pgSz w:w="15840" w:h="12240" w:orient="landscape" w:code="1"/>
      <w:pgMar w:top="1152" w:right="1008" w:bottom="576" w:left="1008" w:header="720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9381E" w14:textId="77777777" w:rsidR="0089783E" w:rsidRDefault="0089783E" w:rsidP="0003119C">
      <w:r>
        <w:separator/>
      </w:r>
    </w:p>
  </w:endnote>
  <w:endnote w:type="continuationSeparator" w:id="0">
    <w:p w14:paraId="57B8D819" w14:textId="77777777" w:rsidR="0089783E" w:rsidRDefault="0089783E" w:rsidP="0003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0D639" w14:textId="77777777" w:rsidR="0089783E" w:rsidRDefault="0089783E" w:rsidP="0003119C">
      <w:r>
        <w:separator/>
      </w:r>
    </w:p>
  </w:footnote>
  <w:footnote w:type="continuationSeparator" w:id="0">
    <w:p w14:paraId="040F30E2" w14:textId="77777777" w:rsidR="0089783E" w:rsidRDefault="0089783E" w:rsidP="00031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E3D1C1"/>
    <w:multiLevelType w:val="hybridMultilevel"/>
    <w:tmpl w:val="FB7BB2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C675FA"/>
    <w:multiLevelType w:val="hybridMultilevel"/>
    <w:tmpl w:val="633D8D89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19AA8120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C3370E"/>
    <w:multiLevelType w:val="hybridMultilevel"/>
    <w:tmpl w:val="F8DEEAAE"/>
    <w:lvl w:ilvl="0" w:tplc="EEBAD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61FBAA"/>
    <w:multiLevelType w:val="hybridMultilevel"/>
    <w:tmpl w:val="3D421E1B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6D3C4781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9C60900"/>
    <w:multiLevelType w:val="hybridMultilevel"/>
    <w:tmpl w:val="0EC27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E2A83"/>
    <w:multiLevelType w:val="hybridMultilevel"/>
    <w:tmpl w:val="B4F46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8510B"/>
    <w:multiLevelType w:val="hybridMultilevel"/>
    <w:tmpl w:val="AA16A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84474"/>
    <w:multiLevelType w:val="hybridMultilevel"/>
    <w:tmpl w:val="D4A0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25405"/>
    <w:multiLevelType w:val="hybridMultilevel"/>
    <w:tmpl w:val="0150B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15083"/>
    <w:multiLevelType w:val="hybridMultilevel"/>
    <w:tmpl w:val="E048C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624EF"/>
    <w:multiLevelType w:val="hybridMultilevel"/>
    <w:tmpl w:val="5E3CE4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AF72622"/>
    <w:multiLevelType w:val="hybridMultilevel"/>
    <w:tmpl w:val="2B000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04614"/>
    <w:multiLevelType w:val="hybridMultilevel"/>
    <w:tmpl w:val="EAB0E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A29F9"/>
    <w:multiLevelType w:val="hybridMultilevel"/>
    <w:tmpl w:val="BF2C8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0111F"/>
    <w:multiLevelType w:val="hybridMultilevel"/>
    <w:tmpl w:val="FBD2E0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F1B039F"/>
    <w:multiLevelType w:val="hybridMultilevel"/>
    <w:tmpl w:val="253E2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A46FC"/>
    <w:multiLevelType w:val="hybridMultilevel"/>
    <w:tmpl w:val="C60AE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10B71"/>
    <w:multiLevelType w:val="hybridMultilevel"/>
    <w:tmpl w:val="3648A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45F6C"/>
    <w:multiLevelType w:val="hybridMultilevel"/>
    <w:tmpl w:val="E04E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3BEB8"/>
    <w:multiLevelType w:val="hybridMultilevel"/>
    <w:tmpl w:val="2958D7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C7D1032"/>
    <w:multiLevelType w:val="hybridMultilevel"/>
    <w:tmpl w:val="FEF6BB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0"/>
  </w:num>
  <w:num w:numId="5">
    <w:abstractNumId w:val="14"/>
  </w:num>
  <w:num w:numId="6">
    <w:abstractNumId w:val="19"/>
  </w:num>
  <w:num w:numId="7">
    <w:abstractNumId w:val="9"/>
  </w:num>
  <w:num w:numId="8">
    <w:abstractNumId w:val="17"/>
  </w:num>
  <w:num w:numId="9">
    <w:abstractNumId w:val="7"/>
  </w:num>
  <w:num w:numId="10">
    <w:abstractNumId w:val="11"/>
  </w:num>
  <w:num w:numId="11">
    <w:abstractNumId w:val="13"/>
  </w:num>
  <w:num w:numId="12">
    <w:abstractNumId w:val="6"/>
  </w:num>
  <w:num w:numId="13">
    <w:abstractNumId w:val="4"/>
  </w:num>
  <w:num w:numId="14">
    <w:abstractNumId w:val="18"/>
  </w:num>
  <w:num w:numId="15">
    <w:abstractNumId w:val="20"/>
  </w:num>
  <w:num w:numId="16">
    <w:abstractNumId w:val="16"/>
  </w:num>
  <w:num w:numId="17">
    <w:abstractNumId w:val="8"/>
  </w:num>
  <w:num w:numId="18">
    <w:abstractNumId w:val="15"/>
  </w:num>
  <w:num w:numId="19">
    <w:abstractNumId w:val="5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431"/>
    <w:rsid w:val="0003119C"/>
    <w:rsid w:val="00056D85"/>
    <w:rsid w:val="0006268D"/>
    <w:rsid w:val="00087AE2"/>
    <w:rsid w:val="000F0FB4"/>
    <w:rsid w:val="000F161B"/>
    <w:rsid w:val="00105B10"/>
    <w:rsid w:val="00122821"/>
    <w:rsid w:val="00154D4C"/>
    <w:rsid w:val="00157BF0"/>
    <w:rsid w:val="0016115A"/>
    <w:rsid w:val="0019295C"/>
    <w:rsid w:val="001A04B1"/>
    <w:rsid w:val="001A19AB"/>
    <w:rsid w:val="001F6D80"/>
    <w:rsid w:val="00200CC5"/>
    <w:rsid w:val="002304E2"/>
    <w:rsid w:val="002477C8"/>
    <w:rsid w:val="00284BE6"/>
    <w:rsid w:val="002B4E24"/>
    <w:rsid w:val="002E1A0F"/>
    <w:rsid w:val="002F7839"/>
    <w:rsid w:val="003257A1"/>
    <w:rsid w:val="003341B4"/>
    <w:rsid w:val="0033773C"/>
    <w:rsid w:val="00380D47"/>
    <w:rsid w:val="00382A44"/>
    <w:rsid w:val="00390224"/>
    <w:rsid w:val="003A12CF"/>
    <w:rsid w:val="003B2986"/>
    <w:rsid w:val="003D4CE1"/>
    <w:rsid w:val="00402D0D"/>
    <w:rsid w:val="00425E2A"/>
    <w:rsid w:val="004306E7"/>
    <w:rsid w:val="00432376"/>
    <w:rsid w:val="004358EF"/>
    <w:rsid w:val="00441FD7"/>
    <w:rsid w:val="00497412"/>
    <w:rsid w:val="004A000D"/>
    <w:rsid w:val="004B609C"/>
    <w:rsid w:val="004C4E44"/>
    <w:rsid w:val="004C764A"/>
    <w:rsid w:val="00501930"/>
    <w:rsid w:val="00501CCE"/>
    <w:rsid w:val="00503A0F"/>
    <w:rsid w:val="00507C87"/>
    <w:rsid w:val="00524508"/>
    <w:rsid w:val="00531FB1"/>
    <w:rsid w:val="00545CCC"/>
    <w:rsid w:val="0055494F"/>
    <w:rsid w:val="005A48D9"/>
    <w:rsid w:val="005B0203"/>
    <w:rsid w:val="005E0913"/>
    <w:rsid w:val="005E09DD"/>
    <w:rsid w:val="00620FF9"/>
    <w:rsid w:val="0062745D"/>
    <w:rsid w:val="00651ABC"/>
    <w:rsid w:val="00654DE5"/>
    <w:rsid w:val="006A47AA"/>
    <w:rsid w:val="006B6FD9"/>
    <w:rsid w:val="006C0090"/>
    <w:rsid w:val="006C7A8C"/>
    <w:rsid w:val="006D64DD"/>
    <w:rsid w:val="006D6ED9"/>
    <w:rsid w:val="00700030"/>
    <w:rsid w:val="00726998"/>
    <w:rsid w:val="00736082"/>
    <w:rsid w:val="007450C0"/>
    <w:rsid w:val="0077015C"/>
    <w:rsid w:val="00774983"/>
    <w:rsid w:val="007D098D"/>
    <w:rsid w:val="007E0815"/>
    <w:rsid w:val="007E29D9"/>
    <w:rsid w:val="00832F4E"/>
    <w:rsid w:val="00867AC1"/>
    <w:rsid w:val="008811B6"/>
    <w:rsid w:val="0088141D"/>
    <w:rsid w:val="0089783E"/>
    <w:rsid w:val="008E4E93"/>
    <w:rsid w:val="008E619E"/>
    <w:rsid w:val="009268AC"/>
    <w:rsid w:val="00934CDF"/>
    <w:rsid w:val="009425C3"/>
    <w:rsid w:val="00951B96"/>
    <w:rsid w:val="009578A7"/>
    <w:rsid w:val="0097340E"/>
    <w:rsid w:val="00A0034F"/>
    <w:rsid w:val="00A237B0"/>
    <w:rsid w:val="00A53E88"/>
    <w:rsid w:val="00AA16B4"/>
    <w:rsid w:val="00AB53F8"/>
    <w:rsid w:val="00AC3431"/>
    <w:rsid w:val="00B07BA4"/>
    <w:rsid w:val="00B12EE5"/>
    <w:rsid w:val="00B409B1"/>
    <w:rsid w:val="00B532C8"/>
    <w:rsid w:val="00B53A86"/>
    <w:rsid w:val="00B63A09"/>
    <w:rsid w:val="00B659D1"/>
    <w:rsid w:val="00BB405D"/>
    <w:rsid w:val="00BB51F7"/>
    <w:rsid w:val="00BB7EE0"/>
    <w:rsid w:val="00C31F13"/>
    <w:rsid w:val="00C46FB6"/>
    <w:rsid w:val="00C50FE0"/>
    <w:rsid w:val="00C61BDC"/>
    <w:rsid w:val="00C71587"/>
    <w:rsid w:val="00C76393"/>
    <w:rsid w:val="00CB7F11"/>
    <w:rsid w:val="00D1433E"/>
    <w:rsid w:val="00D14D59"/>
    <w:rsid w:val="00D4460E"/>
    <w:rsid w:val="00D63765"/>
    <w:rsid w:val="00D81E47"/>
    <w:rsid w:val="00DA1270"/>
    <w:rsid w:val="00DA72F7"/>
    <w:rsid w:val="00DD6E7E"/>
    <w:rsid w:val="00DE4415"/>
    <w:rsid w:val="00DE5F46"/>
    <w:rsid w:val="00E321DE"/>
    <w:rsid w:val="00E53E86"/>
    <w:rsid w:val="00E554DD"/>
    <w:rsid w:val="00E57C1E"/>
    <w:rsid w:val="00E87164"/>
    <w:rsid w:val="00E93A55"/>
    <w:rsid w:val="00ED5D2F"/>
    <w:rsid w:val="00EE69B3"/>
    <w:rsid w:val="00EF2497"/>
    <w:rsid w:val="00EF677E"/>
    <w:rsid w:val="00F1224A"/>
    <w:rsid w:val="00F234B6"/>
    <w:rsid w:val="00F50A00"/>
    <w:rsid w:val="00F955FB"/>
    <w:rsid w:val="00FD1E8C"/>
    <w:rsid w:val="00FE2D0D"/>
    <w:rsid w:val="00FF0093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1049D"/>
  <w15:docId w15:val="{53676EA0-C65D-4423-94C9-028E66C3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3F8"/>
    <w:pPr>
      <w:ind w:left="72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030"/>
    <w:pPr>
      <w:spacing w:after="160"/>
      <w:ind w:left="0"/>
      <w:contextualSpacing/>
      <w:outlineLvl w:val="0"/>
    </w:pPr>
    <w:rPr>
      <w:rFonts w:eastAsia="Times New Roman"/>
      <w:caps/>
      <w:color w:val="4F81BD"/>
      <w:spacing w:val="10"/>
      <w:kern w:val="28"/>
      <w:sz w:val="40"/>
      <w:szCs w:val="40"/>
      <w:lang w:bidi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0003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 w:line="276" w:lineRule="auto"/>
      <w:contextualSpacing w:val="0"/>
      <w:outlineLvl w:val="1"/>
    </w:pPr>
    <w:rPr>
      <w:b/>
      <w:bCs/>
      <w:color w:val="FFFFFF"/>
      <w:spacing w:val="15"/>
      <w:kern w:val="0"/>
      <w:sz w:val="22"/>
      <w:szCs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003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2"/>
    </w:pPr>
    <w:rPr>
      <w:b w:val="0"/>
      <w:bCs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34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C3431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AC3431"/>
    <w:rPr>
      <w:color w:val="auto"/>
    </w:rPr>
  </w:style>
  <w:style w:type="paragraph" w:customStyle="1" w:styleId="CM6">
    <w:name w:val="CM6"/>
    <w:basedOn w:val="Default"/>
    <w:next w:val="Default"/>
    <w:uiPriority w:val="99"/>
    <w:rsid w:val="00AC3431"/>
    <w:pPr>
      <w:spacing w:line="276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0311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19C"/>
  </w:style>
  <w:style w:type="paragraph" w:styleId="Footer">
    <w:name w:val="footer"/>
    <w:basedOn w:val="Normal"/>
    <w:link w:val="FooterChar"/>
    <w:uiPriority w:val="99"/>
    <w:unhideWhenUsed/>
    <w:rsid w:val="000311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19C"/>
  </w:style>
  <w:style w:type="paragraph" w:styleId="BalloonText">
    <w:name w:val="Balloon Text"/>
    <w:basedOn w:val="Normal"/>
    <w:link w:val="BalloonTextChar"/>
    <w:uiPriority w:val="99"/>
    <w:semiHidden/>
    <w:unhideWhenUsed/>
    <w:rsid w:val="004B6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09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00030"/>
    <w:rPr>
      <w:rFonts w:eastAsia="Times New Roman"/>
      <w:caps/>
      <w:color w:val="4F81BD"/>
      <w:spacing w:val="10"/>
      <w:kern w:val="28"/>
      <w:sz w:val="40"/>
      <w:szCs w:val="4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70003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003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0030"/>
    <w:rPr>
      <w:rFonts w:eastAsia="Times New Roman"/>
      <w:b/>
      <w:bCs/>
      <w:caps/>
      <w:color w:val="FFFFFF"/>
      <w:spacing w:val="15"/>
      <w:sz w:val="22"/>
      <w:szCs w:val="22"/>
      <w:shd w:val="clear" w:color="auto" w:fill="4F81BD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00030"/>
    <w:rPr>
      <w:rFonts w:eastAsia="Times New Roman"/>
      <w:caps/>
      <w:spacing w:val="15"/>
      <w:sz w:val="22"/>
      <w:szCs w:val="22"/>
      <w:shd w:val="clear" w:color="auto" w:fill="DBE5F1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2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3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3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376"/>
    <w:rPr>
      <w:b/>
      <w:bCs/>
    </w:rPr>
  </w:style>
  <w:style w:type="paragraph" w:styleId="Revision">
    <w:name w:val="Revision"/>
    <w:hidden/>
    <w:uiPriority w:val="99"/>
    <w:semiHidden/>
    <w:rsid w:val="0043237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D6E7E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BE649-95B2-4F16-BD26-5542D467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FEMP Template for Evaluating ESCO Preliminary Assessment</vt:lpstr>
    </vt:vector>
  </TitlesOfParts>
  <Manager>Bill Raup; Skye Schell; Timothy Unruh</Manager>
  <Company>DOE Federal Energy Management Program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FEMP Template for Evaluating ESCO Preliminary Assessment</dc:title>
  <dc:creator>braup</dc:creator>
  <cp:lastModifiedBy>Sharp, Terry R.</cp:lastModifiedBy>
  <cp:revision>3</cp:revision>
  <cp:lastPrinted>2016-03-08T14:53:00Z</cp:lastPrinted>
  <dcterms:created xsi:type="dcterms:W3CDTF">2018-11-20T16:54:00Z</dcterms:created>
  <dcterms:modified xsi:type="dcterms:W3CDTF">2018-11-20T16:57:00Z</dcterms:modified>
</cp:coreProperties>
</file>