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A76CF" w14:textId="77777777" w:rsidR="00DA6659" w:rsidRDefault="001346B3" w:rsidP="001346B3">
      <w:pPr>
        <w:jc w:val="center"/>
        <w:rPr>
          <w:b/>
          <w:sz w:val="28"/>
          <w:szCs w:val="28"/>
        </w:rPr>
      </w:pPr>
      <w:r w:rsidRPr="00707708">
        <w:rPr>
          <w:b/>
          <w:sz w:val="28"/>
          <w:szCs w:val="28"/>
        </w:rPr>
        <w:t xml:space="preserve">U.S. Department of Energy </w:t>
      </w:r>
    </w:p>
    <w:p w14:paraId="64BC9E9E" w14:textId="77777777" w:rsidR="00DA6659" w:rsidRDefault="001346B3" w:rsidP="001346B3">
      <w:pPr>
        <w:jc w:val="center"/>
        <w:rPr>
          <w:b/>
          <w:sz w:val="28"/>
          <w:szCs w:val="28"/>
        </w:rPr>
      </w:pPr>
      <w:r w:rsidRPr="00707708">
        <w:rPr>
          <w:b/>
          <w:sz w:val="28"/>
          <w:szCs w:val="28"/>
        </w:rPr>
        <w:t xml:space="preserve">Summary of </w:t>
      </w:r>
      <w:r w:rsidR="00CE4229" w:rsidRPr="00707708">
        <w:rPr>
          <w:b/>
          <w:sz w:val="28"/>
          <w:szCs w:val="28"/>
        </w:rPr>
        <w:t xml:space="preserve">5 CFR Part 2635, </w:t>
      </w:r>
      <w:r w:rsidRPr="00707708">
        <w:rPr>
          <w:b/>
          <w:sz w:val="28"/>
          <w:szCs w:val="28"/>
        </w:rPr>
        <w:t>the Standards of</w:t>
      </w:r>
      <w:r w:rsidR="00CE4229" w:rsidRPr="00707708">
        <w:rPr>
          <w:b/>
          <w:sz w:val="28"/>
          <w:szCs w:val="28"/>
        </w:rPr>
        <w:t xml:space="preserve"> Ethical</w:t>
      </w:r>
      <w:r w:rsidRPr="00707708">
        <w:rPr>
          <w:b/>
          <w:sz w:val="28"/>
          <w:szCs w:val="28"/>
        </w:rPr>
        <w:t xml:space="preserve"> Conduct for </w:t>
      </w:r>
    </w:p>
    <w:p w14:paraId="331DEED0" w14:textId="77777777" w:rsidR="004F073C" w:rsidRPr="00707708" w:rsidRDefault="001346B3" w:rsidP="001346B3">
      <w:pPr>
        <w:jc w:val="center"/>
        <w:rPr>
          <w:b/>
          <w:sz w:val="28"/>
          <w:szCs w:val="28"/>
        </w:rPr>
      </w:pPr>
      <w:r w:rsidRPr="00707708">
        <w:rPr>
          <w:b/>
          <w:sz w:val="28"/>
          <w:szCs w:val="28"/>
        </w:rPr>
        <w:t>Employees of the Executive Branch</w:t>
      </w:r>
    </w:p>
    <w:p w14:paraId="2B31A432" w14:textId="0D0F98F3" w:rsidR="00CA260A" w:rsidRDefault="00CE4229" w:rsidP="00CA260A">
      <w:r>
        <w:t>In 1989, the President’s Commission on Federal Ethics Law Reform recommended that individual agency standards of conduct be replaced with a single regulation applicable to all employees of the executive branch.  Acting upon that recommendation, President Bush signed Executive Order 12674 on April 12, 1989.  That Executive Order (as modified by Executive Order 12731) set out fourteen basic principles of ethical conduct for executive branch personnel and directed the Office of Government Ethics (OGE) to establish a single, comprehensive, and clear set of executive branch standards of ethical conduct.  OGE published the Standards of Ethical Conduct for Employees of the Executive Branch on August 7, 1992.  The regulation because effective on February 3, 1993 and was codified in 5 CFR Part 2635.  Part 2635 has been amen</w:t>
      </w:r>
      <w:r w:rsidRPr="00A259F2">
        <w:t xml:space="preserve">ded several times.  You can </w:t>
      </w:r>
      <w:r w:rsidR="007C4B63">
        <w:t>access</w:t>
      </w:r>
      <w:r w:rsidRPr="00A259F2">
        <w:t xml:space="preserve"> the full text of Part 2635, as amended, at</w:t>
      </w:r>
      <w:r w:rsidR="00CE2951">
        <w:t xml:space="preserve"> </w:t>
      </w:r>
      <w:hyperlink r:id="rId7" w:history="1">
        <w:r w:rsidR="00CA260A">
          <w:rPr>
            <w:rStyle w:val="Hyperlink"/>
          </w:rPr>
          <w:t>https://www.oge.gov/Web/oge.nsf/Resources/Standards+of+Ethical+Conduct+for+Employees+of+the+Executive+Branch</w:t>
        </w:r>
      </w:hyperlink>
      <w:r w:rsidR="001F486C">
        <w:t>.</w:t>
      </w:r>
      <w:bookmarkStart w:id="0" w:name="_GoBack"/>
      <w:bookmarkEnd w:id="0"/>
    </w:p>
    <w:p w14:paraId="1E5F6C1E" w14:textId="2A74E7CF" w:rsidR="00CE4229" w:rsidRPr="00A259F2" w:rsidRDefault="00CA260A" w:rsidP="00CA260A">
      <w:r>
        <w:br/>
      </w:r>
    </w:p>
    <w:p w14:paraId="4DC38A79" w14:textId="77777777" w:rsidR="00CE4229" w:rsidRPr="00A259F2" w:rsidRDefault="00CE4229" w:rsidP="00A259F2">
      <w:pPr>
        <w:jc w:val="center"/>
        <w:rPr>
          <w:b/>
          <w:sz w:val="28"/>
          <w:szCs w:val="28"/>
        </w:rPr>
      </w:pPr>
      <w:r w:rsidRPr="00A259F2">
        <w:rPr>
          <w:b/>
          <w:sz w:val="28"/>
          <w:szCs w:val="28"/>
          <w:u w:val="single"/>
        </w:rPr>
        <w:t>Brief Summary of Employee Standards of Conduct</w:t>
      </w:r>
    </w:p>
    <w:p w14:paraId="61A41A0C" w14:textId="77777777" w:rsidR="00CE4229" w:rsidRPr="00A259F2" w:rsidRDefault="00CE4229" w:rsidP="00CE4229">
      <w:pPr>
        <w:rPr>
          <w:b/>
          <w:sz w:val="24"/>
          <w:szCs w:val="24"/>
        </w:rPr>
      </w:pPr>
      <w:r w:rsidRPr="00A259F2">
        <w:rPr>
          <w:b/>
          <w:sz w:val="24"/>
          <w:szCs w:val="24"/>
        </w:rPr>
        <w:t xml:space="preserve">Subpart </w:t>
      </w:r>
      <w:proofErr w:type="gramStart"/>
      <w:r w:rsidRPr="00A259F2">
        <w:rPr>
          <w:b/>
          <w:sz w:val="24"/>
          <w:szCs w:val="24"/>
        </w:rPr>
        <w:t>A</w:t>
      </w:r>
      <w:proofErr w:type="gramEnd"/>
      <w:r w:rsidRPr="00A259F2">
        <w:rPr>
          <w:b/>
          <w:sz w:val="24"/>
          <w:szCs w:val="24"/>
        </w:rPr>
        <w:t xml:space="preserve"> – General Provisions</w:t>
      </w:r>
    </w:p>
    <w:p w14:paraId="6F88333F" w14:textId="77777777" w:rsidR="001346B3" w:rsidRPr="00A259F2" w:rsidRDefault="00A259F2" w:rsidP="00A259F2">
      <w:pPr>
        <w:rPr>
          <w:rFonts w:eastAsia="Times New Roman" w:cs="Arial"/>
          <w:color w:val="000000"/>
        </w:rPr>
      </w:pPr>
      <w:r w:rsidRPr="00A259F2">
        <w:t>Subpart A establishes the framework for the rest of the regulation.  It includes definitions, provides authority for supplementation of the regulations</w:t>
      </w:r>
      <w:r w:rsidR="001346B3" w:rsidRPr="001346B3">
        <w:rPr>
          <w:rFonts w:eastAsia="Times New Roman" w:cs="Arial"/>
          <w:color w:val="000000"/>
        </w:rPr>
        <w:t xml:space="preserve"> when necessary by individual agencies, and encourages employees to seek advice from agency ethics officials. It also:</w:t>
      </w:r>
    </w:p>
    <w:p w14:paraId="5722DF83" w14:textId="77777777" w:rsidR="001346B3" w:rsidRPr="001346B3" w:rsidRDefault="001346B3" w:rsidP="00A259F2">
      <w:pPr>
        <w:numPr>
          <w:ilvl w:val="0"/>
          <w:numId w:val="1"/>
        </w:numPr>
        <w:spacing w:before="100" w:beforeAutospacing="1" w:after="100" w:afterAutospacing="1" w:line="240" w:lineRule="auto"/>
        <w:ind w:left="600" w:right="225"/>
        <w:rPr>
          <w:rFonts w:eastAsia="Times New Roman" w:cs="Arial"/>
          <w:color w:val="000000"/>
        </w:rPr>
      </w:pPr>
      <w:r w:rsidRPr="001346B3">
        <w:rPr>
          <w:rFonts w:eastAsia="Times New Roman" w:cs="Arial"/>
          <w:color w:val="000000"/>
        </w:rPr>
        <w:t>Restates the 14 principles of ethical conduct and instructs employees to apply them when considering situations not specifically addressed by the regulation; and</w:t>
      </w:r>
    </w:p>
    <w:p w14:paraId="6FE58685" w14:textId="77777777" w:rsidR="001346B3" w:rsidRPr="001346B3" w:rsidRDefault="001346B3" w:rsidP="00A259F2">
      <w:pPr>
        <w:numPr>
          <w:ilvl w:val="0"/>
          <w:numId w:val="1"/>
        </w:numPr>
        <w:spacing w:before="100" w:beforeAutospacing="1" w:after="100" w:afterAutospacing="1" w:line="240" w:lineRule="auto"/>
        <w:ind w:left="600" w:right="225"/>
        <w:rPr>
          <w:rFonts w:eastAsia="Times New Roman" w:cs="Arial"/>
          <w:color w:val="000000"/>
        </w:rPr>
      </w:pPr>
      <w:r w:rsidRPr="001346B3">
        <w:rPr>
          <w:rFonts w:eastAsia="Times New Roman" w:cs="Arial"/>
          <w:color w:val="000000"/>
        </w:rPr>
        <w:t>For situations that involve appearances of conflicts, provides that the circumstances be judged from the perspective of a reasonable person with knowledge of the relevant facts.</w:t>
      </w:r>
    </w:p>
    <w:p w14:paraId="536685AA" w14:textId="77777777" w:rsidR="001346B3" w:rsidRPr="001346B3" w:rsidRDefault="001346B3" w:rsidP="00A259F2">
      <w:pPr>
        <w:spacing w:before="100" w:beforeAutospacing="1" w:after="100" w:afterAutospacing="1" w:line="240" w:lineRule="auto"/>
        <w:rPr>
          <w:rFonts w:eastAsia="Times New Roman" w:cs="Arial"/>
          <w:color w:val="000000"/>
        </w:rPr>
      </w:pPr>
      <w:r w:rsidRPr="001346B3">
        <w:rPr>
          <w:rFonts w:eastAsia="Times New Roman" w:cs="Arial"/>
          <w:b/>
          <w:bCs/>
          <w:color w:val="000000"/>
          <w:sz w:val="24"/>
          <w:szCs w:val="24"/>
        </w:rPr>
        <w:t>Subpart B - Gifts from Outside Sources</w:t>
      </w:r>
      <w:r w:rsidRPr="001346B3">
        <w:rPr>
          <w:rFonts w:eastAsia="Times New Roman" w:cs="Arial"/>
          <w:color w:val="000000"/>
        </w:rPr>
        <w:br/>
      </w:r>
      <w:r w:rsidRPr="001346B3">
        <w:rPr>
          <w:rFonts w:eastAsia="Times New Roman" w:cs="Arial"/>
          <w:color w:val="000000"/>
        </w:rPr>
        <w:br/>
        <w:t>Subpart B prohibits employees from soliciting or accepting gifts from prohibited sources or gifts given because of their official position. The term "prohibited source" includes anyone seeking business with or official action by an employee's agency and anyone substantially affected by the performance of the employee's duties. For example, a company bidding for an agency contract or a person seeking an agency grant would be a prohibited source of gifts to employees of that agency.</w:t>
      </w:r>
    </w:p>
    <w:p w14:paraId="1F22B396" w14:textId="77777777" w:rsidR="001346B3" w:rsidRPr="001346B3" w:rsidRDefault="001346B3" w:rsidP="00A259F2">
      <w:pPr>
        <w:spacing w:before="100" w:beforeAutospacing="1" w:after="100" w:afterAutospacing="1" w:line="240" w:lineRule="auto"/>
        <w:rPr>
          <w:rFonts w:eastAsia="Times New Roman" w:cs="Arial"/>
          <w:color w:val="000000"/>
        </w:rPr>
      </w:pPr>
      <w:r w:rsidRPr="001346B3">
        <w:rPr>
          <w:rFonts w:eastAsia="Times New Roman" w:cs="Arial"/>
          <w:color w:val="000000"/>
        </w:rPr>
        <w:t>The term "gift" is defined to include nearly anything of market value. However, it does not include items that clearly are not gifts, such as publicly available discounts and commercial loans and it does not include certain inconsequential items, such as coffee, donuts, greeting cards, and certificates.</w:t>
      </w:r>
    </w:p>
    <w:p w14:paraId="11503964" w14:textId="77777777" w:rsidR="001346B3" w:rsidRPr="001346B3" w:rsidRDefault="001346B3" w:rsidP="00A259F2">
      <w:pPr>
        <w:spacing w:before="100" w:beforeAutospacing="1" w:after="100" w:afterAutospacing="1" w:line="240" w:lineRule="auto"/>
        <w:rPr>
          <w:rFonts w:eastAsia="Times New Roman" w:cs="Arial"/>
          <w:color w:val="000000"/>
        </w:rPr>
      </w:pPr>
      <w:r w:rsidRPr="001346B3">
        <w:rPr>
          <w:rFonts w:eastAsia="Times New Roman" w:cs="Arial"/>
          <w:color w:val="000000"/>
        </w:rPr>
        <w:lastRenderedPageBreak/>
        <w:t>There are several exceptions to the prohibitions against gifts from outside sources. For example, with some limitations, employees may accept:</w:t>
      </w:r>
    </w:p>
    <w:p w14:paraId="4DB67823" w14:textId="77777777" w:rsidR="001346B3" w:rsidRPr="001346B3" w:rsidRDefault="001346B3" w:rsidP="00A259F2">
      <w:pPr>
        <w:numPr>
          <w:ilvl w:val="0"/>
          <w:numId w:val="2"/>
        </w:numPr>
        <w:spacing w:before="100" w:beforeAutospacing="1" w:after="100" w:afterAutospacing="1" w:line="240" w:lineRule="auto"/>
        <w:ind w:left="600" w:right="225"/>
        <w:rPr>
          <w:rFonts w:eastAsia="Times New Roman" w:cs="Arial"/>
          <w:color w:val="000000"/>
        </w:rPr>
      </w:pPr>
      <w:r w:rsidRPr="001346B3">
        <w:rPr>
          <w:rFonts w:eastAsia="Times New Roman" w:cs="Arial"/>
          <w:color w:val="000000"/>
        </w:rPr>
        <w:t>Unsolicited gifts with a market value of $20 or less per occasion, aggregating no more than $50 in a calendar year from any single source;</w:t>
      </w:r>
    </w:p>
    <w:p w14:paraId="6C2BA324" w14:textId="77777777" w:rsidR="001346B3" w:rsidRPr="001346B3" w:rsidRDefault="001346B3" w:rsidP="00A259F2">
      <w:pPr>
        <w:numPr>
          <w:ilvl w:val="0"/>
          <w:numId w:val="2"/>
        </w:numPr>
        <w:spacing w:before="100" w:beforeAutospacing="1" w:after="100" w:afterAutospacing="1" w:line="240" w:lineRule="auto"/>
        <w:ind w:left="600" w:right="225"/>
        <w:rPr>
          <w:rFonts w:eastAsia="Times New Roman" w:cs="Arial"/>
          <w:color w:val="000000"/>
        </w:rPr>
      </w:pPr>
      <w:r w:rsidRPr="001346B3">
        <w:rPr>
          <w:rFonts w:eastAsia="Times New Roman" w:cs="Arial"/>
          <w:color w:val="000000"/>
        </w:rPr>
        <w:t>Gifts motivated by a family relationship or personal friendship;</w:t>
      </w:r>
    </w:p>
    <w:p w14:paraId="611E8068" w14:textId="77777777" w:rsidR="001346B3" w:rsidRPr="001346B3" w:rsidRDefault="001346B3" w:rsidP="00A259F2">
      <w:pPr>
        <w:numPr>
          <w:ilvl w:val="0"/>
          <w:numId w:val="2"/>
        </w:numPr>
        <w:spacing w:before="100" w:beforeAutospacing="1" w:after="100" w:afterAutospacing="1" w:line="240" w:lineRule="auto"/>
        <w:ind w:left="600" w:right="225"/>
        <w:rPr>
          <w:rFonts w:eastAsia="Times New Roman" w:cs="Arial"/>
          <w:color w:val="000000"/>
        </w:rPr>
      </w:pPr>
      <w:r w:rsidRPr="001346B3">
        <w:rPr>
          <w:rFonts w:eastAsia="Times New Roman" w:cs="Arial"/>
          <w:color w:val="000000"/>
        </w:rPr>
        <w:t>Free attendance at certain widely-attended gatherings, such as conferences and receptions, when the cost of attendance is borne by the sponsor of the event; and</w:t>
      </w:r>
    </w:p>
    <w:p w14:paraId="6A30F803" w14:textId="77777777" w:rsidR="001346B3" w:rsidRPr="001346B3" w:rsidRDefault="001346B3" w:rsidP="00A259F2">
      <w:pPr>
        <w:numPr>
          <w:ilvl w:val="0"/>
          <w:numId w:val="2"/>
        </w:numPr>
        <w:spacing w:before="100" w:beforeAutospacing="1" w:after="100" w:afterAutospacing="1" w:line="240" w:lineRule="auto"/>
        <w:ind w:left="600" w:right="225"/>
        <w:rPr>
          <w:rFonts w:eastAsia="Times New Roman" w:cs="Arial"/>
          <w:color w:val="000000"/>
        </w:rPr>
      </w:pPr>
      <w:r w:rsidRPr="001346B3">
        <w:rPr>
          <w:rFonts w:eastAsia="Times New Roman" w:cs="Arial"/>
          <w:color w:val="000000"/>
        </w:rPr>
        <w:t>Food, refreshments, and entertainment at certain meetings or events while on duty in a foreign country.</w:t>
      </w:r>
    </w:p>
    <w:p w14:paraId="73A769F2" w14:textId="77777777" w:rsidR="001346B3" w:rsidRPr="001346B3" w:rsidRDefault="001346B3" w:rsidP="00A259F2">
      <w:pPr>
        <w:spacing w:before="100" w:beforeAutospacing="1" w:after="100" w:afterAutospacing="1" w:line="240" w:lineRule="auto"/>
        <w:rPr>
          <w:rFonts w:eastAsia="Times New Roman" w:cs="Arial"/>
          <w:color w:val="000000"/>
        </w:rPr>
      </w:pPr>
      <w:r w:rsidRPr="001346B3">
        <w:rPr>
          <w:rFonts w:eastAsia="Times New Roman" w:cs="Arial"/>
          <w:color w:val="000000"/>
        </w:rPr>
        <w:t>The subpart also contains guidance on returning or paying for gifts that cannot be accepted.</w:t>
      </w:r>
      <w:r w:rsidR="00A259F2">
        <w:rPr>
          <w:rFonts w:eastAsia="Times New Roman" w:cs="Arial"/>
          <w:color w:val="000000"/>
        </w:rPr>
        <w:br/>
      </w:r>
      <w:r w:rsidRPr="001346B3">
        <w:rPr>
          <w:rFonts w:eastAsia="Times New Roman" w:cs="Arial"/>
          <w:color w:val="000000"/>
        </w:rPr>
        <w:br/>
      </w:r>
      <w:r w:rsidRPr="001346B3">
        <w:rPr>
          <w:rFonts w:eastAsia="Times New Roman" w:cs="Arial"/>
          <w:b/>
          <w:bCs/>
          <w:color w:val="000000"/>
          <w:sz w:val="24"/>
          <w:szCs w:val="24"/>
        </w:rPr>
        <w:t>Subpart C - Gifts Between Employees</w:t>
      </w:r>
      <w:r w:rsidRPr="001346B3">
        <w:rPr>
          <w:rFonts w:eastAsia="Times New Roman" w:cs="Arial"/>
          <w:color w:val="000000"/>
        </w:rPr>
        <w:br/>
      </w:r>
      <w:r w:rsidRPr="001346B3">
        <w:rPr>
          <w:rFonts w:eastAsia="Times New Roman" w:cs="Arial"/>
          <w:color w:val="000000"/>
        </w:rPr>
        <w:br/>
        <w:t>Subpart C prohibits employees from:</w:t>
      </w:r>
    </w:p>
    <w:p w14:paraId="78986777" w14:textId="77777777" w:rsidR="001346B3" w:rsidRPr="001346B3" w:rsidRDefault="001346B3" w:rsidP="00A259F2">
      <w:pPr>
        <w:numPr>
          <w:ilvl w:val="0"/>
          <w:numId w:val="3"/>
        </w:numPr>
        <w:spacing w:before="100" w:beforeAutospacing="1" w:after="100" w:afterAutospacing="1" w:line="240" w:lineRule="auto"/>
        <w:ind w:left="600" w:right="225"/>
        <w:rPr>
          <w:rFonts w:eastAsia="Times New Roman" w:cs="Arial"/>
          <w:color w:val="000000"/>
        </w:rPr>
      </w:pPr>
      <w:r w:rsidRPr="001346B3">
        <w:rPr>
          <w:rFonts w:eastAsia="Times New Roman" w:cs="Arial"/>
          <w:color w:val="000000"/>
        </w:rPr>
        <w:t>Giving or soliciting for a gift to another employee who is an official superior; or</w:t>
      </w:r>
    </w:p>
    <w:p w14:paraId="09C6387E" w14:textId="77777777" w:rsidR="00A259F2" w:rsidRDefault="001346B3" w:rsidP="00A259F2">
      <w:pPr>
        <w:numPr>
          <w:ilvl w:val="0"/>
          <w:numId w:val="3"/>
        </w:numPr>
        <w:spacing w:before="100" w:beforeAutospacing="1" w:after="100" w:afterAutospacing="1" w:line="240" w:lineRule="auto"/>
        <w:ind w:left="600" w:right="225"/>
        <w:rPr>
          <w:rFonts w:eastAsia="Times New Roman" w:cs="Arial"/>
          <w:color w:val="000000"/>
        </w:rPr>
      </w:pPr>
      <w:r w:rsidRPr="001346B3">
        <w:rPr>
          <w:rFonts w:eastAsia="Times New Roman" w:cs="Arial"/>
          <w:color w:val="000000"/>
        </w:rPr>
        <w:t>Accepting a gift from a lower-paid employee, unless the two employees are personal friends who are not in a superior-subordinate relationship.</w:t>
      </w:r>
    </w:p>
    <w:p w14:paraId="147201C8" w14:textId="77777777" w:rsidR="001346B3" w:rsidRPr="001346B3" w:rsidRDefault="001346B3" w:rsidP="00A259F2">
      <w:pPr>
        <w:spacing w:before="100" w:beforeAutospacing="1" w:after="100" w:afterAutospacing="1" w:line="240" w:lineRule="auto"/>
        <w:ind w:right="225"/>
        <w:rPr>
          <w:rFonts w:eastAsia="Times New Roman" w:cs="Arial"/>
          <w:color w:val="000000"/>
        </w:rPr>
      </w:pPr>
      <w:r w:rsidRPr="001346B3">
        <w:rPr>
          <w:rFonts w:eastAsia="Times New Roman" w:cs="Arial"/>
          <w:color w:val="000000"/>
        </w:rPr>
        <w:t>The following are among the exceptions to these prohibitions:</w:t>
      </w:r>
    </w:p>
    <w:p w14:paraId="74BB1E7C" w14:textId="77777777" w:rsidR="001346B3" w:rsidRPr="001346B3" w:rsidRDefault="001346B3" w:rsidP="00A259F2">
      <w:pPr>
        <w:numPr>
          <w:ilvl w:val="0"/>
          <w:numId w:val="4"/>
        </w:numPr>
        <w:spacing w:before="100" w:beforeAutospacing="1" w:after="100" w:afterAutospacing="1" w:line="240" w:lineRule="auto"/>
        <w:ind w:left="600" w:right="225"/>
        <w:rPr>
          <w:rFonts w:eastAsia="Times New Roman" w:cs="Arial"/>
          <w:color w:val="000000"/>
        </w:rPr>
      </w:pPr>
      <w:r w:rsidRPr="001346B3">
        <w:rPr>
          <w:rFonts w:eastAsia="Times New Roman" w:cs="Arial"/>
          <w:color w:val="000000"/>
        </w:rPr>
        <w:t>On an occasional basis, employees may give and accept items aggregating $10 or less per occasion, food and refreshments shared in the office, or personal hospitality at a residence. This exception can be used for birthdays and those holidays when gifts are traditionally exchanged.</w:t>
      </w:r>
    </w:p>
    <w:p w14:paraId="498D6A2A" w14:textId="77777777" w:rsidR="001346B3" w:rsidRPr="001346B3" w:rsidRDefault="001346B3" w:rsidP="00A259F2">
      <w:pPr>
        <w:numPr>
          <w:ilvl w:val="0"/>
          <w:numId w:val="4"/>
        </w:numPr>
        <w:spacing w:before="100" w:beforeAutospacing="1" w:after="100" w:afterAutospacing="1" w:line="240" w:lineRule="auto"/>
        <w:ind w:left="600" w:right="225"/>
        <w:rPr>
          <w:rFonts w:eastAsia="Times New Roman" w:cs="Arial"/>
          <w:color w:val="000000"/>
        </w:rPr>
      </w:pPr>
      <w:r w:rsidRPr="001346B3">
        <w:rPr>
          <w:rFonts w:eastAsia="Times New Roman" w:cs="Arial"/>
          <w:color w:val="000000"/>
        </w:rPr>
        <w:t>On infrequent occasions of personal significance, such as marriage, and on occasions that terminate the superior-subordinate relationship, such as retirement, employees may give and accept gifts appropriate to the occasion and they may make or solicit voluntary contributions of nominal value for group gifts.</w:t>
      </w:r>
    </w:p>
    <w:p w14:paraId="512EB57B" w14:textId="77777777" w:rsidR="001346B3" w:rsidRPr="001346B3" w:rsidRDefault="001346B3" w:rsidP="00A259F2">
      <w:pPr>
        <w:spacing w:before="100" w:beforeAutospacing="1" w:after="100" w:afterAutospacing="1" w:line="240" w:lineRule="auto"/>
        <w:rPr>
          <w:rFonts w:eastAsia="Times New Roman" w:cs="Arial"/>
          <w:color w:val="000000"/>
        </w:rPr>
      </w:pPr>
      <w:r w:rsidRPr="001346B3">
        <w:rPr>
          <w:rFonts w:eastAsia="Times New Roman" w:cs="Arial"/>
          <w:b/>
          <w:bCs/>
          <w:color w:val="000000"/>
          <w:sz w:val="24"/>
          <w:szCs w:val="24"/>
        </w:rPr>
        <w:t>Subpart D - Conflicting Financial Interests</w:t>
      </w:r>
      <w:r w:rsidRPr="001346B3">
        <w:rPr>
          <w:rFonts w:eastAsia="Times New Roman" w:cs="Arial"/>
          <w:color w:val="000000"/>
        </w:rPr>
        <w:br/>
      </w:r>
      <w:r w:rsidRPr="001346B3">
        <w:rPr>
          <w:rFonts w:eastAsia="Times New Roman" w:cs="Arial"/>
          <w:color w:val="000000"/>
        </w:rPr>
        <w:br/>
        <w:t>Subpart D contains two provisions designed to deal with financial interests that conflict with employees' official duties.</w:t>
      </w:r>
    </w:p>
    <w:p w14:paraId="07F522ED" w14:textId="77777777" w:rsidR="001346B3" w:rsidRPr="001346B3" w:rsidRDefault="001346B3" w:rsidP="00A259F2">
      <w:pPr>
        <w:spacing w:before="100" w:beforeAutospacing="1" w:after="100" w:afterAutospacing="1" w:line="240" w:lineRule="auto"/>
        <w:rPr>
          <w:rFonts w:eastAsia="Times New Roman" w:cs="Arial"/>
          <w:color w:val="000000"/>
        </w:rPr>
      </w:pPr>
      <w:r w:rsidRPr="001346B3">
        <w:rPr>
          <w:rFonts w:eastAsia="Times New Roman" w:cs="Arial"/>
          <w:color w:val="000000"/>
        </w:rPr>
        <w:t>The first provision, entitled "Disqualifying financial interests," prohibits an employee from participating in an official government capacity in a matter in which he has a financial interest or in which his spouse, minor child, employer, or any one of several other specified persons has a financial interest. For example, an agency purchasing agent could not place an agency order for computer software with a company owned by his wife. The provision includes alternatives to nonparticipation, which may involve selling or giving up the conflicting interest or obtaining a statutory waiver that will permit the employee to continue to perform specific official duties.</w:t>
      </w:r>
    </w:p>
    <w:p w14:paraId="62499F82" w14:textId="77777777" w:rsidR="001346B3" w:rsidRPr="001346B3" w:rsidRDefault="001346B3" w:rsidP="00A259F2">
      <w:pPr>
        <w:spacing w:before="100" w:beforeAutospacing="1" w:after="100" w:afterAutospacing="1" w:line="240" w:lineRule="auto"/>
        <w:rPr>
          <w:rFonts w:eastAsia="Times New Roman" w:cs="Arial"/>
          <w:color w:val="000000"/>
        </w:rPr>
      </w:pPr>
      <w:r w:rsidRPr="001346B3">
        <w:rPr>
          <w:rFonts w:eastAsia="Times New Roman" w:cs="Arial"/>
          <w:color w:val="000000"/>
        </w:rPr>
        <w:t>The second provision, entitled "Prohibited financial interests," contains authority by which agencies may prohibit employee from acquiring or retaining certain financial interests.</w:t>
      </w:r>
    </w:p>
    <w:p w14:paraId="3D792E05" w14:textId="77777777" w:rsidR="00DA6659" w:rsidRDefault="001346B3" w:rsidP="00A259F2">
      <w:pPr>
        <w:spacing w:before="100" w:beforeAutospacing="1" w:after="100" w:afterAutospacing="1" w:line="240" w:lineRule="auto"/>
        <w:rPr>
          <w:rFonts w:eastAsia="Times New Roman" w:cs="Arial"/>
          <w:b/>
          <w:bCs/>
          <w:color w:val="000000"/>
          <w:sz w:val="24"/>
          <w:szCs w:val="24"/>
        </w:rPr>
      </w:pPr>
      <w:r w:rsidRPr="001346B3">
        <w:rPr>
          <w:rFonts w:eastAsia="Times New Roman" w:cs="Arial"/>
          <w:color w:val="000000"/>
        </w:rPr>
        <w:lastRenderedPageBreak/>
        <w:t>Employees required by Subpart D to sell financial interests may be eligible to defer the tax consequences of that divestiture.</w:t>
      </w:r>
      <w:r w:rsidRPr="001346B3">
        <w:rPr>
          <w:rFonts w:eastAsia="Times New Roman" w:cs="Arial"/>
          <w:color w:val="000000"/>
        </w:rPr>
        <w:br/>
      </w:r>
      <w:r w:rsidRPr="001346B3">
        <w:rPr>
          <w:rFonts w:eastAsia="Times New Roman" w:cs="Arial"/>
          <w:color w:val="000000"/>
        </w:rPr>
        <w:br/>
      </w:r>
    </w:p>
    <w:p w14:paraId="6CE74FF4" w14:textId="77777777" w:rsidR="001346B3" w:rsidRPr="001346B3" w:rsidRDefault="001346B3" w:rsidP="00A259F2">
      <w:pPr>
        <w:spacing w:before="100" w:beforeAutospacing="1" w:after="100" w:afterAutospacing="1" w:line="240" w:lineRule="auto"/>
        <w:rPr>
          <w:rFonts w:eastAsia="Times New Roman" w:cs="Arial"/>
          <w:color w:val="000000"/>
        </w:rPr>
      </w:pPr>
      <w:r w:rsidRPr="001346B3">
        <w:rPr>
          <w:rFonts w:eastAsia="Times New Roman" w:cs="Arial"/>
          <w:b/>
          <w:bCs/>
          <w:color w:val="000000"/>
          <w:sz w:val="24"/>
          <w:szCs w:val="24"/>
        </w:rPr>
        <w:t>Subpart E - Impartiality in Performing Official Duties</w:t>
      </w:r>
      <w:r w:rsidRPr="001346B3">
        <w:rPr>
          <w:rFonts w:eastAsia="Times New Roman" w:cs="Arial"/>
          <w:color w:val="000000"/>
        </w:rPr>
        <w:br/>
      </w:r>
      <w:r w:rsidRPr="001346B3">
        <w:rPr>
          <w:rFonts w:eastAsia="Times New Roman" w:cs="Arial"/>
          <w:color w:val="000000"/>
        </w:rPr>
        <w:br/>
        <w:t>There may be circumstances other than those covered by Subpart D in which employees should not perform official duties in order to avoid an appearance of loss of impartiality. Subpart E contains two disqualification provisions addressing those appearance issues.</w:t>
      </w:r>
    </w:p>
    <w:p w14:paraId="00F33131" w14:textId="77777777" w:rsidR="001346B3" w:rsidRPr="001346B3" w:rsidRDefault="001346B3" w:rsidP="00A259F2">
      <w:pPr>
        <w:spacing w:before="100" w:beforeAutospacing="1" w:after="100" w:afterAutospacing="1" w:line="240" w:lineRule="auto"/>
        <w:rPr>
          <w:rFonts w:eastAsia="Times New Roman" w:cs="Arial"/>
          <w:color w:val="000000"/>
        </w:rPr>
      </w:pPr>
      <w:r w:rsidRPr="001346B3">
        <w:rPr>
          <w:rFonts w:eastAsia="Times New Roman" w:cs="Arial"/>
          <w:color w:val="000000"/>
        </w:rPr>
        <w:t>The first provision, entitled "Personal and business relationships," states that employees should obtain specific authorization before participating in certain Government matters where their impartiality is likely to be questioned. The matters specifically covered by this standard include those:</w:t>
      </w:r>
    </w:p>
    <w:p w14:paraId="0CB2C77F" w14:textId="77777777" w:rsidR="001346B3" w:rsidRPr="001346B3" w:rsidRDefault="001346B3" w:rsidP="00A259F2">
      <w:pPr>
        <w:numPr>
          <w:ilvl w:val="0"/>
          <w:numId w:val="5"/>
        </w:numPr>
        <w:spacing w:before="100" w:beforeAutospacing="1" w:after="100" w:afterAutospacing="1" w:line="240" w:lineRule="auto"/>
        <w:ind w:left="600" w:right="225"/>
        <w:rPr>
          <w:rFonts w:eastAsia="Times New Roman" w:cs="Arial"/>
          <w:color w:val="000000"/>
        </w:rPr>
      </w:pPr>
      <w:r w:rsidRPr="001346B3">
        <w:rPr>
          <w:rFonts w:eastAsia="Times New Roman" w:cs="Arial"/>
          <w:color w:val="000000"/>
        </w:rPr>
        <w:t>Involving specific parties, such as contracts, grants, or investigations, that are likely to affect the financial interests of members of employees' households; or</w:t>
      </w:r>
    </w:p>
    <w:p w14:paraId="419C0A6F" w14:textId="77777777" w:rsidR="001346B3" w:rsidRPr="001346B3" w:rsidRDefault="001346B3" w:rsidP="00A259F2">
      <w:pPr>
        <w:numPr>
          <w:ilvl w:val="0"/>
          <w:numId w:val="5"/>
        </w:numPr>
        <w:spacing w:before="100" w:beforeAutospacing="1" w:after="100" w:afterAutospacing="1" w:line="240" w:lineRule="auto"/>
        <w:ind w:left="600" w:right="225"/>
        <w:rPr>
          <w:rFonts w:eastAsia="Times New Roman" w:cs="Arial"/>
          <w:color w:val="000000"/>
        </w:rPr>
      </w:pPr>
      <w:r w:rsidRPr="001346B3">
        <w:rPr>
          <w:rFonts w:eastAsia="Times New Roman" w:cs="Arial"/>
          <w:color w:val="000000"/>
        </w:rPr>
        <w:t>In which persons with whom employees have specific relationships are parties or represent parties. This would include, for example, matters involving recent employers, employers of spouses or minor children, or anyone with whom the employees have or seek a business or financial relationship.</w:t>
      </w:r>
    </w:p>
    <w:p w14:paraId="1A492B9E" w14:textId="77777777" w:rsidR="001346B3" w:rsidRPr="001346B3" w:rsidRDefault="001346B3" w:rsidP="00A259F2">
      <w:pPr>
        <w:spacing w:before="100" w:beforeAutospacing="1" w:after="100" w:afterAutospacing="1" w:line="240" w:lineRule="auto"/>
        <w:rPr>
          <w:rFonts w:eastAsia="Times New Roman" w:cs="Arial"/>
          <w:color w:val="000000"/>
        </w:rPr>
      </w:pPr>
      <w:r w:rsidRPr="001346B3">
        <w:rPr>
          <w:rFonts w:eastAsia="Times New Roman" w:cs="Arial"/>
          <w:color w:val="000000"/>
        </w:rPr>
        <w:t>There are procedures by which employees may be authorized to participate in such matters when it serves the employing agency's interests. The process set out in Subpart E should be used to address any matter in which an employee's impartiality is likely to be questioned.</w:t>
      </w:r>
    </w:p>
    <w:p w14:paraId="041AFBC2" w14:textId="77777777" w:rsidR="001346B3" w:rsidRPr="001346B3" w:rsidRDefault="001346B3" w:rsidP="00A259F2">
      <w:pPr>
        <w:spacing w:before="100" w:beforeAutospacing="1" w:after="100" w:afterAutospacing="1" w:line="240" w:lineRule="auto"/>
        <w:rPr>
          <w:rFonts w:eastAsia="Times New Roman" w:cs="Arial"/>
          <w:color w:val="000000"/>
        </w:rPr>
      </w:pPr>
      <w:r w:rsidRPr="001346B3">
        <w:rPr>
          <w:rFonts w:eastAsia="Times New Roman" w:cs="Arial"/>
          <w:color w:val="000000"/>
        </w:rPr>
        <w:t>The second provision, entitled "Extraordinary payments from former employers," restricts employees' participation in certain matters involving former employers. If a former employer gave an employee an "extraordinary payment" in excess of $10,000 prior to entering Federal service, it bars the employee from participating for two years in matters in which that former employer is a party or represents a party. A $25,000 payment voted on an ad hoc basis by a board of directors would be an "extraordinary payment." A routine severance payment made under an established employee benefit plan would not.</w:t>
      </w:r>
      <w:r w:rsidRPr="001346B3">
        <w:rPr>
          <w:rFonts w:eastAsia="Times New Roman" w:cs="Arial"/>
          <w:color w:val="000000"/>
        </w:rPr>
        <w:br/>
      </w:r>
      <w:r w:rsidRPr="001346B3">
        <w:rPr>
          <w:rFonts w:eastAsia="Times New Roman" w:cs="Arial"/>
          <w:color w:val="000000"/>
        </w:rPr>
        <w:br/>
      </w:r>
      <w:r w:rsidRPr="001346B3">
        <w:rPr>
          <w:rFonts w:eastAsia="Times New Roman" w:cs="Arial"/>
          <w:b/>
          <w:bCs/>
          <w:color w:val="000000"/>
          <w:sz w:val="24"/>
          <w:szCs w:val="24"/>
        </w:rPr>
        <w:t>Subpart F - Seeking Other Employment</w:t>
      </w:r>
      <w:r w:rsidRPr="001346B3">
        <w:rPr>
          <w:rFonts w:eastAsia="Times New Roman" w:cs="Arial"/>
          <w:color w:val="000000"/>
          <w:sz w:val="24"/>
          <w:szCs w:val="24"/>
        </w:rPr>
        <w:br/>
      </w:r>
      <w:r w:rsidRPr="001346B3">
        <w:rPr>
          <w:rFonts w:eastAsia="Times New Roman" w:cs="Arial"/>
          <w:color w:val="000000"/>
        </w:rPr>
        <w:br/>
        <w:t>Subpart F prohibits employees from participating in their official capacities in particular matters that have a direct and predictable effect on the financial interests of persons with whom they are "seeking employment" or with whom they have an arrangement concerning future employment. Employees who are public financial disclosure report filers are subject to additional notification and recusal requirements when they negotiate for or have an agreement of future employment or compensation with a non-Federal entity.</w:t>
      </w:r>
    </w:p>
    <w:p w14:paraId="1A38ED2A" w14:textId="77777777" w:rsidR="001346B3" w:rsidRPr="001346B3" w:rsidRDefault="001346B3" w:rsidP="00A259F2">
      <w:pPr>
        <w:spacing w:before="100" w:beforeAutospacing="1" w:after="100" w:afterAutospacing="1" w:line="240" w:lineRule="auto"/>
        <w:rPr>
          <w:rFonts w:eastAsia="Times New Roman" w:cs="Arial"/>
          <w:color w:val="000000"/>
        </w:rPr>
      </w:pPr>
      <w:r w:rsidRPr="001346B3">
        <w:rPr>
          <w:rFonts w:eastAsia="Times New Roman" w:cs="Arial"/>
          <w:color w:val="000000"/>
        </w:rPr>
        <w:t>The term "seeking employment" encompasses actual employment negotiations as well as more preliminary efforts to obtain employment, such as sending an unsolicited resume. It does not include merely requesting a job application.</w:t>
      </w:r>
    </w:p>
    <w:p w14:paraId="14EF13C4" w14:textId="77777777" w:rsidR="00707708" w:rsidRDefault="001346B3" w:rsidP="00A259F2">
      <w:pPr>
        <w:spacing w:before="100" w:beforeAutospacing="1" w:after="100" w:afterAutospacing="1" w:line="240" w:lineRule="auto"/>
        <w:rPr>
          <w:rFonts w:eastAsia="Times New Roman" w:cs="Arial"/>
          <w:color w:val="000000"/>
        </w:rPr>
      </w:pPr>
      <w:r w:rsidRPr="001346B3">
        <w:rPr>
          <w:rFonts w:eastAsia="Times New Roman" w:cs="Arial"/>
          <w:color w:val="000000"/>
        </w:rPr>
        <w:lastRenderedPageBreak/>
        <w:t>An employee generally continues to be "seeking employment" until the employee or the prospective employer rejects the possibility of employment and all discussions end. A response on the part of an employee that defers discussions until the foreseeable future does not constitute rejection. An employee is no longer "seeking employment" with the recipient of an unsolicited resume after two months have passed with no response.</w:t>
      </w:r>
      <w:r w:rsidR="008B3FC0">
        <w:rPr>
          <w:rFonts w:eastAsia="Times New Roman" w:cs="Arial"/>
          <w:color w:val="000000"/>
        </w:rPr>
        <w:br/>
      </w:r>
    </w:p>
    <w:p w14:paraId="32D5FFD3" w14:textId="77777777" w:rsidR="00707708" w:rsidRDefault="001346B3" w:rsidP="00A259F2">
      <w:pPr>
        <w:spacing w:before="100" w:beforeAutospacing="1" w:after="100" w:afterAutospacing="1" w:line="240" w:lineRule="auto"/>
        <w:rPr>
          <w:rFonts w:eastAsia="Times New Roman" w:cs="Arial"/>
          <w:b/>
          <w:bCs/>
          <w:color w:val="000000"/>
          <w:sz w:val="24"/>
          <w:szCs w:val="24"/>
        </w:rPr>
      </w:pPr>
      <w:r w:rsidRPr="001346B3">
        <w:rPr>
          <w:rFonts w:eastAsia="Times New Roman" w:cs="Arial"/>
          <w:b/>
          <w:bCs/>
          <w:color w:val="000000"/>
          <w:sz w:val="24"/>
          <w:szCs w:val="24"/>
        </w:rPr>
        <w:t>Subpart G - Misuse of Position</w:t>
      </w:r>
    </w:p>
    <w:p w14:paraId="56C40F47" w14:textId="77777777" w:rsidR="001346B3" w:rsidRPr="001346B3" w:rsidRDefault="001346B3" w:rsidP="00A259F2">
      <w:pPr>
        <w:spacing w:before="100" w:beforeAutospacing="1" w:after="100" w:afterAutospacing="1" w:line="240" w:lineRule="auto"/>
        <w:rPr>
          <w:rFonts w:eastAsia="Times New Roman" w:cs="Arial"/>
          <w:color w:val="000000"/>
        </w:rPr>
      </w:pPr>
      <w:r w:rsidRPr="001346B3">
        <w:rPr>
          <w:rFonts w:eastAsia="Times New Roman" w:cs="Arial"/>
          <w:color w:val="000000"/>
        </w:rPr>
        <w:t>Subpart G contains four provisions designed to ensure that employee do not misuse their official positions. These include:</w:t>
      </w:r>
    </w:p>
    <w:p w14:paraId="3A8AF787" w14:textId="77777777" w:rsidR="001346B3" w:rsidRPr="001346B3" w:rsidRDefault="001346B3" w:rsidP="00A259F2">
      <w:pPr>
        <w:numPr>
          <w:ilvl w:val="0"/>
          <w:numId w:val="6"/>
        </w:numPr>
        <w:spacing w:before="100" w:beforeAutospacing="1" w:after="100" w:afterAutospacing="1" w:line="240" w:lineRule="auto"/>
        <w:ind w:left="600" w:right="225"/>
        <w:rPr>
          <w:rFonts w:eastAsia="Times New Roman" w:cs="Arial"/>
          <w:color w:val="000000"/>
        </w:rPr>
      </w:pPr>
      <w:r w:rsidRPr="001346B3">
        <w:rPr>
          <w:rFonts w:eastAsia="Times New Roman" w:cs="Arial"/>
          <w:color w:val="000000"/>
        </w:rPr>
        <w:t>A prohibition against employees using public office for their own private gain for the private gain of friends, relatives, or persons with whom they are affiliated in a non-Government capacity, or for the endorsement or any product, service, or enterprise;</w:t>
      </w:r>
    </w:p>
    <w:p w14:paraId="0046BCA1" w14:textId="77777777" w:rsidR="001346B3" w:rsidRPr="001346B3" w:rsidRDefault="001346B3" w:rsidP="00A259F2">
      <w:pPr>
        <w:numPr>
          <w:ilvl w:val="0"/>
          <w:numId w:val="6"/>
        </w:numPr>
        <w:spacing w:before="100" w:beforeAutospacing="1" w:after="100" w:afterAutospacing="1" w:line="240" w:lineRule="auto"/>
        <w:ind w:left="600" w:right="225"/>
        <w:rPr>
          <w:rFonts w:eastAsia="Times New Roman" w:cs="Arial"/>
          <w:color w:val="000000"/>
        </w:rPr>
      </w:pPr>
      <w:r w:rsidRPr="001346B3">
        <w:rPr>
          <w:rFonts w:eastAsia="Times New Roman" w:cs="Arial"/>
          <w:color w:val="000000"/>
        </w:rPr>
        <w:t>A prohibition against engaging in financial transactions using nonpublic information, or allowing the improper use of nonpublic information to further private interests;</w:t>
      </w:r>
    </w:p>
    <w:p w14:paraId="34BF2403" w14:textId="77777777" w:rsidR="001346B3" w:rsidRPr="001346B3" w:rsidRDefault="001346B3" w:rsidP="00A259F2">
      <w:pPr>
        <w:numPr>
          <w:ilvl w:val="0"/>
          <w:numId w:val="6"/>
        </w:numPr>
        <w:spacing w:before="100" w:beforeAutospacing="1" w:after="100" w:afterAutospacing="1" w:line="240" w:lineRule="auto"/>
        <w:ind w:left="600" w:right="225"/>
        <w:rPr>
          <w:rFonts w:eastAsia="Times New Roman" w:cs="Arial"/>
          <w:color w:val="000000"/>
        </w:rPr>
      </w:pPr>
      <w:r w:rsidRPr="001346B3">
        <w:rPr>
          <w:rFonts w:eastAsia="Times New Roman" w:cs="Arial"/>
          <w:color w:val="000000"/>
        </w:rPr>
        <w:t>An affirmative duty to protect and conserve Government property and to use Government property only for authorized purposes; and</w:t>
      </w:r>
    </w:p>
    <w:p w14:paraId="23D5516C" w14:textId="77777777" w:rsidR="008B3FC0" w:rsidRDefault="001346B3" w:rsidP="008B3FC0">
      <w:pPr>
        <w:numPr>
          <w:ilvl w:val="0"/>
          <w:numId w:val="6"/>
        </w:numPr>
        <w:spacing w:before="100" w:beforeAutospacing="1" w:after="100" w:afterAutospacing="1" w:line="240" w:lineRule="auto"/>
        <w:ind w:left="600" w:right="225"/>
        <w:rPr>
          <w:rFonts w:eastAsia="Times New Roman" w:cs="Arial"/>
          <w:color w:val="000000"/>
        </w:rPr>
      </w:pPr>
      <w:r w:rsidRPr="001346B3">
        <w:rPr>
          <w:rFonts w:eastAsia="Times New Roman" w:cs="Arial"/>
          <w:color w:val="000000"/>
        </w:rPr>
        <w:t>A prohibition against using official time other than in an honest effort to perform official duties and a prohibition against encouraging or requesting a subordinate to use official time to perform unauthorized activities.</w:t>
      </w:r>
    </w:p>
    <w:p w14:paraId="49A1654A" w14:textId="77777777" w:rsidR="001346B3" w:rsidRPr="001346B3" w:rsidRDefault="001346B3" w:rsidP="008B3FC0">
      <w:pPr>
        <w:spacing w:before="100" w:beforeAutospacing="1" w:after="100" w:afterAutospacing="1" w:line="240" w:lineRule="auto"/>
        <w:ind w:right="225"/>
        <w:rPr>
          <w:rFonts w:eastAsia="Times New Roman" w:cs="Arial"/>
          <w:color w:val="000000"/>
        </w:rPr>
      </w:pPr>
      <w:r w:rsidRPr="001346B3">
        <w:rPr>
          <w:rFonts w:eastAsia="Times New Roman" w:cs="Arial"/>
          <w:b/>
          <w:bCs/>
          <w:color w:val="000000"/>
          <w:sz w:val="24"/>
          <w:szCs w:val="24"/>
        </w:rPr>
        <w:t>Subpart H - Outside Activities</w:t>
      </w:r>
      <w:r w:rsidRPr="001346B3">
        <w:rPr>
          <w:rFonts w:eastAsia="Times New Roman" w:cs="Arial"/>
          <w:color w:val="000000"/>
        </w:rPr>
        <w:br/>
      </w:r>
      <w:r w:rsidRPr="001346B3">
        <w:rPr>
          <w:rFonts w:eastAsia="Times New Roman" w:cs="Arial"/>
          <w:color w:val="000000"/>
        </w:rPr>
        <w:br/>
        <w:t>Subpart H contains provisions governing employees' involvement in outside activities including outside employment. These provisions are in addition to the provisions set out in other parts of the regulation. The provisions in Subpart H include:</w:t>
      </w:r>
    </w:p>
    <w:p w14:paraId="4FB7A58B" w14:textId="77777777" w:rsidR="001346B3" w:rsidRPr="001346B3" w:rsidRDefault="001346B3" w:rsidP="00A259F2">
      <w:pPr>
        <w:numPr>
          <w:ilvl w:val="0"/>
          <w:numId w:val="7"/>
        </w:numPr>
        <w:spacing w:before="100" w:beforeAutospacing="1" w:after="100" w:afterAutospacing="1" w:line="240" w:lineRule="auto"/>
        <w:ind w:left="600" w:right="225"/>
        <w:rPr>
          <w:rFonts w:eastAsia="Times New Roman" w:cs="Arial"/>
          <w:color w:val="000000"/>
        </w:rPr>
      </w:pPr>
      <w:r w:rsidRPr="001346B3">
        <w:rPr>
          <w:rFonts w:eastAsia="Times New Roman" w:cs="Arial"/>
          <w:color w:val="000000"/>
        </w:rPr>
        <w:t>Synopses of statutes and a constitutional provision that may limit certain outside activities;</w:t>
      </w:r>
    </w:p>
    <w:p w14:paraId="5356A148" w14:textId="77777777" w:rsidR="001346B3" w:rsidRPr="001346B3" w:rsidRDefault="001346B3" w:rsidP="00A259F2">
      <w:pPr>
        <w:numPr>
          <w:ilvl w:val="0"/>
          <w:numId w:val="7"/>
        </w:numPr>
        <w:spacing w:before="100" w:beforeAutospacing="1" w:after="100" w:afterAutospacing="1" w:line="240" w:lineRule="auto"/>
        <w:ind w:left="600" w:right="225"/>
        <w:rPr>
          <w:rFonts w:eastAsia="Times New Roman" w:cs="Arial"/>
          <w:color w:val="000000"/>
        </w:rPr>
      </w:pPr>
      <w:r w:rsidRPr="001346B3">
        <w:rPr>
          <w:rFonts w:eastAsia="Times New Roman" w:cs="Arial"/>
          <w:color w:val="000000"/>
        </w:rPr>
        <w:t>A prohibition against engaging in outside activities that conflict with employees' official duties;</w:t>
      </w:r>
    </w:p>
    <w:p w14:paraId="3D76348D" w14:textId="77777777" w:rsidR="001346B3" w:rsidRPr="001346B3" w:rsidRDefault="001346B3" w:rsidP="00A259F2">
      <w:pPr>
        <w:numPr>
          <w:ilvl w:val="0"/>
          <w:numId w:val="7"/>
        </w:numPr>
        <w:spacing w:before="100" w:beforeAutospacing="1" w:after="100" w:afterAutospacing="1" w:line="240" w:lineRule="auto"/>
        <w:ind w:left="600" w:right="225"/>
        <w:rPr>
          <w:rFonts w:eastAsia="Times New Roman" w:cs="Arial"/>
          <w:color w:val="000000"/>
        </w:rPr>
      </w:pPr>
      <w:r w:rsidRPr="001346B3">
        <w:rPr>
          <w:rFonts w:eastAsia="Times New Roman" w:cs="Arial"/>
          <w:color w:val="000000"/>
        </w:rPr>
        <w:t>Authority by which individual agencies may require employees to obtain approval before engaging in outside activities;</w:t>
      </w:r>
    </w:p>
    <w:p w14:paraId="7ACAE68D" w14:textId="77777777" w:rsidR="001346B3" w:rsidRPr="001346B3" w:rsidRDefault="001346B3" w:rsidP="00A259F2">
      <w:pPr>
        <w:numPr>
          <w:ilvl w:val="0"/>
          <w:numId w:val="7"/>
        </w:numPr>
        <w:spacing w:before="100" w:beforeAutospacing="1" w:after="100" w:afterAutospacing="1" w:line="240" w:lineRule="auto"/>
        <w:ind w:left="600" w:right="225"/>
        <w:rPr>
          <w:rFonts w:eastAsia="Times New Roman" w:cs="Arial"/>
          <w:color w:val="000000"/>
        </w:rPr>
      </w:pPr>
      <w:r w:rsidRPr="001346B3">
        <w:rPr>
          <w:rFonts w:eastAsia="Times New Roman" w:cs="Arial"/>
          <w:color w:val="000000"/>
        </w:rPr>
        <w:t>An outside earned income ban applicable to certain Presidential appointees and certain non</w:t>
      </w:r>
      <w:r w:rsidR="00DA6659">
        <w:rPr>
          <w:rFonts w:eastAsia="Times New Roman" w:cs="Arial"/>
          <w:color w:val="000000"/>
        </w:rPr>
        <w:t>-</w:t>
      </w:r>
      <w:r w:rsidRPr="001346B3">
        <w:rPr>
          <w:rFonts w:eastAsia="Times New Roman" w:cs="Arial"/>
          <w:color w:val="000000"/>
        </w:rPr>
        <w:t>career employees;</w:t>
      </w:r>
    </w:p>
    <w:p w14:paraId="54FBAD8D" w14:textId="77777777" w:rsidR="001346B3" w:rsidRPr="001346B3" w:rsidRDefault="001346B3" w:rsidP="00A259F2">
      <w:pPr>
        <w:numPr>
          <w:ilvl w:val="0"/>
          <w:numId w:val="7"/>
        </w:numPr>
        <w:spacing w:before="100" w:beforeAutospacing="1" w:after="100" w:afterAutospacing="1" w:line="240" w:lineRule="auto"/>
        <w:ind w:left="600" w:right="225"/>
        <w:rPr>
          <w:rFonts w:eastAsia="Times New Roman" w:cs="Arial"/>
          <w:color w:val="000000"/>
        </w:rPr>
      </w:pPr>
      <w:r w:rsidRPr="001346B3">
        <w:rPr>
          <w:rFonts w:eastAsia="Times New Roman" w:cs="Arial"/>
          <w:color w:val="000000"/>
        </w:rPr>
        <w:t>A prohibition against serving as an expert witness, other than on behalf of the United States, in certain proceedings in which the United States is a party or has a direct and substantial interest;</w:t>
      </w:r>
    </w:p>
    <w:p w14:paraId="563DDDA7" w14:textId="77777777" w:rsidR="001346B3" w:rsidRPr="001346B3" w:rsidRDefault="001346B3" w:rsidP="00A259F2">
      <w:pPr>
        <w:numPr>
          <w:ilvl w:val="0"/>
          <w:numId w:val="7"/>
        </w:numPr>
        <w:spacing w:before="100" w:beforeAutospacing="1" w:after="100" w:afterAutospacing="1" w:line="240" w:lineRule="auto"/>
        <w:ind w:left="600" w:right="225"/>
        <w:rPr>
          <w:rFonts w:eastAsia="Times New Roman" w:cs="Arial"/>
          <w:color w:val="000000"/>
        </w:rPr>
      </w:pPr>
      <w:r w:rsidRPr="001346B3">
        <w:rPr>
          <w:rFonts w:eastAsia="Times New Roman" w:cs="Arial"/>
          <w:color w:val="000000"/>
        </w:rPr>
        <w:t>A prohibition against receiving compensation for teaching, speaking, or writing related to their official duties;</w:t>
      </w:r>
    </w:p>
    <w:p w14:paraId="1E6D2AEF" w14:textId="77777777" w:rsidR="001346B3" w:rsidRPr="001346B3" w:rsidRDefault="001346B3" w:rsidP="00A259F2">
      <w:pPr>
        <w:numPr>
          <w:ilvl w:val="0"/>
          <w:numId w:val="7"/>
        </w:numPr>
        <w:spacing w:before="100" w:beforeAutospacing="1" w:after="100" w:afterAutospacing="1" w:line="240" w:lineRule="auto"/>
        <w:ind w:left="600" w:right="225"/>
        <w:rPr>
          <w:rFonts w:eastAsia="Times New Roman" w:cs="Arial"/>
          <w:color w:val="000000"/>
        </w:rPr>
      </w:pPr>
      <w:r w:rsidRPr="001346B3">
        <w:rPr>
          <w:rFonts w:eastAsia="Times New Roman" w:cs="Arial"/>
          <w:color w:val="000000"/>
        </w:rPr>
        <w:t>Limitations on fundraising in a personal capacity; and</w:t>
      </w:r>
    </w:p>
    <w:p w14:paraId="5D14CF71" w14:textId="77777777" w:rsidR="001346B3" w:rsidRPr="001346B3" w:rsidRDefault="001346B3" w:rsidP="00A259F2">
      <w:pPr>
        <w:numPr>
          <w:ilvl w:val="0"/>
          <w:numId w:val="7"/>
        </w:numPr>
        <w:spacing w:before="100" w:beforeAutospacing="1" w:after="100" w:afterAutospacing="1" w:line="240" w:lineRule="auto"/>
        <w:ind w:left="600" w:right="225"/>
        <w:rPr>
          <w:rFonts w:eastAsia="Times New Roman" w:cs="Arial"/>
          <w:color w:val="000000"/>
        </w:rPr>
      </w:pPr>
      <w:r w:rsidRPr="001346B3">
        <w:rPr>
          <w:rFonts w:eastAsia="Times New Roman" w:cs="Arial"/>
          <w:color w:val="000000"/>
        </w:rPr>
        <w:t>A requirement that employees satisfy their just financial obligations.</w:t>
      </w:r>
    </w:p>
    <w:p w14:paraId="0266F9DF" w14:textId="77777777" w:rsidR="001346B3" w:rsidRPr="001346B3" w:rsidRDefault="001346B3" w:rsidP="00A259F2">
      <w:pPr>
        <w:spacing w:before="100" w:beforeAutospacing="1" w:after="100" w:afterAutospacing="1" w:line="240" w:lineRule="auto"/>
        <w:rPr>
          <w:rFonts w:eastAsia="Times New Roman" w:cs="Arial"/>
          <w:color w:val="000000"/>
        </w:rPr>
      </w:pPr>
      <w:r w:rsidRPr="001346B3">
        <w:rPr>
          <w:rFonts w:eastAsia="Times New Roman" w:cs="Arial"/>
          <w:b/>
          <w:bCs/>
          <w:color w:val="000000"/>
          <w:sz w:val="24"/>
          <w:szCs w:val="24"/>
        </w:rPr>
        <w:t>Subpart I - Related Statutory Authorities</w:t>
      </w:r>
      <w:r w:rsidRPr="001346B3">
        <w:rPr>
          <w:rFonts w:eastAsia="Times New Roman" w:cs="Arial"/>
          <w:color w:val="000000"/>
        </w:rPr>
        <w:br/>
      </w:r>
      <w:r w:rsidRPr="001346B3">
        <w:rPr>
          <w:rFonts w:eastAsia="Times New Roman" w:cs="Arial"/>
          <w:color w:val="000000"/>
        </w:rPr>
        <w:br/>
        <w:t>Subpart I lists references to other statutes which relate to employee conduct.</w:t>
      </w:r>
    </w:p>
    <w:p w14:paraId="438C8EFE" w14:textId="77777777" w:rsidR="00B569AC" w:rsidRDefault="00B569AC" w:rsidP="00B569AC">
      <w:pPr>
        <w:jc w:val="center"/>
        <w:rPr>
          <w:b/>
          <w:sz w:val="28"/>
          <w:szCs w:val="28"/>
          <w:u w:val="single"/>
        </w:rPr>
      </w:pPr>
      <w:r>
        <w:rPr>
          <w:b/>
          <w:sz w:val="28"/>
          <w:szCs w:val="28"/>
          <w:u w:val="single"/>
        </w:rPr>
        <w:lastRenderedPageBreak/>
        <w:t>Department of Energy Supplemental Regulations</w:t>
      </w:r>
    </w:p>
    <w:p w14:paraId="02567BD9" w14:textId="1DAC5479" w:rsidR="00B569AC" w:rsidRDefault="00B569AC" w:rsidP="00B569AC">
      <w:r>
        <w:t xml:space="preserve">The Department of Energy’s supplemental ethics regulations </w:t>
      </w:r>
      <w:r w:rsidR="00021D84" w:rsidRPr="00021D84">
        <w:t>require Department employees to document notices of disqualification and withdrawals of such notices in writing. It also requires that Department employees obtain the written approval of their immediate supervisor and the Department's designated agency ethics official or such official's designee prior to engaging in certain outside employment.</w:t>
      </w:r>
      <w:r w:rsidR="00021D84">
        <w:t xml:space="preserve">  Department employees </w:t>
      </w:r>
      <w:r w:rsidR="00021D84" w:rsidRPr="00021D84">
        <w:t xml:space="preserve">must obtain the approval of both </w:t>
      </w:r>
      <w:r w:rsidR="00021D84">
        <w:t>their</w:t>
      </w:r>
      <w:r w:rsidR="00021D84" w:rsidRPr="00021D84">
        <w:t xml:space="preserve"> supervisor and ethics counsel prior to engaging in any outside activity for which </w:t>
      </w:r>
      <w:r w:rsidR="00021D84">
        <w:t>an employee is</w:t>
      </w:r>
      <w:r w:rsidR="00021D84" w:rsidRPr="00021D84">
        <w:t xml:space="preserve"> compensated or in which </w:t>
      </w:r>
      <w:r w:rsidR="00021D84">
        <w:t>the employee</w:t>
      </w:r>
      <w:r w:rsidR="00021D84" w:rsidRPr="00021D84">
        <w:t xml:space="preserve"> will be providing a professional service</w:t>
      </w:r>
      <w:r w:rsidR="00021D84">
        <w:t>, regardless of compensation</w:t>
      </w:r>
      <w:r w:rsidR="00021D84" w:rsidRPr="00021D84">
        <w:t xml:space="preserve">. </w:t>
      </w:r>
      <w:r w:rsidR="00021D84">
        <w:t xml:space="preserve">You can </w:t>
      </w:r>
      <w:r w:rsidR="007C4B63">
        <w:t>access</w:t>
      </w:r>
      <w:r w:rsidR="00021D84">
        <w:t xml:space="preserve"> the full text of this rule in 5 C.F.R. Part 3301</w:t>
      </w:r>
      <w:r w:rsidR="003E704E">
        <w:t xml:space="preserve"> at</w:t>
      </w:r>
      <w:r w:rsidR="00E92721">
        <w:t xml:space="preserve"> </w:t>
      </w:r>
      <w:hyperlink r:id="rId8" w:history="1">
        <w:r w:rsidR="003E704E" w:rsidRPr="00AF3A52">
          <w:rPr>
            <w:rStyle w:val="Hyperlink"/>
          </w:rPr>
          <w:t>https://energy.gov/gc/services/energy-policy/office-assistant-general-counsel-general-law</w:t>
        </w:r>
      </w:hyperlink>
      <w:r w:rsidR="003E704E">
        <w:t>.</w:t>
      </w:r>
    </w:p>
    <w:p w14:paraId="4AD9E895" w14:textId="77777777" w:rsidR="00432704" w:rsidRPr="00432704" w:rsidRDefault="00432704" w:rsidP="00432704">
      <w:pPr>
        <w:jc w:val="center"/>
        <w:rPr>
          <w:b/>
          <w:sz w:val="28"/>
          <w:szCs w:val="28"/>
          <w:u w:val="single"/>
        </w:rPr>
      </w:pPr>
      <w:r w:rsidRPr="00432704">
        <w:rPr>
          <w:b/>
          <w:sz w:val="28"/>
          <w:szCs w:val="28"/>
          <w:u w:val="single"/>
        </w:rPr>
        <w:t>For Further Guidance</w:t>
      </w:r>
    </w:p>
    <w:p w14:paraId="38F5BCCD" w14:textId="1FE18633" w:rsidR="00B569AC" w:rsidRPr="00DA6659" w:rsidRDefault="00DA6659" w:rsidP="00B569AC">
      <w:r w:rsidRPr="00DA6659">
        <w:t xml:space="preserve">Please contact ethics counsel with any questions regarding the Federal government ethics laws and regulations. If you have any questions, Headquarters employees should contact the Office of the Assistant General Counsel for General Law at 202-586-1522 or </w:t>
      </w:r>
      <w:hyperlink r:id="rId9" w:history="1">
        <w:r w:rsidR="00E348CE" w:rsidRPr="00C47D7F">
          <w:rPr>
            <w:rStyle w:val="Hyperlink"/>
          </w:rPr>
          <w:t>standardsofconduct@hq.doe.gov</w:t>
        </w:r>
      </w:hyperlink>
      <w:r w:rsidR="00E348CE">
        <w:t xml:space="preserve">. </w:t>
      </w:r>
      <w:r w:rsidRPr="00DA6659">
        <w:t xml:space="preserve"> NNSA employees who are duty-stationed at Headquarters should contact NNSA’s Office of General Counsel at 202-586-8514.  Employees who are duty-stationed in the field should contact their local site counsel.</w:t>
      </w:r>
    </w:p>
    <w:p w14:paraId="4658D7DE" w14:textId="77777777" w:rsidR="00B569AC" w:rsidRPr="00B569AC" w:rsidRDefault="00B569AC" w:rsidP="00B569AC">
      <w:pPr>
        <w:rPr>
          <w:b/>
          <w:sz w:val="28"/>
          <w:szCs w:val="28"/>
        </w:rPr>
      </w:pPr>
    </w:p>
    <w:p w14:paraId="595E3FDB" w14:textId="77777777" w:rsidR="001346B3" w:rsidRPr="00A259F2" w:rsidRDefault="001346B3" w:rsidP="00A259F2">
      <w:pPr>
        <w:jc w:val="center"/>
      </w:pPr>
    </w:p>
    <w:sectPr w:rsidR="001346B3" w:rsidRPr="00A259F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BB0DA" w14:textId="77777777" w:rsidR="008B3FC0" w:rsidRDefault="008B3FC0" w:rsidP="008B3FC0">
      <w:pPr>
        <w:spacing w:after="0" w:line="240" w:lineRule="auto"/>
      </w:pPr>
      <w:r>
        <w:separator/>
      </w:r>
    </w:p>
  </w:endnote>
  <w:endnote w:type="continuationSeparator" w:id="0">
    <w:p w14:paraId="761F13A0" w14:textId="77777777" w:rsidR="008B3FC0" w:rsidRDefault="008B3FC0" w:rsidP="008B3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072935"/>
      <w:docPartObj>
        <w:docPartGallery w:val="Page Numbers (Bottom of Page)"/>
        <w:docPartUnique/>
      </w:docPartObj>
    </w:sdtPr>
    <w:sdtEndPr>
      <w:rPr>
        <w:noProof/>
      </w:rPr>
    </w:sdtEndPr>
    <w:sdtContent>
      <w:p w14:paraId="4FE072F8" w14:textId="77777777" w:rsidR="00707708" w:rsidRDefault="00707708">
        <w:pPr>
          <w:pStyle w:val="Footer"/>
          <w:jc w:val="right"/>
        </w:pPr>
        <w:r>
          <w:fldChar w:fldCharType="begin"/>
        </w:r>
        <w:r>
          <w:instrText xml:space="preserve"> PAGE   \* MERGEFORMAT </w:instrText>
        </w:r>
        <w:r>
          <w:fldChar w:fldCharType="separate"/>
        </w:r>
        <w:r w:rsidR="001F486C">
          <w:rPr>
            <w:noProof/>
          </w:rPr>
          <w:t>5</w:t>
        </w:r>
        <w:r>
          <w:rPr>
            <w:noProof/>
          </w:rPr>
          <w:fldChar w:fldCharType="end"/>
        </w:r>
      </w:p>
    </w:sdtContent>
  </w:sdt>
  <w:p w14:paraId="70A78349" w14:textId="77777777" w:rsidR="008B3FC0" w:rsidRDefault="008B3FC0" w:rsidP="008B3FC0">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A0B1D" w14:textId="77777777" w:rsidR="008B3FC0" w:rsidRDefault="008B3FC0" w:rsidP="008B3FC0">
      <w:pPr>
        <w:spacing w:after="0" w:line="240" w:lineRule="auto"/>
      </w:pPr>
      <w:r>
        <w:separator/>
      </w:r>
    </w:p>
  </w:footnote>
  <w:footnote w:type="continuationSeparator" w:id="0">
    <w:p w14:paraId="4C910295" w14:textId="77777777" w:rsidR="008B3FC0" w:rsidRDefault="008B3FC0" w:rsidP="008B3F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B5327"/>
    <w:multiLevelType w:val="hybridMultilevel"/>
    <w:tmpl w:val="77F8C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1493D"/>
    <w:multiLevelType w:val="multilevel"/>
    <w:tmpl w:val="E934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2A0826"/>
    <w:multiLevelType w:val="multilevel"/>
    <w:tmpl w:val="8DC2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654844"/>
    <w:multiLevelType w:val="multilevel"/>
    <w:tmpl w:val="419C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AB50DF"/>
    <w:multiLevelType w:val="multilevel"/>
    <w:tmpl w:val="A6EC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B956C9"/>
    <w:multiLevelType w:val="multilevel"/>
    <w:tmpl w:val="3E3A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D41093"/>
    <w:multiLevelType w:val="multilevel"/>
    <w:tmpl w:val="1316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F9029D"/>
    <w:multiLevelType w:val="multilevel"/>
    <w:tmpl w:val="CAC6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7"/>
  </w:num>
  <w:num w:numId="4">
    <w:abstractNumId w:val="3"/>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B3"/>
    <w:rsid w:val="00021D84"/>
    <w:rsid w:val="001346B3"/>
    <w:rsid w:val="001F486C"/>
    <w:rsid w:val="00344AB5"/>
    <w:rsid w:val="003E704E"/>
    <w:rsid w:val="00432704"/>
    <w:rsid w:val="00466919"/>
    <w:rsid w:val="005945DC"/>
    <w:rsid w:val="00707708"/>
    <w:rsid w:val="007B25CB"/>
    <w:rsid w:val="007C4B63"/>
    <w:rsid w:val="00806841"/>
    <w:rsid w:val="00864052"/>
    <w:rsid w:val="008B3FC0"/>
    <w:rsid w:val="00A259F2"/>
    <w:rsid w:val="00AD2E18"/>
    <w:rsid w:val="00B569AC"/>
    <w:rsid w:val="00CA260A"/>
    <w:rsid w:val="00CE2951"/>
    <w:rsid w:val="00CE4229"/>
    <w:rsid w:val="00DA6659"/>
    <w:rsid w:val="00DE01A3"/>
    <w:rsid w:val="00E348CE"/>
    <w:rsid w:val="00E92721"/>
    <w:rsid w:val="00FA4A13"/>
    <w:rsid w:val="00FF5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665DF"/>
  <w15:chartTrackingRefBased/>
  <w15:docId w15:val="{DB8A5C7D-3DC4-4734-A08B-342A84AD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46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46B3"/>
    <w:rPr>
      <w:color w:val="0000FF"/>
      <w:u w:val="single"/>
    </w:rPr>
  </w:style>
  <w:style w:type="character" w:customStyle="1" w:styleId="apple-converted-space">
    <w:name w:val="apple-converted-space"/>
    <w:basedOn w:val="DefaultParagraphFont"/>
    <w:rsid w:val="001346B3"/>
  </w:style>
  <w:style w:type="paragraph" w:styleId="Header">
    <w:name w:val="header"/>
    <w:basedOn w:val="Normal"/>
    <w:link w:val="HeaderChar"/>
    <w:uiPriority w:val="99"/>
    <w:unhideWhenUsed/>
    <w:rsid w:val="008B3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FC0"/>
  </w:style>
  <w:style w:type="paragraph" w:styleId="Footer">
    <w:name w:val="footer"/>
    <w:basedOn w:val="Normal"/>
    <w:link w:val="FooterChar"/>
    <w:uiPriority w:val="99"/>
    <w:unhideWhenUsed/>
    <w:rsid w:val="008B3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FC0"/>
  </w:style>
  <w:style w:type="paragraph" w:styleId="ListParagraph">
    <w:name w:val="List Paragraph"/>
    <w:basedOn w:val="Normal"/>
    <w:uiPriority w:val="34"/>
    <w:qFormat/>
    <w:rsid w:val="00432704"/>
    <w:pPr>
      <w:ind w:left="720"/>
      <w:contextualSpacing/>
    </w:pPr>
  </w:style>
  <w:style w:type="paragraph" w:styleId="BalloonText">
    <w:name w:val="Balloon Text"/>
    <w:basedOn w:val="Normal"/>
    <w:link w:val="BalloonTextChar"/>
    <w:uiPriority w:val="99"/>
    <w:semiHidden/>
    <w:unhideWhenUsed/>
    <w:rsid w:val="00DA6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659"/>
    <w:rPr>
      <w:rFonts w:ascii="Segoe UI" w:hAnsi="Segoe UI" w:cs="Segoe UI"/>
      <w:sz w:val="18"/>
      <w:szCs w:val="18"/>
    </w:rPr>
  </w:style>
  <w:style w:type="character" w:styleId="CommentReference">
    <w:name w:val="annotation reference"/>
    <w:basedOn w:val="DefaultParagraphFont"/>
    <w:uiPriority w:val="99"/>
    <w:semiHidden/>
    <w:unhideWhenUsed/>
    <w:rsid w:val="005945DC"/>
    <w:rPr>
      <w:sz w:val="16"/>
      <w:szCs w:val="16"/>
    </w:rPr>
  </w:style>
  <w:style w:type="paragraph" w:styleId="CommentText">
    <w:name w:val="annotation text"/>
    <w:basedOn w:val="Normal"/>
    <w:link w:val="CommentTextChar"/>
    <w:uiPriority w:val="99"/>
    <w:semiHidden/>
    <w:unhideWhenUsed/>
    <w:rsid w:val="005945DC"/>
    <w:pPr>
      <w:spacing w:line="240" w:lineRule="auto"/>
    </w:pPr>
    <w:rPr>
      <w:sz w:val="20"/>
      <w:szCs w:val="20"/>
    </w:rPr>
  </w:style>
  <w:style w:type="character" w:customStyle="1" w:styleId="CommentTextChar">
    <w:name w:val="Comment Text Char"/>
    <w:basedOn w:val="DefaultParagraphFont"/>
    <w:link w:val="CommentText"/>
    <w:uiPriority w:val="99"/>
    <w:semiHidden/>
    <w:rsid w:val="005945DC"/>
    <w:rPr>
      <w:sz w:val="20"/>
      <w:szCs w:val="20"/>
    </w:rPr>
  </w:style>
  <w:style w:type="paragraph" w:styleId="CommentSubject">
    <w:name w:val="annotation subject"/>
    <w:basedOn w:val="CommentText"/>
    <w:next w:val="CommentText"/>
    <w:link w:val="CommentSubjectChar"/>
    <w:uiPriority w:val="99"/>
    <w:semiHidden/>
    <w:unhideWhenUsed/>
    <w:rsid w:val="005945DC"/>
    <w:rPr>
      <w:b/>
      <w:bCs/>
    </w:rPr>
  </w:style>
  <w:style w:type="character" w:customStyle="1" w:styleId="CommentSubjectChar">
    <w:name w:val="Comment Subject Char"/>
    <w:basedOn w:val="CommentTextChar"/>
    <w:link w:val="CommentSubject"/>
    <w:uiPriority w:val="99"/>
    <w:semiHidden/>
    <w:rsid w:val="005945DC"/>
    <w:rPr>
      <w:b/>
      <w:bCs/>
      <w:sz w:val="20"/>
      <w:szCs w:val="20"/>
    </w:rPr>
  </w:style>
  <w:style w:type="character" w:styleId="FollowedHyperlink">
    <w:name w:val="FollowedHyperlink"/>
    <w:basedOn w:val="DefaultParagraphFont"/>
    <w:uiPriority w:val="99"/>
    <w:semiHidden/>
    <w:unhideWhenUsed/>
    <w:rsid w:val="00E348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122076">
      <w:bodyDiv w:val="1"/>
      <w:marLeft w:val="0"/>
      <w:marRight w:val="0"/>
      <w:marTop w:val="0"/>
      <w:marBottom w:val="0"/>
      <w:divBdr>
        <w:top w:val="none" w:sz="0" w:space="0" w:color="auto"/>
        <w:left w:val="none" w:sz="0" w:space="0" w:color="auto"/>
        <w:bottom w:val="none" w:sz="0" w:space="0" w:color="auto"/>
        <w:right w:val="none" w:sz="0" w:space="0" w:color="auto"/>
      </w:divBdr>
      <w:divsChild>
        <w:div w:id="97138713">
          <w:marLeft w:val="0"/>
          <w:marRight w:val="0"/>
          <w:marTop w:val="300"/>
          <w:marBottom w:val="0"/>
          <w:divBdr>
            <w:top w:val="none" w:sz="0" w:space="0" w:color="auto"/>
            <w:left w:val="none" w:sz="0" w:space="0" w:color="auto"/>
            <w:bottom w:val="none" w:sz="0" w:space="0" w:color="auto"/>
            <w:right w:val="none" w:sz="0" w:space="0" w:color="auto"/>
          </w:divBdr>
        </w:div>
        <w:div w:id="1757633634">
          <w:marLeft w:val="0"/>
          <w:marRight w:val="0"/>
          <w:marTop w:val="100"/>
          <w:marBottom w:val="100"/>
          <w:divBdr>
            <w:top w:val="none" w:sz="0" w:space="0" w:color="auto"/>
            <w:left w:val="none" w:sz="0" w:space="0" w:color="auto"/>
            <w:bottom w:val="none" w:sz="0" w:space="0" w:color="auto"/>
            <w:right w:val="none" w:sz="0" w:space="0" w:color="auto"/>
          </w:divBdr>
          <w:divsChild>
            <w:div w:id="738683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1897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ergy.gov/gc/services/energy-policy/office-assistant-general-counsel-general-law" TargetMode="External"/><Relationship Id="rId3" Type="http://schemas.openxmlformats.org/officeDocument/2006/relationships/settings" Target="settings.xml"/><Relationship Id="rId7" Type="http://schemas.openxmlformats.org/officeDocument/2006/relationships/hyperlink" Target="https://www.oge.gov/Web/oge.nsf/Resources/Standards+of+Ethical+Conduct+for+Employees+of+the+Executive+Bran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andardsofconduct@hq.do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Gehringer</dc:creator>
  <cp:keywords/>
  <dc:description/>
  <cp:lastModifiedBy>Beard, Susan</cp:lastModifiedBy>
  <cp:revision>4</cp:revision>
  <cp:lastPrinted>2018-10-05T09:45:00Z</cp:lastPrinted>
  <dcterms:created xsi:type="dcterms:W3CDTF">2018-10-04T19:37:00Z</dcterms:created>
  <dcterms:modified xsi:type="dcterms:W3CDTF">2018-10-05T09:45:00Z</dcterms:modified>
</cp:coreProperties>
</file>