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75" w:rsidRDefault="00132D3C" w:rsidP="00FA0775">
      <w:pPr>
        <w:tabs>
          <w:tab w:val="center" w:pos="5400"/>
        </w:tabs>
        <w:jc w:val="center"/>
        <w:rPr>
          <w:b/>
          <w:bCs/>
          <w:sz w:val="32"/>
          <w:szCs w:val="32"/>
        </w:rPr>
      </w:pPr>
      <w:r w:rsidRPr="00C32242">
        <w:rPr>
          <w:b/>
          <w:bCs/>
          <w:sz w:val="32"/>
          <w:szCs w:val="32"/>
        </w:rPr>
        <w:t xml:space="preserve">Annual Workforce Analysis and Staffing Plan Report </w:t>
      </w:r>
    </w:p>
    <w:p w:rsidR="00EC5355" w:rsidRPr="00EC5355" w:rsidRDefault="00EC5355" w:rsidP="00FA0775">
      <w:pPr>
        <w:tabs>
          <w:tab w:val="center" w:pos="5400"/>
        </w:tabs>
        <w:jc w:val="center"/>
        <w:rPr>
          <w:b/>
          <w:bCs/>
          <w:sz w:val="28"/>
          <w:szCs w:val="28"/>
        </w:rPr>
      </w:pPr>
      <w:r w:rsidRPr="00EC5355">
        <w:rPr>
          <w:b/>
          <w:bCs/>
          <w:sz w:val="28"/>
          <w:szCs w:val="28"/>
        </w:rPr>
        <w:t>as of December 31, 2013</w:t>
      </w:r>
    </w:p>
    <w:tbl>
      <w:tblPr>
        <w:tblpPr w:leftFromText="180" w:rightFromText="180" w:vertAnchor="text" w:horzAnchor="page" w:tblpX="2622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3"/>
        <w:gridCol w:w="4905"/>
      </w:tblGrid>
      <w:tr w:rsidR="00C32242" w:rsidRPr="000C09E1" w:rsidTr="00EB222B">
        <w:trPr>
          <w:trHeight w:val="317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775" w:rsidRPr="000C09E1" w:rsidRDefault="00FA0775" w:rsidP="00EB222B">
            <w:pPr>
              <w:spacing w:line="276" w:lineRule="auto"/>
              <w:ind w:left="-90"/>
              <w:rPr>
                <w:b/>
                <w:bCs/>
                <w:sz w:val="28"/>
                <w:szCs w:val="28"/>
              </w:rPr>
            </w:pPr>
            <w:r w:rsidRPr="000C09E1">
              <w:rPr>
                <w:b/>
                <w:bCs/>
                <w:sz w:val="28"/>
                <w:szCs w:val="28"/>
              </w:rPr>
              <w:t>Reporting Office: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A0775" w:rsidRPr="000C09E1" w:rsidRDefault="00FA0775" w:rsidP="00EB222B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FA0775" w:rsidRPr="00FA0775" w:rsidRDefault="00FA0775" w:rsidP="00FA0775">
      <w:pPr>
        <w:tabs>
          <w:tab w:val="center" w:pos="5400"/>
        </w:tabs>
        <w:ind w:left="2880"/>
        <w:jc w:val="center"/>
        <w:rPr>
          <w:sz w:val="28"/>
          <w:szCs w:val="28"/>
        </w:rPr>
      </w:pPr>
    </w:p>
    <w:p w:rsidR="00787082" w:rsidRPr="00FA0775" w:rsidRDefault="00FA0775" w:rsidP="00FA0775">
      <w:pPr>
        <w:tabs>
          <w:tab w:val="left" w:pos="2880"/>
          <w:tab w:val="center" w:pos="5400"/>
        </w:tabs>
        <w:jc w:val="center"/>
        <w:rPr>
          <w:b/>
          <w:bCs/>
          <w:sz w:val="28"/>
          <w:szCs w:val="28"/>
        </w:rPr>
      </w:pPr>
      <w:r w:rsidRPr="00FA0775">
        <w:rPr>
          <w:b/>
          <w:bCs/>
          <w:sz w:val="28"/>
          <w:szCs w:val="28"/>
        </w:rPr>
        <w:tab/>
      </w:r>
    </w:p>
    <w:p w:rsidR="00FA0775" w:rsidRDefault="00FA0775" w:rsidP="00FA0775">
      <w:pPr>
        <w:ind w:right="-187"/>
        <w:jc w:val="center"/>
        <w:rPr>
          <w:i/>
          <w:iCs/>
        </w:rPr>
      </w:pPr>
    </w:p>
    <w:p w:rsidR="001E28E4" w:rsidRDefault="00132D3C" w:rsidP="00FA0775">
      <w:pPr>
        <w:spacing w:after="240"/>
        <w:ind w:right="-187"/>
        <w:jc w:val="center"/>
        <w:rPr>
          <w:i/>
          <w:iCs/>
        </w:rPr>
      </w:pPr>
      <w:r w:rsidRPr="00132D3C">
        <w:rPr>
          <w:i/>
          <w:iCs/>
        </w:rPr>
        <w:t>This is a template. Explanatory/example wording not in bold type should be deleted for the report.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1E28E4" w:rsidTr="000C09E1">
        <w:tc>
          <w:tcPr>
            <w:tcW w:w="11016" w:type="dxa"/>
          </w:tcPr>
          <w:p w:rsidR="001E28E4" w:rsidRPr="000C09E1" w:rsidRDefault="00757F47" w:rsidP="000C09E1">
            <w:pPr>
              <w:spacing w:after="120"/>
              <w:jc w:val="center"/>
              <w:rPr>
                <w:b/>
                <w:bCs/>
              </w:rPr>
            </w:pPr>
            <w:r w:rsidRPr="000C09E1">
              <w:rPr>
                <w:b/>
                <w:bCs/>
              </w:rPr>
              <w:t xml:space="preserve">SECTION </w:t>
            </w:r>
            <w:r w:rsidR="00D80EB8">
              <w:rPr>
                <w:b/>
                <w:bCs/>
              </w:rPr>
              <w:t xml:space="preserve">ONE: </w:t>
            </w:r>
            <w:r w:rsidR="00C059F1">
              <w:rPr>
                <w:b/>
                <w:bCs/>
              </w:rPr>
              <w:t xml:space="preserve"> </w:t>
            </w:r>
            <w:r w:rsidRPr="000C09E1">
              <w:rPr>
                <w:b/>
                <w:bCs/>
              </w:rPr>
              <w:t>SITE MISSION(S), OUTLOOK, AND CHARACTERISTIC</w:t>
            </w:r>
            <w:r w:rsidR="002D0E1D">
              <w:rPr>
                <w:b/>
                <w:bCs/>
              </w:rPr>
              <w:t>S</w:t>
            </w:r>
          </w:p>
          <w:p w:rsidR="001E28E4" w:rsidRDefault="001E28E4" w:rsidP="00AF7B91">
            <w:pPr>
              <w:pStyle w:val="ListParagraph"/>
              <w:numPr>
                <w:ilvl w:val="0"/>
                <w:numId w:val="29"/>
              </w:numPr>
              <w:spacing w:after="120"/>
            </w:pPr>
            <w:r w:rsidRPr="003215C5">
              <w:t xml:space="preserve">Provide several bullets that frame the types and magnitude of technical capabilities currently needed </w:t>
            </w:r>
            <w:r>
              <w:t xml:space="preserve">for </w:t>
            </w:r>
            <w:r w:rsidRPr="003215C5">
              <w:t xml:space="preserve">safe operations in your sites hazardous facilities </w:t>
            </w:r>
            <w:r w:rsidR="00787082">
              <w:t xml:space="preserve">or activities </w:t>
            </w:r>
            <w:r w:rsidRPr="003215C5">
              <w:t>(non-nuclear and nuclear facilities including radiological facilities</w:t>
            </w:r>
            <w:r w:rsidR="00787082">
              <w:t>)</w:t>
            </w:r>
            <w:r w:rsidRPr="003215C5">
              <w:t xml:space="preserve">.  For example: </w:t>
            </w:r>
            <w:r w:rsidR="00C059F1">
              <w:t xml:space="preserve"> </w:t>
            </w:r>
          </w:p>
          <w:p w:rsidR="001E28E4" w:rsidRDefault="001E28E4" w:rsidP="000C09E1">
            <w:pPr>
              <w:pStyle w:val="ListParagraph"/>
              <w:numPr>
                <w:ilvl w:val="0"/>
                <w:numId w:val="27"/>
              </w:numPr>
            </w:pPr>
            <w:r w:rsidRPr="003215C5">
              <w:t xml:space="preserve">Three major operating Category II and III nuclear facilities; </w:t>
            </w:r>
          </w:p>
          <w:p w:rsidR="001E28E4" w:rsidRDefault="001E28E4" w:rsidP="000C09E1">
            <w:pPr>
              <w:pStyle w:val="ListParagraph"/>
              <w:numPr>
                <w:ilvl w:val="0"/>
                <w:numId w:val="27"/>
              </w:numPr>
            </w:pPr>
            <w:r w:rsidRPr="003215C5">
              <w:t xml:space="preserve">Four significant nuclear facilities undergoing Decontamination and Decommissioning (D&amp;D); </w:t>
            </w:r>
          </w:p>
          <w:p w:rsidR="001E28E4" w:rsidRDefault="001E28E4" w:rsidP="000C09E1">
            <w:pPr>
              <w:pStyle w:val="ListParagraph"/>
              <w:numPr>
                <w:ilvl w:val="0"/>
                <w:numId w:val="27"/>
              </w:numPr>
            </w:pPr>
            <w:r w:rsidRPr="003215C5">
              <w:t xml:space="preserve">Major vitrification facility under construction; </w:t>
            </w:r>
          </w:p>
          <w:p w:rsidR="001E28E4" w:rsidRDefault="001E28E4" w:rsidP="000C09E1">
            <w:pPr>
              <w:pStyle w:val="ListParagraph"/>
              <w:numPr>
                <w:ilvl w:val="0"/>
                <w:numId w:val="27"/>
              </w:numPr>
            </w:pPr>
            <w:r w:rsidRPr="003215C5">
              <w:t xml:space="preserve">One non-defense reactor facility; </w:t>
            </w:r>
          </w:p>
          <w:p w:rsidR="001E28E4" w:rsidRDefault="001E28E4" w:rsidP="000C09E1">
            <w:pPr>
              <w:pStyle w:val="ListParagraph"/>
              <w:numPr>
                <w:ilvl w:val="0"/>
                <w:numId w:val="27"/>
              </w:numPr>
            </w:pPr>
            <w:r w:rsidRPr="003215C5">
              <w:t xml:space="preserve">One operating radiological facility; </w:t>
            </w:r>
          </w:p>
          <w:p w:rsidR="001E28E4" w:rsidRDefault="001E28E4" w:rsidP="000C09E1">
            <w:pPr>
              <w:pStyle w:val="ListParagraph"/>
              <w:numPr>
                <w:ilvl w:val="0"/>
                <w:numId w:val="27"/>
              </w:numPr>
            </w:pPr>
            <w:r w:rsidRPr="003215C5">
              <w:t xml:space="preserve">Eight operating hazardous non-nuclear facilities; and </w:t>
            </w:r>
          </w:p>
          <w:p w:rsidR="001E28E4" w:rsidRDefault="001E28E4" w:rsidP="000C09E1">
            <w:pPr>
              <w:pStyle w:val="ListParagraph"/>
              <w:numPr>
                <w:ilvl w:val="0"/>
                <w:numId w:val="27"/>
              </w:numPr>
            </w:pPr>
            <w:r w:rsidRPr="003215C5">
              <w:t>One major ac</w:t>
            </w:r>
            <w:r w:rsidR="00320A73">
              <w:t>tivity retrieving buried waste.</w:t>
            </w:r>
          </w:p>
          <w:p w:rsidR="001E28E4" w:rsidRDefault="001E28E4" w:rsidP="001E28E4"/>
          <w:p w:rsidR="001E28E4" w:rsidRDefault="001E28E4" w:rsidP="00AF7B91">
            <w:pPr>
              <w:pStyle w:val="ListParagraph"/>
              <w:numPr>
                <w:ilvl w:val="0"/>
                <w:numId w:val="29"/>
              </w:numPr>
              <w:spacing w:after="120"/>
            </w:pPr>
            <w:r w:rsidRPr="003215C5">
              <w:t xml:space="preserve">Describe any potential or probable changes to the mission that may significantly </w:t>
            </w:r>
            <w:r>
              <w:t>affect</w:t>
            </w:r>
            <w:r w:rsidRPr="003215C5">
              <w:t xml:space="preserve"> technical staffing</w:t>
            </w:r>
            <w:r>
              <w:t xml:space="preserve"> needs.  </w:t>
            </w:r>
            <w:r w:rsidRPr="003215C5">
              <w:t xml:space="preserve">For example: </w:t>
            </w:r>
            <w:r w:rsidR="00C059F1">
              <w:t xml:space="preserve"> </w:t>
            </w:r>
          </w:p>
          <w:p w:rsidR="001E28E4" w:rsidRPr="000C09E1" w:rsidRDefault="001E28E4" w:rsidP="000C09E1">
            <w:pPr>
              <w:pStyle w:val="ListParagraph"/>
              <w:numPr>
                <w:ilvl w:val="0"/>
                <w:numId w:val="27"/>
              </w:numPr>
              <w:rPr>
                <w:i/>
                <w:iCs/>
              </w:rPr>
            </w:pPr>
            <w:r w:rsidRPr="003215C5">
              <w:t>Within eight months, facilities under active D&amp;D are to increase from four to nine and schedule accelerate f</w:t>
            </w:r>
            <w:r w:rsidR="00B33703">
              <w:t xml:space="preserve">rom twelve years to five years; </w:t>
            </w:r>
          </w:p>
          <w:p w:rsidR="001E28E4" w:rsidRPr="000C09E1" w:rsidRDefault="001E28E4" w:rsidP="000C09E1">
            <w:pPr>
              <w:pStyle w:val="ListParagraph"/>
              <w:numPr>
                <w:ilvl w:val="0"/>
                <w:numId w:val="27"/>
              </w:numPr>
              <w:rPr>
                <w:i/>
                <w:iCs/>
              </w:rPr>
            </w:pPr>
            <w:r w:rsidRPr="003215C5">
              <w:t xml:space="preserve">Operation of new test facility to start next year; </w:t>
            </w:r>
          </w:p>
          <w:p w:rsidR="001E28E4" w:rsidRPr="000C09E1" w:rsidRDefault="001E28E4" w:rsidP="000C09E1">
            <w:pPr>
              <w:pStyle w:val="ListParagraph"/>
              <w:numPr>
                <w:ilvl w:val="0"/>
                <w:numId w:val="27"/>
              </w:numPr>
              <w:rPr>
                <w:i/>
                <w:iCs/>
              </w:rPr>
            </w:pPr>
            <w:r w:rsidRPr="003215C5">
              <w:t xml:space="preserve">Former separations facility is being converted to a Transuranic waste storage facility; and </w:t>
            </w:r>
          </w:p>
          <w:p w:rsidR="001E28E4" w:rsidRPr="000C09E1" w:rsidRDefault="001E28E4" w:rsidP="000C09E1">
            <w:pPr>
              <w:pStyle w:val="ListParagraph"/>
              <w:numPr>
                <w:ilvl w:val="0"/>
                <w:numId w:val="27"/>
              </w:numPr>
              <w:rPr>
                <w:i/>
                <w:iCs/>
              </w:rPr>
            </w:pPr>
            <w:r w:rsidRPr="003215C5">
              <w:t>All operating facilities to be shut down within two years.</w:t>
            </w:r>
          </w:p>
          <w:p w:rsidR="00470B40" w:rsidRPr="000C09E1" w:rsidRDefault="00470B40" w:rsidP="00470B40">
            <w:pPr>
              <w:rPr>
                <w:iCs/>
              </w:rPr>
            </w:pPr>
          </w:p>
        </w:tc>
      </w:tr>
      <w:tr w:rsidR="001E28E4" w:rsidTr="000C09E1">
        <w:tc>
          <w:tcPr>
            <w:tcW w:w="11016" w:type="dxa"/>
          </w:tcPr>
          <w:p w:rsidR="00757F47" w:rsidRPr="000C09E1" w:rsidRDefault="002D0E1D" w:rsidP="000C09E1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Site Characteristics</w:t>
            </w:r>
          </w:p>
          <w:p w:rsidR="00757F47" w:rsidRDefault="00757F47" w:rsidP="000C09E1">
            <w:pPr>
              <w:pStyle w:val="ListParagraph"/>
              <w:jc w:val="center"/>
            </w:pPr>
          </w:p>
          <w:p w:rsidR="001E28E4" w:rsidRPr="000C09E1" w:rsidRDefault="001E28E4" w:rsidP="000C09E1">
            <w:pPr>
              <w:ind w:right="-1080"/>
              <w:rPr>
                <w:b/>
                <w:bCs/>
              </w:rPr>
            </w:pPr>
            <w:r w:rsidRPr="000C09E1">
              <w:rPr>
                <w:b/>
                <w:bCs/>
              </w:rPr>
              <w:t>Number</w:t>
            </w:r>
            <w:r w:rsidR="00757F47" w:rsidRPr="000C09E1">
              <w:rPr>
                <w:b/>
                <w:bCs/>
              </w:rPr>
              <w:t xml:space="preserve"> and Hazard Category (HC) (per DOE Standard 1027) of NUCLEAR </w:t>
            </w:r>
            <w:r w:rsidRPr="000C09E1">
              <w:rPr>
                <w:b/>
                <w:bCs/>
              </w:rPr>
              <w:t>Facilities</w:t>
            </w:r>
            <w:r w:rsidR="004024A2" w:rsidRPr="000C09E1">
              <w:rPr>
                <w:b/>
                <w:bCs/>
              </w:rPr>
              <w:t>:</w:t>
            </w:r>
            <w:r w:rsidR="00757F47" w:rsidRPr="000C09E1">
              <w:rPr>
                <w:b/>
                <w:bCs/>
              </w:rPr>
              <w:t xml:space="preserve"> </w:t>
            </w:r>
            <w:r w:rsidR="00C059F1">
              <w:rPr>
                <w:b/>
                <w:bCs/>
              </w:rPr>
              <w:t xml:space="preserve"> </w:t>
            </w:r>
          </w:p>
          <w:p w:rsidR="00757F47" w:rsidRPr="000C09E1" w:rsidRDefault="00757F47" w:rsidP="000C09E1">
            <w:pPr>
              <w:ind w:right="-1080"/>
              <w:rPr>
                <w:b/>
                <w:bCs/>
              </w:rPr>
            </w:pPr>
          </w:p>
          <w:tbl>
            <w:tblPr>
              <w:tblW w:w="0" w:type="auto"/>
              <w:tblInd w:w="3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630"/>
              <w:gridCol w:w="1218"/>
              <w:gridCol w:w="276"/>
              <w:gridCol w:w="576"/>
              <w:gridCol w:w="1290"/>
              <w:gridCol w:w="312"/>
              <w:gridCol w:w="558"/>
              <w:gridCol w:w="1359"/>
              <w:gridCol w:w="329"/>
              <w:gridCol w:w="1642"/>
              <w:gridCol w:w="1530"/>
            </w:tblGrid>
            <w:tr w:rsidR="003F137D" w:rsidTr="00230751">
              <w:tblPrEx>
                <w:tblCellMar>
                  <w:top w:w="0" w:type="dxa"/>
                  <w:bottom w:w="0" w:type="dxa"/>
                </w:tblCellMar>
              </w:tblPrEx>
              <w:trPr>
                <w:trHeight w:val="415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137D" w:rsidRDefault="003F137D" w:rsidP="00230751">
                  <w:pPr>
                    <w:ind w:right="-1080"/>
                    <w:rPr>
                      <w:b/>
                      <w:bCs/>
                    </w:rPr>
                  </w:pPr>
                  <w:r w:rsidRPr="000C09E1">
                    <w:rPr>
                      <w:b/>
                      <w:bCs/>
                    </w:rPr>
                    <w:t xml:space="preserve">HC1 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F137D" w:rsidRDefault="003F137D" w:rsidP="00230751">
                  <w:pPr>
                    <w:ind w:right="-1080"/>
                    <w:rPr>
                      <w:b/>
                      <w:bCs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137D" w:rsidRDefault="003F137D" w:rsidP="00230751">
                  <w:pPr>
                    <w:ind w:right="-1080"/>
                    <w:rPr>
                      <w:b/>
                      <w:bCs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137D" w:rsidRDefault="003F137D" w:rsidP="00230751">
                  <w:pPr>
                    <w:ind w:left="-72" w:right="-1080"/>
                    <w:rPr>
                      <w:b/>
                      <w:bCs/>
                    </w:rPr>
                  </w:pPr>
                  <w:r w:rsidRPr="000C09E1">
                    <w:rPr>
                      <w:b/>
                      <w:bCs/>
                    </w:rPr>
                    <w:t xml:space="preserve">HC2 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F137D" w:rsidRDefault="003F137D" w:rsidP="00230751">
                  <w:pPr>
                    <w:ind w:right="-1080"/>
                    <w:rPr>
                      <w:b/>
                      <w:bCs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137D" w:rsidRDefault="003F137D" w:rsidP="00230751">
                  <w:pPr>
                    <w:ind w:right="-1080"/>
                    <w:rPr>
                      <w:b/>
                      <w:bCs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137D" w:rsidRDefault="003F137D" w:rsidP="00230751">
                  <w:pPr>
                    <w:ind w:left="-90" w:right="-1080"/>
                    <w:rPr>
                      <w:b/>
                      <w:bCs/>
                    </w:rPr>
                  </w:pPr>
                  <w:r w:rsidRPr="000C09E1">
                    <w:rPr>
                      <w:b/>
                      <w:bCs/>
                    </w:rPr>
                    <w:t xml:space="preserve">HC3 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F137D" w:rsidRDefault="003F137D" w:rsidP="00230751">
                  <w:pPr>
                    <w:ind w:right="-1080"/>
                    <w:rPr>
                      <w:b/>
                      <w:bCs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137D" w:rsidRDefault="003F137D" w:rsidP="00230751">
                  <w:pPr>
                    <w:ind w:right="-1080"/>
                    <w:rPr>
                      <w:b/>
                      <w:bCs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137D" w:rsidRDefault="003F137D" w:rsidP="00230751">
                  <w:pPr>
                    <w:ind w:left="-86" w:right="-1080"/>
                    <w:rPr>
                      <w:b/>
                      <w:bCs/>
                    </w:rPr>
                  </w:pPr>
                  <w:r w:rsidRPr="000C09E1">
                    <w:rPr>
                      <w:b/>
                      <w:bCs/>
                    </w:rPr>
                    <w:t>Less than HC3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F137D" w:rsidRDefault="003F137D" w:rsidP="00230751">
                  <w:pPr>
                    <w:ind w:right="-1080"/>
                    <w:rPr>
                      <w:b/>
                      <w:bCs/>
                    </w:rPr>
                  </w:pPr>
                </w:p>
              </w:tc>
            </w:tr>
          </w:tbl>
          <w:p w:rsidR="00230751" w:rsidRDefault="00230751" w:rsidP="000C09E1">
            <w:pPr>
              <w:ind w:right="-1080"/>
              <w:rPr>
                <w:b/>
                <w:bCs/>
              </w:rPr>
            </w:pPr>
          </w:p>
          <w:p w:rsidR="007966D1" w:rsidRPr="000C09E1" w:rsidRDefault="007966D1" w:rsidP="000C09E1">
            <w:pPr>
              <w:ind w:right="-1080"/>
              <w:rPr>
                <w:b/>
                <w:bCs/>
              </w:rPr>
            </w:pPr>
          </w:p>
          <w:tbl>
            <w:tblPr>
              <w:tblW w:w="0" w:type="auto"/>
              <w:tblBorders>
                <w:insideH w:val="single" w:sz="8" w:space="0" w:color="auto"/>
              </w:tblBorders>
              <w:tblLook w:val="04A0"/>
            </w:tblPr>
            <w:tblGrid>
              <w:gridCol w:w="4347"/>
              <w:gridCol w:w="1188"/>
              <w:gridCol w:w="225"/>
              <w:gridCol w:w="1260"/>
              <w:gridCol w:w="702"/>
              <w:gridCol w:w="2907"/>
            </w:tblGrid>
            <w:tr w:rsidR="007E05EF" w:rsidRPr="00082FE3" w:rsidTr="006B7A21">
              <w:tc>
                <w:tcPr>
                  <w:tcW w:w="4347" w:type="dxa"/>
                  <w:tcBorders>
                    <w:top w:val="nil"/>
                    <w:bottom w:val="nil"/>
                  </w:tcBorders>
                  <w:vAlign w:val="bottom"/>
                </w:tcPr>
                <w:p w:rsidR="00230751" w:rsidRPr="00082FE3" w:rsidRDefault="00230751" w:rsidP="00082FE3">
                  <w:pPr>
                    <w:ind w:right="-135"/>
                    <w:rPr>
                      <w:b/>
                      <w:bCs/>
                    </w:rPr>
                  </w:pPr>
                  <w:r w:rsidRPr="00082FE3">
                    <w:rPr>
                      <w:b/>
                      <w:bCs/>
                    </w:rPr>
                    <w:t>Number of Documented Safety Analyses:</w:t>
                  </w:r>
                </w:p>
              </w:tc>
              <w:tc>
                <w:tcPr>
                  <w:tcW w:w="6282" w:type="dxa"/>
                  <w:gridSpan w:val="5"/>
                  <w:tcBorders>
                    <w:bottom w:val="single" w:sz="8" w:space="0" w:color="auto"/>
                  </w:tcBorders>
                  <w:vAlign w:val="bottom"/>
                </w:tcPr>
                <w:p w:rsidR="00230751" w:rsidRPr="00082FE3" w:rsidRDefault="00230751" w:rsidP="00082FE3">
                  <w:pPr>
                    <w:ind w:left="-45"/>
                    <w:rPr>
                      <w:b/>
                      <w:bCs/>
                    </w:rPr>
                  </w:pPr>
                </w:p>
              </w:tc>
            </w:tr>
            <w:tr w:rsidR="006E4C4A" w:rsidRPr="00082FE3" w:rsidTr="006B7A21">
              <w:tc>
                <w:tcPr>
                  <w:tcW w:w="4347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4C4A" w:rsidRPr="00082FE3" w:rsidRDefault="006E4C4A" w:rsidP="006E4C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282" w:type="dxa"/>
                  <w:gridSpan w:val="5"/>
                  <w:tcBorders>
                    <w:top w:val="single" w:sz="8" w:space="0" w:color="auto"/>
                    <w:left w:val="nil"/>
                    <w:bottom w:val="nil"/>
                  </w:tcBorders>
                  <w:vAlign w:val="bottom"/>
                </w:tcPr>
                <w:p w:rsidR="006E4C4A" w:rsidRPr="00082FE3" w:rsidRDefault="006E4C4A" w:rsidP="00082FE3">
                  <w:pPr>
                    <w:ind w:left="-45"/>
                    <w:rPr>
                      <w:b/>
                      <w:bCs/>
                    </w:rPr>
                  </w:pPr>
                </w:p>
              </w:tc>
            </w:tr>
            <w:tr w:rsidR="00F70642" w:rsidRPr="00082FE3" w:rsidTr="00082FE3">
              <w:tc>
                <w:tcPr>
                  <w:tcW w:w="7722" w:type="dxa"/>
                  <w:gridSpan w:val="5"/>
                  <w:tcBorders>
                    <w:top w:val="nil"/>
                    <w:bottom w:val="nil"/>
                  </w:tcBorders>
                  <w:vAlign w:val="bottom"/>
                </w:tcPr>
                <w:p w:rsidR="00230751" w:rsidRPr="00082FE3" w:rsidRDefault="00230751" w:rsidP="00082FE3">
                  <w:pPr>
                    <w:ind w:right="-126"/>
                    <w:rPr>
                      <w:b/>
                      <w:bCs/>
                    </w:rPr>
                  </w:pPr>
                  <w:r w:rsidRPr="00082FE3">
                    <w:rPr>
                      <w:b/>
                      <w:bCs/>
                    </w:rPr>
                    <w:t>Total Number of Safety Systems credited in Documented Safety Analyses:</w:t>
                  </w:r>
                </w:p>
              </w:tc>
              <w:tc>
                <w:tcPr>
                  <w:tcW w:w="2907" w:type="dxa"/>
                  <w:tcBorders>
                    <w:top w:val="nil"/>
                    <w:bottom w:val="single" w:sz="8" w:space="0" w:color="auto"/>
                  </w:tcBorders>
                  <w:vAlign w:val="bottom"/>
                </w:tcPr>
                <w:p w:rsidR="00230751" w:rsidRPr="00082FE3" w:rsidRDefault="00230751" w:rsidP="006E4C4A">
                  <w:pPr>
                    <w:rPr>
                      <w:b/>
                      <w:bCs/>
                    </w:rPr>
                  </w:pPr>
                </w:p>
              </w:tc>
            </w:tr>
            <w:tr w:rsidR="006E4C4A" w:rsidRPr="00082FE3" w:rsidTr="00082FE3">
              <w:tc>
                <w:tcPr>
                  <w:tcW w:w="7722" w:type="dxa"/>
                  <w:gridSpan w:val="5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4C4A" w:rsidRPr="00082FE3" w:rsidRDefault="006E4C4A" w:rsidP="006E4C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nil"/>
                  </w:tcBorders>
                  <w:vAlign w:val="bottom"/>
                </w:tcPr>
                <w:p w:rsidR="006E4C4A" w:rsidRPr="00082FE3" w:rsidRDefault="006E4C4A" w:rsidP="006E4C4A">
                  <w:pPr>
                    <w:rPr>
                      <w:b/>
                      <w:bCs/>
                    </w:rPr>
                  </w:pPr>
                </w:p>
              </w:tc>
            </w:tr>
            <w:tr w:rsidR="00F70642" w:rsidRPr="00082FE3" w:rsidTr="00082FE3">
              <w:tc>
                <w:tcPr>
                  <w:tcW w:w="7020" w:type="dxa"/>
                  <w:gridSpan w:val="4"/>
                  <w:tcBorders>
                    <w:top w:val="nil"/>
                    <w:bottom w:val="nil"/>
                  </w:tcBorders>
                  <w:vAlign w:val="bottom"/>
                </w:tcPr>
                <w:p w:rsidR="006E4C4A" w:rsidRPr="00082FE3" w:rsidRDefault="006E4C4A" w:rsidP="00082FE3">
                  <w:pPr>
                    <w:ind w:right="-108"/>
                    <w:rPr>
                      <w:b/>
                      <w:bCs/>
                    </w:rPr>
                  </w:pPr>
                  <w:r w:rsidRPr="00082FE3">
                    <w:rPr>
                      <w:b/>
                      <w:bCs/>
                    </w:rPr>
                    <w:t>Number of High or Moderate Hazard NON-NUCLEAR Facilities:</w:t>
                  </w:r>
                </w:p>
              </w:tc>
              <w:tc>
                <w:tcPr>
                  <w:tcW w:w="3609" w:type="dxa"/>
                  <w:gridSpan w:val="2"/>
                  <w:tcBorders>
                    <w:top w:val="nil"/>
                    <w:bottom w:val="single" w:sz="8" w:space="0" w:color="auto"/>
                  </w:tcBorders>
                  <w:vAlign w:val="bottom"/>
                </w:tcPr>
                <w:p w:rsidR="006E4C4A" w:rsidRPr="00082FE3" w:rsidRDefault="006E4C4A" w:rsidP="006E4C4A">
                  <w:pPr>
                    <w:rPr>
                      <w:b/>
                      <w:bCs/>
                    </w:rPr>
                  </w:pPr>
                </w:p>
              </w:tc>
            </w:tr>
            <w:tr w:rsidR="006E4C4A" w:rsidRPr="00082FE3" w:rsidTr="00082FE3">
              <w:tc>
                <w:tcPr>
                  <w:tcW w:w="7020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4C4A" w:rsidRPr="00082FE3" w:rsidRDefault="006E4C4A" w:rsidP="006E4C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609" w:type="dxa"/>
                  <w:gridSpan w:val="2"/>
                  <w:tcBorders>
                    <w:top w:val="single" w:sz="8" w:space="0" w:color="auto"/>
                    <w:left w:val="nil"/>
                    <w:bottom w:val="nil"/>
                  </w:tcBorders>
                  <w:vAlign w:val="bottom"/>
                </w:tcPr>
                <w:p w:rsidR="006E4C4A" w:rsidRPr="00082FE3" w:rsidRDefault="006E4C4A" w:rsidP="006E4C4A">
                  <w:pPr>
                    <w:rPr>
                      <w:b/>
                      <w:bCs/>
                    </w:rPr>
                  </w:pPr>
                </w:p>
              </w:tc>
            </w:tr>
            <w:tr w:rsidR="00230751" w:rsidRPr="00082FE3" w:rsidTr="00C059F1">
              <w:tc>
                <w:tcPr>
                  <w:tcW w:w="5535" w:type="dxa"/>
                  <w:gridSpan w:val="2"/>
                  <w:tcBorders>
                    <w:top w:val="nil"/>
                    <w:bottom w:val="nil"/>
                  </w:tcBorders>
                  <w:vAlign w:val="bottom"/>
                </w:tcPr>
                <w:p w:rsidR="00230751" w:rsidRPr="00082FE3" w:rsidRDefault="00230751" w:rsidP="00082FE3">
                  <w:pPr>
                    <w:ind w:right="-108"/>
                    <w:rPr>
                      <w:b/>
                      <w:bCs/>
                    </w:rPr>
                  </w:pPr>
                  <w:r w:rsidRPr="00082FE3">
                    <w:rPr>
                      <w:b/>
                      <w:bCs/>
                    </w:rPr>
                    <w:t xml:space="preserve">Number of Low Hazard NON-NUCLEAR Facilities: </w:t>
                  </w:r>
                </w:p>
              </w:tc>
              <w:tc>
                <w:tcPr>
                  <w:tcW w:w="5094" w:type="dxa"/>
                  <w:gridSpan w:val="4"/>
                  <w:tcBorders>
                    <w:top w:val="nil"/>
                    <w:bottom w:val="single" w:sz="8" w:space="0" w:color="auto"/>
                  </w:tcBorders>
                  <w:vAlign w:val="bottom"/>
                </w:tcPr>
                <w:p w:rsidR="00230751" w:rsidRPr="00082FE3" w:rsidRDefault="00230751" w:rsidP="006E4C4A">
                  <w:pPr>
                    <w:rPr>
                      <w:b/>
                      <w:bCs/>
                    </w:rPr>
                  </w:pPr>
                </w:p>
              </w:tc>
            </w:tr>
            <w:tr w:rsidR="006E4C4A" w:rsidRPr="00082FE3" w:rsidTr="00C059F1">
              <w:tc>
                <w:tcPr>
                  <w:tcW w:w="5535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4C4A" w:rsidRPr="00082FE3" w:rsidRDefault="006E4C4A" w:rsidP="006E4C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094" w:type="dxa"/>
                  <w:gridSpan w:val="4"/>
                  <w:tcBorders>
                    <w:top w:val="single" w:sz="8" w:space="0" w:color="auto"/>
                    <w:left w:val="nil"/>
                    <w:bottom w:val="nil"/>
                  </w:tcBorders>
                  <w:vAlign w:val="bottom"/>
                </w:tcPr>
                <w:p w:rsidR="006E4C4A" w:rsidRPr="00082FE3" w:rsidRDefault="006E4C4A" w:rsidP="006E4C4A">
                  <w:pPr>
                    <w:rPr>
                      <w:b/>
                      <w:bCs/>
                    </w:rPr>
                  </w:pPr>
                </w:p>
              </w:tc>
            </w:tr>
            <w:tr w:rsidR="00F70642" w:rsidRPr="00082FE3" w:rsidTr="00082FE3">
              <w:tc>
                <w:tcPr>
                  <w:tcW w:w="5760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230751" w:rsidRPr="00082FE3" w:rsidRDefault="00230751" w:rsidP="00082FE3">
                  <w:pPr>
                    <w:ind w:right="-108"/>
                    <w:rPr>
                      <w:b/>
                      <w:bCs/>
                    </w:rPr>
                  </w:pPr>
                  <w:r w:rsidRPr="00082FE3">
                    <w:rPr>
                      <w:b/>
                      <w:bCs/>
                    </w:rPr>
                    <w:t xml:space="preserve">Number of Site Contractor FTEs (by Program Office): </w:t>
                  </w:r>
                </w:p>
              </w:tc>
              <w:tc>
                <w:tcPr>
                  <w:tcW w:w="4869" w:type="dxa"/>
                  <w:gridSpan w:val="3"/>
                  <w:tcBorders>
                    <w:top w:val="nil"/>
                    <w:bottom w:val="single" w:sz="8" w:space="0" w:color="auto"/>
                  </w:tcBorders>
                  <w:vAlign w:val="bottom"/>
                </w:tcPr>
                <w:p w:rsidR="00230751" w:rsidRPr="00082FE3" w:rsidRDefault="00230751" w:rsidP="006E4C4A">
                  <w:pPr>
                    <w:rPr>
                      <w:b/>
                      <w:bCs/>
                    </w:rPr>
                  </w:pPr>
                </w:p>
              </w:tc>
            </w:tr>
            <w:tr w:rsidR="006E4C4A" w:rsidRPr="00082FE3" w:rsidTr="00082FE3">
              <w:tc>
                <w:tcPr>
                  <w:tcW w:w="5760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6E4C4A" w:rsidRPr="00082FE3" w:rsidRDefault="006E4C4A" w:rsidP="006E4C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69" w:type="dxa"/>
                  <w:gridSpan w:val="3"/>
                  <w:tcBorders>
                    <w:top w:val="single" w:sz="8" w:space="0" w:color="auto"/>
                    <w:left w:val="nil"/>
                    <w:bottom w:val="nil"/>
                  </w:tcBorders>
                  <w:vAlign w:val="bottom"/>
                </w:tcPr>
                <w:p w:rsidR="006E4C4A" w:rsidRPr="00082FE3" w:rsidRDefault="006E4C4A" w:rsidP="006E4C4A">
                  <w:pPr>
                    <w:rPr>
                      <w:b/>
                      <w:bCs/>
                    </w:rPr>
                  </w:pPr>
                </w:p>
              </w:tc>
            </w:tr>
            <w:tr w:rsidR="00230751" w:rsidRPr="00082FE3" w:rsidTr="00082FE3">
              <w:tc>
                <w:tcPr>
                  <w:tcW w:w="5760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230751" w:rsidRPr="00082FE3" w:rsidRDefault="00230751" w:rsidP="006E4C4A">
                  <w:pPr>
                    <w:rPr>
                      <w:b/>
                      <w:bCs/>
                    </w:rPr>
                  </w:pPr>
                  <w:r w:rsidRPr="00082FE3">
                    <w:rPr>
                      <w:b/>
                      <w:bCs/>
                    </w:rPr>
                    <w:t>Number of Federal Office FTEs (by Program Office):</w:t>
                  </w:r>
                </w:p>
              </w:tc>
              <w:tc>
                <w:tcPr>
                  <w:tcW w:w="4869" w:type="dxa"/>
                  <w:gridSpan w:val="3"/>
                  <w:tcBorders>
                    <w:top w:val="nil"/>
                    <w:bottom w:val="single" w:sz="8" w:space="0" w:color="auto"/>
                  </w:tcBorders>
                  <w:vAlign w:val="bottom"/>
                </w:tcPr>
                <w:p w:rsidR="00230751" w:rsidRPr="00082FE3" w:rsidRDefault="00230751" w:rsidP="006E4C4A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57F47" w:rsidRPr="000C09E1" w:rsidRDefault="001E28E4" w:rsidP="00CB1E8A">
            <w:pPr>
              <w:spacing w:before="120"/>
              <w:rPr>
                <w:b/>
                <w:sz w:val="20"/>
                <w:szCs w:val="20"/>
              </w:rPr>
            </w:pPr>
            <w:r w:rsidRPr="000C09E1">
              <w:rPr>
                <w:b/>
                <w:sz w:val="20"/>
                <w:szCs w:val="20"/>
              </w:rPr>
              <w:t>Sites accountable to multiple Headquarter</w:t>
            </w:r>
            <w:r w:rsidR="007966D1" w:rsidRPr="000C09E1">
              <w:rPr>
                <w:b/>
                <w:sz w:val="20"/>
                <w:szCs w:val="20"/>
              </w:rPr>
              <w:t>s</w:t>
            </w:r>
            <w:r w:rsidRPr="000C09E1">
              <w:rPr>
                <w:b/>
                <w:sz w:val="20"/>
                <w:szCs w:val="20"/>
              </w:rPr>
              <w:t xml:space="preserve"> Program Offices list FT</w:t>
            </w:r>
            <w:r w:rsidR="007966D1" w:rsidRPr="000C09E1">
              <w:rPr>
                <w:b/>
                <w:sz w:val="20"/>
                <w:szCs w:val="20"/>
              </w:rPr>
              <w:t xml:space="preserve">Es </w:t>
            </w:r>
            <w:r w:rsidR="00757F47" w:rsidRPr="000C09E1">
              <w:rPr>
                <w:b/>
                <w:sz w:val="20"/>
                <w:szCs w:val="20"/>
              </w:rPr>
              <w:t xml:space="preserve">by each </w:t>
            </w:r>
            <w:r w:rsidRPr="000C09E1">
              <w:rPr>
                <w:b/>
                <w:sz w:val="20"/>
                <w:szCs w:val="20"/>
              </w:rPr>
              <w:t xml:space="preserve">Office, e.g. Total 22 FTEs (EM - 20, NE - 2). </w:t>
            </w:r>
          </w:p>
          <w:p w:rsidR="00EC5355" w:rsidRDefault="00EC5355" w:rsidP="000C09E1">
            <w:pPr>
              <w:ind w:right="-180"/>
              <w:rPr>
                <w:iCs/>
              </w:rPr>
            </w:pPr>
          </w:p>
          <w:p w:rsidR="00AF7B91" w:rsidRPr="000C09E1" w:rsidRDefault="00AF7B91" w:rsidP="000C09E1">
            <w:pPr>
              <w:ind w:right="-180"/>
              <w:rPr>
                <w:iCs/>
              </w:rPr>
            </w:pPr>
          </w:p>
        </w:tc>
      </w:tr>
      <w:tr w:rsidR="001E28E4" w:rsidTr="000C09E1">
        <w:trPr>
          <w:cantSplit/>
        </w:trPr>
        <w:tc>
          <w:tcPr>
            <w:tcW w:w="11016" w:type="dxa"/>
          </w:tcPr>
          <w:p w:rsidR="007966D1" w:rsidRPr="00B65AB1" w:rsidRDefault="00B65AB1" w:rsidP="00581F7C">
            <w:pPr>
              <w:spacing w:after="120"/>
              <w:jc w:val="center"/>
              <w:rPr>
                <w:b/>
                <w:bCs/>
              </w:rPr>
            </w:pPr>
            <w:r w:rsidRPr="00B65AB1">
              <w:rPr>
                <w:b/>
                <w:bCs/>
              </w:rPr>
              <w:lastRenderedPageBreak/>
              <w:t xml:space="preserve">SECTION </w:t>
            </w:r>
            <w:r w:rsidR="00D80EB8">
              <w:rPr>
                <w:b/>
                <w:bCs/>
              </w:rPr>
              <w:t xml:space="preserve">TWO: </w:t>
            </w:r>
            <w:r w:rsidR="00C059F1">
              <w:rPr>
                <w:b/>
                <w:bCs/>
              </w:rPr>
              <w:t xml:space="preserve"> </w:t>
            </w:r>
            <w:r w:rsidRPr="00B65AB1">
              <w:rPr>
                <w:b/>
                <w:bCs/>
              </w:rPr>
              <w:t>TECHNICAL STAFFING</w:t>
            </w:r>
          </w:p>
          <w:p w:rsidR="007966D1" w:rsidRDefault="007966D1" w:rsidP="005B263A">
            <w:pPr>
              <w:spacing w:after="120"/>
            </w:pPr>
            <w:r w:rsidRPr="003215C5">
              <w:t xml:space="preserve">Complete the </w:t>
            </w:r>
            <w:r w:rsidR="004024A2" w:rsidRPr="003215C5">
              <w:t xml:space="preserve">Technical Staffing </w:t>
            </w:r>
            <w:r w:rsidR="004024A2">
              <w:t>Summary T</w:t>
            </w:r>
            <w:r w:rsidRPr="003215C5">
              <w:t xml:space="preserve">able as follows for each of the technical capabilities: </w:t>
            </w:r>
            <w:r w:rsidR="00C059F1">
              <w:t xml:space="preserve"> </w:t>
            </w:r>
          </w:p>
          <w:p w:rsidR="00470B40" w:rsidRDefault="00470B40" w:rsidP="005B263A">
            <w:pPr>
              <w:pStyle w:val="ListParagraph"/>
              <w:numPr>
                <w:ilvl w:val="0"/>
                <w:numId w:val="21"/>
              </w:numPr>
              <w:spacing w:after="100"/>
              <w:ind w:left="821" w:hanging="274"/>
              <w:contextualSpacing w:val="0"/>
            </w:pPr>
            <w:r w:rsidRPr="003215C5">
              <w:t xml:space="preserve">Senior Technical Safety Manager </w:t>
            </w:r>
            <w:r>
              <w:t>(</w:t>
            </w:r>
            <w:r w:rsidRPr="003215C5">
              <w:t>STSM</w:t>
            </w:r>
            <w:r>
              <w:t>)</w:t>
            </w:r>
            <w:r w:rsidRPr="003215C5">
              <w:t xml:space="preserve"> qualification </w:t>
            </w:r>
            <w:r>
              <w:t>needs are</w:t>
            </w:r>
            <w:r w:rsidRPr="003215C5">
              <w:t xml:space="preserve"> determined by the position in the organization rather than the FTE workload.</w:t>
            </w:r>
            <w:r>
              <w:t xml:space="preserve">  </w:t>
            </w:r>
            <w:r w:rsidRPr="003215C5">
              <w:t xml:space="preserve">For STSMs, enter the number of positions requiring STSM qualification and the number assigned as of </w:t>
            </w:r>
            <w:r>
              <w:t>December 2013.</w:t>
            </w:r>
          </w:p>
          <w:p w:rsidR="007966D1" w:rsidRDefault="00470B40" w:rsidP="005B263A">
            <w:pPr>
              <w:pStyle w:val="ListParagraph"/>
              <w:numPr>
                <w:ilvl w:val="0"/>
                <w:numId w:val="21"/>
              </w:numPr>
              <w:spacing w:after="100"/>
              <w:ind w:left="821" w:hanging="274"/>
              <w:contextualSpacing w:val="0"/>
            </w:pPr>
            <w:r>
              <w:t xml:space="preserve">For Technical Capabilities other than </w:t>
            </w:r>
            <w:r w:rsidR="007966D1" w:rsidRPr="003215C5">
              <w:t>STSM, enter the number of personnel in Full Time</w:t>
            </w:r>
            <w:r w:rsidR="007966D1">
              <w:t xml:space="preserve"> </w:t>
            </w:r>
            <w:r w:rsidR="007966D1" w:rsidRPr="00CE5CDC">
              <w:t>Equivalents (FTE)</w:t>
            </w:r>
            <w:r w:rsidR="00A4541A">
              <w:t>,</w:t>
            </w:r>
            <w:r w:rsidR="007966D1" w:rsidRPr="00CE5CDC">
              <w:t xml:space="preserve"> </w:t>
            </w:r>
            <w:r w:rsidR="00A4541A">
              <w:t>[e.g. 0.1 FTE]</w:t>
            </w:r>
            <w:r w:rsidR="007966D1" w:rsidRPr="00CE5CDC">
              <w:t xml:space="preserve"> needed to support safe operations for your site or office.</w:t>
            </w:r>
            <w:r w:rsidR="002E3D75">
              <w:t xml:space="preserve"> </w:t>
            </w:r>
            <w:r w:rsidR="007966D1" w:rsidRPr="00CE5CDC">
              <w:t xml:space="preserve"> Enter the</w:t>
            </w:r>
            <w:r w:rsidR="007966D1">
              <w:t xml:space="preserve"> </w:t>
            </w:r>
            <w:r w:rsidR="007966D1" w:rsidRPr="00CE5CDC">
              <w:t>number of FTE personnel who are on board as of December 201</w:t>
            </w:r>
            <w:r w:rsidR="007966D1">
              <w:t>3.</w:t>
            </w:r>
          </w:p>
          <w:p w:rsidR="002E3D75" w:rsidRPr="009C1D59" w:rsidRDefault="004024A2" w:rsidP="005B263A">
            <w:pPr>
              <w:pStyle w:val="ListParagraph"/>
              <w:numPr>
                <w:ilvl w:val="0"/>
                <w:numId w:val="21"/>
              </w:numPr>
              <w:spacing w:after="100"/>
              <w:ind w:left="821" w:hanging="274"/>
              <w:contextualSpacing w:val="0"/>
            </w:pPr>
            <w:r>
              <w:t xml:space="preserve">STSM/Facility Representative (FR)/Safety System Oversight (SSO) personnel are generally required for all nuclear facilities.  </w:t>
            </w:r>
            <w:r w:rsidRPr="002F06A9">
              <w:t xml:space="preserve">FRs are also </w:t>
            </w:r>
            <w:r w:rsidRPr="009C1D59">
              <w:t>used for other types of hazardous facilities.</w:t>
            </w:r>
            <w:r w:rsidR="002E3D75" w:rsidRPr="009C1D59">
              <w:t xml:space="preserve"> </w:t>
            </w:r>
            <w:r w:rsidRPr="009C1D59">
              <w:t xml:space="preserve"> FR personnel are normally not assig</w:t>
            </w:r>
            <w:r w:rsidR="009C1D59" w:rsidRPr="009C1D59">
              <w:t>ned to partial FTE requirements.</w:t>
            </w:r>
          </w:p>
          <w:p w:rsidR="007966D1" w:rsidRPr="009C1D59" w:rsidRDefault="004024A2" w:rsidP="005B263A">
            <w:pPr>
              <w:pStyle w:val="ListParagraph"/>
              <w:numPr>
                <w:ilvl w:val="0"/>
                <w:numId w:val="21"/>
              </w:numPr>
              <w:spacing w:after="100"/>
              <w:ind w:left="821" w:hanging="274"/>
              <w:contextualSpacing w:val="0"/>
            </w:pPr>
            <w:r>
              <w:t>If an SSO is assigned as a partial FTE to both an SSO Technical Capability and as a non-SSO, include a comment noting the division of time.  For example, a fire protection engineer assigned 0.5 FTE as a SSO and 0.5 FTE for other fire protection work cou</w:t>
            </w:r>
            <w:r w:rsidR="00C62C91">
              <w:t xml:space="preserve">ld be included in the SSO total </w:t>
            </w:r>
            <w:r>
              <w:t>and also entered on the fire protection en</w:t>
            </w:r>
            <w:r w:rsidR="00C62C91">
              <w:t>gineering competency as 0.5 FTE</w:t>
            </w:r>
            <w:r w:rsidR="00AB66D9">
              <w:t>,</w:t>
            </w:r>
            <w:r w:rsidR="00C62C91">
              <w:t xml:space="preserve"> </w:t>
            </w:r>
            <w:r>
              <w:t>with a comment that the fire protection engineer also serves 0.5 FTE as a SSO.</w:t>
            </w:r>
            <w:r w:rsidR="002E3D75">
              <w:t xml:space="preserve"> </w:t>
            </w:r>
            <w:r>
              <w:t xml:space="preserve"> The objective is to avoid double counting and to be clear if a fully utilized specialist is </w:t>
            </w:r>
            <w:r w:rsidRPr="009C1D59">
              <w:t>unavailable for other assignments.</w:t>
            </w:r>
          </w:p>
          <w:p w:rsidR="00591C4A" w:rsidRPr="009C1D59" w:rsidRDefault="00591C4A" w:rsidP="005B263A">
            <w:pPr>
              <w:pStyle w:val="ListParagraph"/>
              <w:numPr>
                <w:ilvl w:val="0"/>
                <w:numId w:val="21"/>
              </w:numPr>
              <w:spacing w:after="100"/>
              <w:ind w:left="821" w:hanging="274"/>
              <w:contextualSpacing w:val="0"/>
            </w:pPr>
            <w:r w:rsidRPr="009C1D59">
              <w:t xml:space="preserve">FR and SSO staffing analysis worksheets </w:t>
            </w:r>
            <w:r w:rsidR="009C1D59" w:rsidRPr="009C1D59">
              <w:t xml:space="preserve">and examples </w:t>
            </w:r>
            <w:r w:rsidRPr="009C1D59">
              <w:t xml:space="preserve">are available </w:t>
            </w:r>
            <w:r w:rsidR="009C1D59" w:rsidRPr="009C1D59">
              <w:t>by request</w:t>
            </w:r>
            <w:r w:rsidRPr="009C1D59">
              <w:t>.</w:t>
            </w:r>
          </w:p>
          <w:p w:rsidR="002E3D75" w:rsidRPr="009C1D59" w:rsidRDefault="007966D1" w:rsidP="005B263A">
            <w:pPr>
              <w:pStyle w:val="ListParagraph"/>
              <w:numPr>
                <w:ilvl w:val="0"/>
                <w:numId w:val="21"/>
              </w:numPr>
              <w:spacing w:after="100"/>
              <w:ind w:left="821" w:hanging="274"/>
              <w:contextualSpacing w:val="0"/>
            </w:pPr>
            <w:r w:rsidRPr="009C1D59">
              <w:t xml:space="preserve">The same person may be included in multiple capabilities as a fraction of an FTE in each </w:t>
            </w:r>
            <w:r w:rsidR="00A135C1" w:rsidRPr="009C1D59">
              <w:t>capability;</w:t>
            </w:r>
            <w:r w:rsidR="009C1D59" w:rsidRPr="009C1D59">
              <w:t xml:space="preserve"> h</w:t>
            </w:r>
            <w:r w:rsidR="002E3D75" w:rsidRPr="009C1D59">
              <w:t>owever, this requires completing multiple FAQs.</w:t>
            </w:r>
          </w:p>
          <w:p w:rsidR="007966D1" w:rsidRDefault="002E3D75" w:rsidP="005B263A">
            <w:pPr>
              <w:pStyle w:val="ListParagraph"/>
              <w:numPr>
                <w:ilvl w:val="0"/>
                <w:numId w:val="21"/>
              </w:numPr>
              <w:spacing w:after="100"/>
              <w:ind w:left="821" w:hanging="274"/>
              <w:contextualSpacing w:val="0"/>
            </w:pPr>
            <w:r w:rsidRPr="004A28CB">
              <w:t xml:space="preserve">If other types of experts in the list are not needed at the site, show zero in the </w:t>
            </w:r>
            <w:r w:rsidR="00A63049">
              <w:t>“</w:t>
            </w:r>
            <w:r w:rsidRPr="004A28CB">
              <w:t>Number of FTEs Needed</w:t>
            </w:r>
            <w:r w:rsidR="00A63049">
              <w:t>”</w:t>
            </w:r>
            <w:r>
              <w:t xml:space="preserve"> </w:t>
            </w:r>
            <w:r w:rsidRPr="004A28CB">
              <w:t xml:space="preserve">columns. </w:t>
            </w:r>
            <w:r>
              <w:t xml:space="preserve"> </w:t>
            </w:r>
            <w:r w:rsidRPr="004A28CB">
              <w:t xml:space="preserve">Do not delete the </w:t>
            </w:r>
            <w:r>
              <w:t>capability</w:t>
            </w:r>
            <w:r w:rsidRPr="004A28CB">
              <w:t xml:space="preserve"> from the list. </w:t>
            </w:r>
            <w:r>
              <w:t xml:space="preserve"> </w:t>
            </w:r>
            <w:r w:rsidRPr="004A28CB">
              <w:t>Only list technical capabilities with an approved</w:t>
            </w:r>
            <w:r>
              <w:t xml:space="preserve"> </w:t>
            </w:r>
            <w:r w:rsidRPr="004A28CB">
              <w:t xml:space="preserve">Functional Area Qualification Standard (FAQ). </w:t>
            </w:r>
            <w:r>
              <w:t xml:space="preserve"> </w:t>
            </w:r>
            <w:r w:rsidRPr="004A28CB">
              <w:t>Technical capability needs that are not covered by a</w:t>
            </w:r>
            <w:r>
              <w:t xml:space="preserve"> </w:t>
            </w:r>
            <w:r w:rsidRPr="004A28CB">
              <w:t>FAQ should be noted in Section 5 for potential</w:t>
            </w:r>
            <w:r>
              <w:t xml:space="preserve"> </w:t>
            </w:r>
            <w:r w:rsidRPr="004A28CB">
              <w:t>development of new FAQs.</w:t>
            </w:r>
          </w:p>
          <w:p w:rsidR="007966D1" w:rsidRDefault="007966D1" w:rsidP="005B263A">
            <w:pPr>
              <w:pStyle w:val="ListParagraph"/>
              <w:numPr>
                <w:ilvl w:val="0"/>
                <w:numId w:val="21"/>
              </w:numPr>
              <w:spacing w:after="100"/>
              <w:ind w:left="821" w:hanging="274"/>
              <w:contextualSpacing w:val="0"/>
            </w:pPr>
            <w:r w:rsidRPr="004A28CB">
              <w:t>Collateral duties assigned should be considered in completing the workforce analysis.</w:t>
            </w:r>
          </w:p>
          <w:p w:rsidR="007966D1" w:rsidRDefault="007966D1" w:rsidP="005B263A">
            <w:pPr>
              <w:pStyle w:val="ListParagraph"/>
              <w:numPr>
                <w:ilvl w:val="0"/>
                <w:numId w:val="21"/>
              </w:numPr>
              <w:spacing w:after="100"/>
              <w:ind w:left="821" w:hanging="274"/>
              <w:contextualSpacing w:val="0"/>
            </w:pPr>
            <w:r w:rsidRPr="004A28CB">
              <w:t>Use the comment column to identify compensatory measures or other support.</w:t>
            </w:r>
          </w:p>
          <w:p w:rsidR="001E28E4" w:rsidRPr="000C09E1" w:rsidRDefault="00A63049" w:rsidP="002D0E1D">
            <w:pPr>
              <w:pStyle w:val="ListParagraph"/>
              <w:numPr>
                <w:ilvl w:val="0"/>
                <w:numId w:val="21"/>
              </w:numPr>
              <w:ind w:left="821" w:hanging="274"/>
              <w:contextualSpacing w:val="0"/>
              <w:rPr>
                <w:iCs/>
              </w:rPr>
            </w:pPr>
            <w:r>
              <w:t>Planned near-</w:t>
            </w:r>
            <w:r w:rsidR="007966D1">
              <w:t>term departures may be taken into account by reducing the number available and noting the departure date.</w:t>
            </w:r>
          </w:p>
        </w:tc>
      </w:tr>
    </w:tbl>
    <w:p w:rsidR="00BB434F" w:rsidRDefault="00BB434F" w:rsidP="004024A2">
      <w:pPr>
        <w:ind w:right="-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260"/>
        <w:gridCol w:w="1260"/>
        <w:gridCol w:w="5328"/>
      </w:tblGrid>
      <w:tr w:rsidR="004024A2" w:rsidTr="00082FE3">
        <w:tc>
          <w:tcPr>
            <w:tcW w:w="11016" w:type="dxa"/>
            <w:gridSpan w:val="4"/>
          </w:tcPr>
          <w:p w:rsidR="004024A2" w:rsidRDefault="004024A2" w:rsidP="00A6142C">
            <w:pPr>
              <w:jc w:val="center"/>
            </w:pPr>
            <w:r>
              <w:rPr>
                <w:b/>
                <w:bCs/>
              </w:rPr>
              <w:t>Technic</w:t>
            </w:r>
            <w:r w:rsidR="00D80EB8">
              <w:rPr>
                <w:b/>
                <w:bCs/>
              </w:rPr>
              <w:t>al Staffing Summary Table (</w:t>
            </w:r>
            <w:r w:rsidR="00D80EB8" w:rsidRPr="00D80EB8">
              <w:rPr>
                <w:b/>
                <w:bCs/>
              </w:rPr>
              <w:t xml:space="preserve">see </w:t>
            </w:r>
            <w:r w:rsidR="004C46AD">
              <w:rPr>
                <w:b/>
                <w:bCs/>
              </w:rPr>
              <w:t>N</w:t>
            </w:r>
            <w:r w:rsidRPr="00D80EB8">
              <w:rPr>
                <w:b/>
                <w:bCs/>
              </w:rPr>
              <w:t>otes below</w:t>
            </w:r>
            <w:r>
              <w:rPr>
                <w:b/>
                <w:bCs/>
              </w:rPr>
              <w:t>)</w:t>
            </w:r>
          </w:p>
        </w:tc>
      </w:tr>
      <w:tr w:rsidR="00CC7168" w:rsidTr="00A6142C">
        <w:tc>
          <w:tcPr>
            <w:tcW w:w="3168" w:type="dxa"/>
          </w:tcPr>
          <w:p w:rsidR="00CC7168" w:rsidRDefault="00CC7168" w:rsidP="00A6142C">
            <w:pPr>
              <w:jc w:val="center"/>
            </w:pPr>
          </w:p>
        </w:tc>
        <w:tc>
          <w:tcPr>
            <w:tcW w:w="2520" w:type="dxa"/>
            <w:gridSpan w:val="2"/>
          </w:tcPr>
          <w:p w:rsidR="00CC7168" w:rsidRPr="00A6142C" w:rsidRDefault="00CC7168" w:rsidP="00A6142C">
            <w:pPr>
              <w:jc w:val="center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For All Facilities</w:t>
            </w:r>
            <w:r w:rsidRPr="00A6142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328" w:type="dxa"/>
          </w:tcPr>
          <w:p w:rsidR="00CC7168" w:rsidRDefault="00CC7168" w:rsidP="00A6142C">
            <w:pPr>
              <w:jc w:val="center"/>
            </w:pPr>
          </w:p>
        </w:tc>
      </w:tr>
      <w:tr w:rsidR="00C8186A" w:rsidTr="00A6142C">
        <w:tc>
          <w:tcPr>
            <w:tcW w:w="3168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  <w:p w:rsidR="00333CE8" w:rsidRPr="00A6142C" w:rsidRDefault="00333CE8" w:rsidP="00A6142C">
            <w:pPr>
              <w:jc w:val="center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Technical Capability</w:t>
            </w:r>
          </w:p>
        </w:tc>
        <w:tc>
          <w:tcPr>
            <w:tcW w:w="1260" w:type="dxa"/>
          </w:tcPr>
          <w:p w:rsidR="00C8186A" w:rsidRPr="00A6142C" w:rsidRDefault="00333CE8" w:rsidP="00A6142C">
            <w:pPr>
              <w:jc w:val="center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Number of</w:t>
            </w:r>
          </w:p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FTEs</w:t>
            </w:r>
          </w:p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Needed</w:t>
            </w:r>
            <w:r w:rsidRPr="00A6142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C8186A" w:rsidRPr="00A6142C" w:rsidRDefault="00333CE8" w:rsidP="00A6142C">
            <w:pPr>
              <w:jc w:val="center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Number of</w:t>
            </w:r>
          </w:p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FTEs</w:t>
            </w:r>
          </w:p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Onboard</w:t>
            </w:r>
            <w:r w:rsidRPr="00A6142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328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  <w:p w:rsidR="00C8186A" w:rsidRPr="00A6142C" w:rsidRDefault="00333CE8" w:rsidP="00A6142C">
            <w:pPr>
              <w:jc w:val="center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Comments</w:t>
            </w:r>
          </w:p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</w:tr>
      <w:tr w:rsidR="00C8186A" w:rsidTr="00A6142C">
        <w:tc>
          <w:tcPr>
            <w:tcW w:w="3168" w:type="dxa"/>
          </w:tcPr>
          <w:p w:rsidR="00C8186A" w:rsidRPr="00A6142C" w:rsidRDefault="0012336F" w:rsidP="0012336F">
            <w:pPr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Senior Technical Safety Man</w:t>
            </w:r>
            <w:r w:rsidR="00E10D97" w:rsidRPr="00A6142C">
              <w:rPr>
                <w:sz w:val="20"/>
                <w:szCs w:val="20"/>
              </w:rPr>
              <w:t>a</w:t>
            </w:r>
            <w:r w:rsidRPr="00A6142C">
              <w:rPr>
                <w:sz w:val="20"/>
                <w:szCs w:val="20"/>
              </w:rPr>
              <w:t>gers</w:t>
            </w:r>
          </w:p>
        </w:tc>
        <w:tc>
          <w:tcPr>
            <w:tcW w:w="1260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C8186A" w:rsidRPr="00A6142C" w:rsidRDefault="00C8186A" w:rsidP="0073137C">
            <w:pPr>
              <w:rPr>
                <w:sz w:val="20"/>
                <w:szCs w:val="20"/>
              </w:rPr>
            </w:pPr>
          </w:p>
        </w:tc>
      </w:tr>
      <w:tr w:rsidR="00C8186A" w:rsidTr="00A6142C">
        <w:tc>
          <w:tcPr>
            <w:tcW w:w="3168" w:type="dxa"/>
          </w:tcPr>
          <w:p w:rsidR="00C8186A" w:rsidRPr="00A6142C" w:rsidRDefault="0012336F" w:rsidP="00591C4A">
            <w:pPr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Safety System Oversight Personnel</w:t>
            </w:r>
          </w:p>
        </w:tc>
        <w:tc>
          <w:tcPr>
            <w:tcW w:w="1260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C8186A" w:rsidRPr="00A6142C" w:rsidRDefault="00C8186A" w:rsidP="0073137C">
            <w:pPr>
              <w:rPr>
                <w:sz w:val="20"/>
                <w:szCs w:val="20"/>
              </w:rPr>
            </w:pPr>
          </w:p>
        </w:tc>
      </w:tr>
      <w:tr w:rsidR="00C8186A" w:rsidTr="00591C4A">
        <w:tc>
          <w:tcPr>
            <w:tcW w:w="3168" w:type="dxa"/>
            <w:tcBorders>
              <w:bottom w:val="single" w:sz="4" w:space="0" w:color="auto"/>
            </w:tcBorders>
          </w:tcPr>
          <w:p w:rsidR="00C8186A" w:rsidRPr="00A6142C" w:rsidRDefault="0012336F" w:rsidP="00591C4A">
            <w:pPr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Facility Representatives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C8186A" w:rsidRPr="00A6142C" w:rsidRDefault="00C8186A" w:rsidP="0073137C">
            <w:pPr>
              <w:rPr>
                <w:sz w:val="20"/>
                <w:szCs w:val="20"/>
              </w:rPr>
            </w:pPr>
          </w:p>
        </w:tc>
      </w:tr>
      <w:tr w:rsidR="00C8186A" w:rsidTr="00591C4A">
        <w:tc>
          <w:tcPr>
            <w:tcW w:w="3168" w:type="dxa"/>
            <w:shd w:val="clear" w:color="auto" w:fill="F2F2F2"/>
          </w:tcPr>
          <w:p w:rsidR="00C8186A" w:rsidRPr="00A6142C" w:rsidRDefault="0012336F" w:rsidP="0012336F">
            <w:pPr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Other Technical Capabilities:</w:t>
            </w:r>
          </w:p>
        </w:tc>
        <w:tc>
          <w:tcPr>
            <w:tcW w:w="1260" w:type="dxa"/>
            <w:shd w:val="clear" w:color="auto" w:fill="F2F2F2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F2F2F2"/>
          </w:tcPr>
          <w:p w:rsidR="00C8186A" w:rsidRPr="00A6142C" w:rsidRDefault="00C8186A" w:rsidP="0073137C">
            <w:pPr>
              <w:rPr>
                <w:sz w:val="20"/>
                <w:szCs w:val="20"/>
              </w:rPr>
            </w:pPr>
          </w:p>
        </w:tc>
      </w:tr>
      <w:tr w:rsidR="00C8186A" w:rsidTr="00A6142C">
        <w:tc>
          <w:tcPr>
            <w:tcW w:w="3168" w:type="dxa"/>
          </w:tcPr>
          <w:p w:rsidR="00C8186A" w:rsidRPr="00A6142C" w:rsidRDefault="0012336F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Aviation Safety Manager</w:t>
            </w:r>
          </w:p>
        </w:tc>
        <w:tc>
          <w:tcPr>
            <w:tcW w:w="1260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C8186A" w:rsidRPr="00A6142C" w:rsidRDefault="00C8186A" w:rsidP="0073137C">
            <w:pPr>
              <w:rPr>
                <w:sz w:val="20"/>
                <w:szCs w:val="20"/>
              </w:rPr>
            </w:pPr>
          </w:p>
        </w:tc>
      </w:tr>
      <w:tr w:rsidR="00C8186A" w:rsidTr="00A6142C">
        <w:tc>
          <w:tcPr>
            <w:tcW w:w="3168" w:type="dxa"/>
          </w:tcPr>
          <w:p w:rsidR="00C8186A" w:rsidRPr="00A6142C" w:rsidRDefault="0012336F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Aviation Safety Officer</w:t>
            </w:r>
          </w:p>
        </w:tc>
        <w:tc>
          <w:tcPr>
            <w:tcW w:w="1260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C8186A" w:rsidRPr="00A6142C" w:rsidRDefault="00C8186A" w:rsidP="0073137C">
            <w:pPr>
              <w:rPr>
                <w:sz w:val="20"/>
                <w:szCs w:val="20"/>
              </w:rPr>
            </w:pPr>
          </w:p>
        </w:tc>
      </w:tr>
      <w:tr w:rsidR="00C8186A" w:rsidTr="00A6142C">
        <w:tc>
          <w:tcPr>
            <w:tcW w:w="3168" w:type="dxa"/>
          </w:tcPr>
          <w:p w:rsidR="00C8186A" w:rsidRPr="00A6142C" w:rsidRDefault="0012336F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Chemical Processing</w:t>
            </w:r>
          </w:p>
        </w:tc>
        <w:tc>
          <w:tcPr>
            <w:tcW w:w="1260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186A" w:rsidRPr="00A6142C" w:rsidRDefault="00C8186A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C8186A" w:rsidRPr="00A6142C" w:rsidRDefault="00C8186A" w:rsidP="0073137C">
            <w:pPr>
              <w:rPr>
                <w:sz w:val="20"/>
                <w:szCs w:val="20"/>
              </w:rPr>
            </w:pPr>
          </w:p>
        </w:tc>
      </w:tr>
      <w:tr w:rsidR="0012336F" w:rsidTr="00A6142C">
        <w:tc>
          <w:tcPr>
            <w:tcW w:w="3168" w:type="dxa"/>
          </w:tcPr>
          <w:p w:rsidR="0012336F" w:rsidRPr="00A6142C" w:rsidRDefault="0012336F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Civil/Structural Engineering</w:t>
            </w: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12336F" w:rsidRPr="00A6142C" w:rsidRDefault="0012336F" w:rsidP="0073137C">
            <w:pPr>
              <w:rPr>
                <w:sz w:val="20"/>
                <w:szCs w:val="20"/>
              </w:rPr>
            </w:pPr>
          </w:p>
        </w:tc>
      </w:tr>
      <w:tr w:rsidR="00BC32D5" w:rsidTr="00A6142C">
        <w:tc>
          <w:tcPr>
            <w:tcW w:w="3168" w:type="dxa"/>
          </w:tcPr>
          <w:p w:rsidR="00BC32D5" w:rsidRPr="00A6142C" w:rsidRDefault="00BC32D5" w:rsidP="00A4541A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Confinement Ventilation and</w:t>
            </w:r>
            <w:r w:rsidR="00304D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Process Gas Treatment</w:t>
            </w:r>
          </w:p>
        </w:tc>
        <w:tc>
          <w:tcPr>
            <w:tcW w:w="1260" w:type="dxa"/>
          </w:tcPr>
          <w:p w:rsidR="00BC32D5" w:rsidRPr="00A6142C" w:rsidRDefault="00BC32D5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C32D5" w:rsidRPr="00A6142C" w:rsidRDefault="00BC32D5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BC32D5" w:rsidRPr="00A6142C" w:rsidRDefault="00BC32D5" w:rsidP="0073137C">
            <w:pPr>
              <w:rPr>
                <w:sz w:val="20"/>
                <w:szCs w:val="20"/>
              </w:rPr>
            </w:pPr>
          </w:p>
        </w:tc>
      </w:tr>
      <w:tr w:rsidR="0012336F" w:rsidTr="00A6142C">
        <w:tc>
          <w:tcPr>
            <w:tcW w:w="3168" w:type="dxa"/>
          </w:tcPr>
          <w:p w:rsidR="0012336F" w:rsidRPr="00A6142C" w:rsidRDefault="0012336F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Construction Management</w:t>
            </w: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12336F" w:rsidRPr="00A6142C" w:rsidRDefault="0012336F" w:rsidP="0073137C">
            <w:pPr>
              <w:rPr>
                <w:sz w:val="20"/>
                <w:szCs w:val="20"/>
              </w:rPr>
            </w:pPr>
          </w:p>
        </w:tc>
      </w:tr>
      <w:tr w:rsidR="0012336F" w:rsidTr="00A6142C">
        <w:tc>
          <w:tcPr>
            <w:tcW w:w="3168" w:type="dxa"/>
          </w:tcPr>
          <w:p w:rsidR="0012336F" w:rsidRPr="00A6142C" w:rsidRDefault="0012336F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Criticality Safety</w:t>
            </w: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12336F" w:rsidRPr="00A6142C" w:rsidRDefault="0012336F" w:rsidP="0073137C">
            <w:pPr>
              <w:rPr>
                <w:sz w:val="20"/>
                <w:szCs w:val="20"/>
              </w:rPr>
            </w:pPr>
          </w:p>
        </w:tc>
      </w:tr>
      <w:tr w:rsidR="0012336F" w:rsidTr="00A6142C">
        <w:tc>
          <w:tcPr>
            <w:tcW w:w="3168" w:type="dxa"/>
          </w:tcPr>
          <w:p w:rsidR="0012336F" w:rsidRPr="00A6142C" w:rsidRDefault="0012336F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Deactivation &amp; Decommissioning</w:t>
            </w: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12336F" w:rsidRPr="00A6142C" w:rsidRDefault="0012336F" w:rsidP="0073137C">
            <w:pPr>
              <w:rPr>
                <w:sz w:val="20"/>
                <w:szCs w:val="20"/>
              </w:rPr>
            </w:pPr>
          </w:p>
        </w:tc>
      </w:tr>
      <w:tr w:rsidR="0012336F" w:rsidTr="00A6142C">
        <w:tc>
          <w:tcPr>
            <w:tcW w:w="3168" w:type="dxa"/>
          </w:tcPr>
          <w:p w:rsidR="0012336F" w:rsidRPr="00A6142C" w:rsidRDefault="0012336F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Electrical Systems</w:t>
            </w: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12336F" w:rsidRPr="00A6142C" w:rsidRDefault="0012336F" w:rsidP="0073137C">
            <w:pPr>
              <w:rPr>
                <w:sz w:val="20"/>
                <w:szCs w:val="20"/>
              </w:rPr>
            </w:pPr>
          </w:p>
        </w:tc>
      </w:tr>
      <w:tr w:rsidR="0012336F" w:rsidTr="00A6142C">
        <w:tc>
          <w:tcPr>
            <w:tcW w:w="3168" w:type="dxa"/>
          </w:tcPr>
          <w:p w:rsidR="0012336F" w:rsidRPr="00A6142C" w:rsidRDefault="0012336F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Emergency Management</w:t>
            </w: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12336F" w:rsidRPr="00A6142C" w:rsidRDefault="0012336F" w:rsidP="0073137C">
            <w:pPr>
              <w:rPr>
                <w:sz w:val="20"/>
                <w:szCs w:val="20"/>
              </w:rPr>
            </w:pPr>
          </w:p>
        </w:tc>
      </w:tr>
      <w:tr w:rsidR="0012336F" w:rsidTr="00A6142C">
        <w:tc>
          <w:tcPr>
            <w:tcW w:w="3168" w:type="dxa"/>
          </w:tcPr>
          <w:p w:rsidR="0012336F" w:rsidRPr="00A6142C" w:rsidRDefault="00B65AB1" w:rsidP="00591C4A">
            <w:pPr>
              <w:ind w:left="144"/>
              <w:rPr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12336F" w:rsidRPr="00A6142C">
              <w:rPr>
                <w:sz w:val="20"/>
                <w:szCs w:val="20"/>
              </w:rPr>
              <w:t>Environmental Compliance</w:t>
            </w: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12336F" w:rsidRPr="00A6142C" w:rsidRDefault="0012336F" w:rsidP="0073137C">
            <w:pPr>
              <w:rPr>
                <w:sz w:val="20"/>
                <w:szCs w:val="20"/>
              </w:rPr>
            </w:pPr>
          </w:p>
        </w:tc>
      </w:tr>
      <w:tr w:rsidR="0012336F" w:rsidTr="00A6142C">
        <w:tc>
          <w:tcPr>
            <w:tcW w:w="3168" w:type="dxa"/>
          </w:tcPr>
          <w:p w:rsidR="0012336F" w:rsidRPr="00A6142C" w:rsidRDefault="0012336F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lastRenderedPageBreak/>
              <w:t>Environmental Restoration</w:t>
            </w: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12336F" w:rsidRPr="00A6142C" w:rsidRDefault="0012336F" w:rsidP="0073137C">
            <w:pPr>
              <w:rPr>
                <w:sz w:val="20"/>
                <w:szCs w:val="20"/>
              </w:rPr>
            </w:pPr>
          </w:p>
        </w:tc>
      </w:tr>
      <w:tr w:rsidR="0012336F" w:rsidTr="00A6142C">
        <w:tc>
          <w:tcPr>
            <w:tcW w:w="3168" w:type="dxa"/>
          </w:tcPr>
          <w:p w:rsidR="0012336F" w:rsidRPr="00A6142C" w:rsidRDefault="00591C4A" w:rsidP="00591C4A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Maintenance Mg</w:t>
            </w:r>
            <w:r w:rsidR="0012336F" w:rsidRPr="00A6142C">
              <w:rPr>
                <w:sz w:val="20"/>
                <w:szCs w:val="20"/>
              </w:rPr>
              <w:t>t</w:t>
            </w:r>
            <w:r w:rsidR="00603F99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12336F" w:rsidRPr="00A6142C" w:rsidRDefault="0012336F" w:rsidP="0073137C">
            <w:pPr>
              <w:rPr>
                <w:sz w:val="20"/>
                <w:szCs w:val="20"/>
              </w:rPr>
            </w:pPr>
          </w:p>
        </w:tc>
      </w:tr>
      <w:tr w:rsidR="0012336F" w:rsidTr="00A6142C">
        <w:tc>
          <w:tcPr>
            <w:tcW w:w="3168" w:type="dxa"/>
          </w:tcPr>
          <w:p w:rsidR="0012336F" w:rsidRPr="00A6142C" w:rsidRDefault="00B44D38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Fire Protection Engineering</w:t>
            </w: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336F" w:rsidRPr="00A6142C" w:rsidRDefault="0012336F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12336F" w:rsidRPr="00A6142C" w:rsidRDefault="0012336F" w:rsidP="0073137C">
            <w:pPr>
              <w:rPr>
                <w:sz w:val="20"/>
                <w:szCs w:val="20"/>
              </w:rPr>
            </w:pPr>
          </w:p>
        </w:tc>
      </w:tr>
      <w:tr w:rsidR="00B44D38" w:rsidTr="00A6142C">
        <w:tc>
          <w:tcPr>
            <w:tcW w:w="3168" w:type="dxa"/>
          </w:tcPr>
          <w:p w:rsidR="00B44D38" w:rsidRPr="00A6142C" w:rsidRDefault="00B44D38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Industrial Hygiene</w:t>
            </w:r>
          </w:p>
        </w:tc>
        <w:tc>
          <w:tcPr>
            <w:tcW w:w="1260" w:type="dxa"/>
          </w:tcPr>
          <w:p w:rsidR="00B44D38" w:rsidRPr="00A6142C" w:rsidRDefault="00B44D38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4D38" w:rsidRPr="00A6142C" w:rsidRDefault="00B44D38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B44D38" w:rsidRPr="00A6142C" w:rsidRDefault="00B44D38" w:rsidP="0073137C">
            <w:pPr>
              <w:rPr>
                <w:sz w:val="20"/>
                <w:szCs w:val="20"/>
              </w:rPr>
            </w:pPr>
          </w:p>
        </w:tc>
      </w:tr>
      <w:tr w:rsidR="00B44D38" w:rsidTr="00A6142C">
        <w:tc>
          <w:tcPr>
            <w:tcW w:w="3168" w:type="dxa"/>
          </w:tcPr>
          <w:p w:rsidR="00B44D38" w:rsidRPr="00A6142C" w:rsidRDefault="00B44D38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Instrumentation &amp; Control</w:t>
            </w:r>
          </w:p>
        </w:tc>
        <w:tc>
          <w:tcPr>
            <w:tcW w:w="1260" w:type="dxa"/>
          </w:tcPr>
          <w:p w:rsidR="00B44D38" w:rsidRPr="00A6142C" w:rsidRDefault="00B44D38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4D38" w:rsidRPr="00A6142C" w:rsidRDefault="00B44D38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B44D38" w:rsidRPr="00A6142C" w:rsidRDefault="00B44D38" w:rsidP="0073137C">
            <w:pPr>
              <w:rPr>
                <w:sz w:val="20"/>
                <w:szCs w:val="20"/>
              </w:rPr>
            </w:pPr>
          </w:p>
        </w:tc>
      </w:tr>
      <w:tr w:rsidR="00B44D38" w:rsidTr="00A6142C">
        <w:tc>
          <w:tcPr>
            <w:tcW w:w="3168" w:type="dxa"/>
          </w:tcPr>
          <w:p w:rsidR="00B44D38" w:rsidRPr="00A6142C" w:rsidRDefault="00B44D38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Mechanical Systems</w:t>
            </w:r>
          </w:p>
        </w:tc>
        <w:tc>
          <w:tcPr>
            <w:tcW w:w="1260" w:type="dxa"/>
          </w:tcPr>
          <w:p w:rsidR="00B44D38" w:rsidRPr="00A6142C" w:rsidRDefault="00B44D38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4D38" w:rsidRPr="00A6142C" w:rsidRDefault="00B44D38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B44D38" w:rsidRPr="00A6142C" w:rsidRDefault="00B44D38" w:rsidP="0073137C">
            <w:pPr>
              <w:rPr>
                <w:sz w:val="20"/>
                <w:szCs w:val="20"/>
              </w:rPr>
            </w:pPr>
          </w:p>
        </w:tc>
      </w:tr>
      <w:tr w:rsidR="00B351E6" w:rsidTr="00A6142C">
        <w:tc>
          <w:tcPr>
            <w:tcW w:w="3168" w:type="dxa"/>
          </w:tcPr>
          <w:p w:rsidR="00B351E6" w:rsidRPr="00A6142C" w:rsidRDefault="00B351E6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NNSA Packaging Cert. Engineer</w:t>
            </w:r>
          </w:p>
        </w:tc>
        <w:tc>
          <w:tcPr>
            <w:tcW w:w="1260" w:type="dxa"/>
          </w:tcPr>
          <w:p w:rsidR="00B351E6" w:rsidRPr="00A6142C" w:rsidRDefault="00B351E6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351E6" w:rsidRPr="00A6142C" w:rsidRDefault="00B351E6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B351E6" w:rsidRPr="00A6142C" w:rsidRDefault="00B351E6" w:rsidP="0073137C">
            <w:pPr>
              <w:rPr>
                <w:sz w:val="20"/>
                <w:szCs w:val="20"/>
              </w:rPr>
            </w:pPr>
          </w:p>
        </w:tc>
      </w:tr>
      <w:tr w:rsidR="00B44D38" w:rsidTr="00A6142C">
        <w:tc>
          <w:tcPr>
            <w:tcW w:w="3168" w:type="dxa"/>
          </w:tcPr>
          <w:p w:rsidR="00B44D38" w:rsidRPr="00A6142C" w:rsidRDefault="00B44D38" w:rsidP="00591C4A">
            <w:pPr>
              <w:ind w:left="144"/>
              <w:rPr>
                <w:sz w:val="20"/>
                <w:szCs w:val="20"/>
              </w:rPr>
            </w:pPr>
            <w:bookmarkStart w:id="0" w:name="OLE_LINK1"/>
            <w:bookmarkStart w:id="1" w:name="OLE_LINK2"/>
            <w:r w:rsidRPr="00A6142C">
              <w:rPr>
                <w:sz w:val="20"/>
                <w:szCs w:val="20"/>
              </w:rPr>
              <w:t>Nuclear Explosive</w:t>
            </w:r>
            <w:bookmarkEnd w:id="0"/>
            <w:bookmarkEnd w:id="1"/>
          </w:p>
        </w:tc>
        <w:tc>
          <w:tcPr>
            <w:tcW w:w="1260" w:type="dxa"/>
          </w:tcPr>
          <w:p w:rsidR="00B44D38" w:rsidRPr="00A6142C" w:rsidRDefault="00B44D38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4D38" w:rsidRPr="00A6142C" w:rsidRDefault="00B44D38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B44D38" w:rsidRPr="00A6142C" w:rsidRDefault="00B44D38" w:rsidP="0073137C">
            <w:pPr>
              <w:rPr>
                <w:sz w:val="20"/>
                <w:szCs w:val="20"/>
              </w:rPr>
            </w:pPr>
          </w:p>
        </w:tc>
      </w:tr>
      <w:tr w:rsidR="00A237E5" w:rsidTr="00A6142C">
        <w:tc>
          <w:tcPr>
            <w:tcW w:w="3168" w:type="dxa"/>
          </w:tcPr>
          <w:p w:rsidR="00A237E5" w:rsidRPr="00A6142C" w:rsidRDefault="00A237E5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Nuclear Safety Specialist</w:t>
            </w:r>
          </w:p>
        </w:tc>
        <w:tc>
          <w:tcPr>
            <w:tcW w:w="1260" w:type="dxa"/>
          </w:tcPr>
          <w:p w:rsidR="00A237E5" w:rsidRPr="00A6142C" w:rsidRDefault="00A237E5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37E5" w:rsidRPr="00A6142C" w:rsidRDefault="00A237E5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A237E5" w:rsidRPr="00A6142C" w:rsidRDefault="00A237E5" w:rsidP="0073137C">
            <w:pPr>
              <w:rPr>
                <w:sz w:val="20"/>
                <w:szCs w:val="20"/>
              </w:rPr>
            </w:pPr>
          </w:p>
        </w:tc>
      </w:tr>
      <w:tr w:rsidR="00A237E5" w:rsidTr="00A6142C">
        <w:tc>
          <w:tcPr>
            <w:tcW w:w="3168" w:type="dxa"/>
          </w:tcPr>
          <w:p w:rsidR="00A237E5" w:rsidRPr="00A6142C" w:rsidRDefault="00A237E5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Occupational Safety</w:t>
            </w:r>
          </w:p>
        </w:tc>
        <w:tc>
          <w:tcPr>
            <w:tcW w:w="1260" w:type="dxa"/>
          </w:tcPr>
          <w:p w:rsidR="00A237E5" w:rsidRPr="00A6142C" w:rsidRDefault="00A237E5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37E5" w:rsidRPr="00A6142C" w:rsidRDefault="00A237E5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A237E5" w:rsidRPr="00A6142C" w:rsidRDefault="00A237E5" w:rsidP="0073137C">
            <w:pPr>
              <w:rPr>
                <w:sz w:val="20"/>
                <w:szCs w:val="20"/>
              </w:rPr>
            </w:pPr>
          </w:p>
        </w:tc>
      </w:tr>
      <w:tr w:rsidR="00A237E5" w:rsidTr="00A6142C">
        <w:tc>
          <w:tcPr>
            <w:tcW w:w="3168" w:type="dxa"/>
          </w:tcPr>
          <w:p w:rsidR="00A237E5" w:rsidRPr="00A6142C" w:rsidRDefault="00A237E5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Quality Assurance</w:t>
            </w:r>
          </w:p>
        </w:tc>
        <w:tc>
          <w:tcPr>
            <w:tcW w:w="1260" w:type="dxa"/>
          </w:tcPr>
          <w:p w:rsidR="00A237E5" w:rsidRPr="00A6142C" w:rsidRDefault="00A237E5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37E5" w:rsidRPr="00A6142C" w:rsidRDefault="00A237E5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A237E5" w:rsidRPr="00A6142C" w:rsidRDefault="00A237E5" w:rsidP="0073137C">
            <w:pPr>
              <w:rPr>
                <w:sz w:val="20"/>
                <w:szCs w:val="20"/>
              </w:rPr>
            </w:pPr>
          </w:p>
        </w:tc>
      </w:tr>
      <w:tr w:rsidR="00A237E5" w:rsidTr="00A6142C">
        <w:tc>
          <w:tcPr>
            <w:tcW w:w="3168" w:type="dxa"/>
          </w:tcPr>
          <w:p w:rsidR="00A237E5" w:rsidRPr="00A6142C" w:rsidRDefault="00A237E5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 xml:space="preserve">Radiation </w:t>
            </w:r>
            <w:r w:rsidR="002350FC" w:rsidRPr="00A6142C">
              <w:rPr>
                <w:sz w:val="20"/>
                <w:szCs w:val="20"/>
              </w:rPr>
              <w:t>Protection</w:t>
            </w:r>
          </w:p>
        </w:tc>
        <w:tc>
          <w:tcPr>
            <w:tcW w:w="1260" w:type="dxa"/>
          </w:tcPr>
          <w:p w:rsidR="00A237E5" w:rsidRPr="00A6142C" w:rsidRDefault="00A237E5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37E5" w:rsidRPr="00A6142C" w:rsidRDefault="00A237E5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A237E5" w:rsidRPr="00A6142C" w:rsidRDefault="00A237E5" w:rsidP="0073137C">
            <w:pPr>
              <w:rPr>
                <w:sz w:val="20"/>
                <w:szCs w:val="20"/>
              </w:rPr>
            </w:pPr>
          </w:p>
        </w:tc>
      </w:tr>
      <w:tr w:rsidR="002350FC" w:rsidTr="00A6142C">
        <w:tc>
          <w:tcPr>
            <w:tcW w:w="3168" w:type="dxa"/>
          </w:tcPr>
          <w:p w:rsidR="002350FC" w:rsidRPr="00A6142C" w:rsidRDefault="002350FC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Safeguards &amp; Security</w:t>
            </w: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2350FC" w:rsidRPr="00A6142C" w:rsidRDefault="002350FC" w:rsidP="0073137C">
            <w:pPr>
              <w:rPr>
                <w:sz w:val="20"/>
                <w:szCs w:val="20"/>
              </w:rPr>
            </w:pPr>
          </w:p>
        </w:tc>
      </w:tr>
      <w:tr w:rsidR="002350FC" w:rsidTr="00A6142C">
        <w:tc>
          <w:tcPr>
            <w:tcW w:w="3168" w:type="dxa"/>
          </w:tcPr>
          <w:p w:rsidR="002350FC" w:rsidRPr="00A6142C" w:rsidRDefault="002350FC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Safety Software QA</w:t>
            </w: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2350FC" w:rsidRPr="00A6142C" w:rsidRDefault="002350FC" w:rsidP="0073137C">
            <w:pPr>
              <w:rPr>
                <w:sz w:val="20"/>
                <w:szCs w:val="20"/>
              </w:rPr>
            </w:pPr>
          </w:p>
        </w:tc>
      </w:tr>
      <w:tr w:rsidR="002350FC" w:rsidTr="00A6142C">
        <w:tc>
          <w:tcPr>
            <w:tcW w:w="3168" w:type="dxa"/>
          </w:tcPr>
          <w:p w:rsidR="002350FC" w:rsidRPr="00A6142C" w:rsidRDefault="002350FC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Technical Program Manager</w:t>
            </w: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2350FC" w:rsidRPr="00A6142C" w:rsidRDefault="002350FC" w:rsidP="0073137C">
            <w:pPr>
              <w:rPr>
                <w:sz w:val="20"/>
                <w:szCs w:val="20"/>
              </w:rPr>
            </w:pPr>
          </w:p>
        </w:tc>
      </w:tr>
      <w:tr w:rsidR="002350FC" w:rsidTr="00A6142C">
        <w:tc>
          <w:tcPr>
            <w:tcW w:w="3168" w:type="dxa"/>
          </w:tcPr>
          <w:p w:rsidR="002350FC" w:rsidRPr="00A6142C" w:rsidRDefault="002350FC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 xml:space="preserve">Technical </w:t>
            </w:r>
            <w:r w:rsidR="00E10D97" w:rsidRPr="00A6142C">
              <w:rPr>
                <w:sz w:val="20"/>
                <w:szCs w:val="20"/>
              </w:rPr>
              <w:t>T</w:t>
            </w:r>
            <w:r w:rsidRPr="00A6142C">
              <w:rPr>
                <w:sz w:val="20"/>
                <w:szCs w:val="20"/>
              </w:rPr>
              <w:t>raining</w:t>
            </w: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2350FC" w:rsidRPr="00A6142C" w:rsidRDefault="002350FC" w:rsidP="0073137C">
            <w:pPr>
              <w:rPr>
                <w:sz w:val="20"/>
                <w:szCs w:val="20"/>
              </w:rPr>
            </w:pPr>
          </w:p>
        </w:tc>
      </w:tr>
      <w:tr w:rsidR="002350FC" w:rsidTr="00A6142C">
        <w:tc>
          <w:tcPr>
            <w:tcW w:w="3168" w:type="dxa"/>
          </w:tcPr>
          <w:p w:rsidR="002350FC" w:rsidRPr="00A6142C" w:rsidRDefault="002350FC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Transportation &amp; Traffic Mgt</w:t>
            </w:r>
            <w:r w:rsidR="00603F99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2350FC" w:rsidRPr="00A6142C" w:rsidRDefault="002350FC" w:rsidP="0073137C">
            <w:pPr>
              <w:rPr>
                <w:sz w:val="20"/>
                <w:szCs w:val="20"/>
              </w:rPr>
            </w:pPr>
          </w:p>
        </w:tc>
      </w:tr>
      <w:tr w:rsidR="002350FC" w:rsidTr="00A6142C">
        <w:tc>
          <w:tcPr>
            <w:tcW w:w="3168" w:type="dxa"/>
          </w:tcPr>
          <w:p w:rsidR="002350FC" w:rsidRPr="00A6142C" w:rsidRDefault="002350FC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Waste Management</w:t>
            </w: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2350FC" w:rsidRPr="00A6142C" w:rsidRDefault="002350FC" w:rsidP="0073137C">
            <w:pPr>
              <w:rPr>
                <w:sz w:val="20"/>
                <w:szCs w:val="20"/>
              </w:rPr>
            </w:pPr>
          </w:p>
        </w:tc>
      </w:tr>
      <w:tr w:rsidR="00E10D97" w:rsidTr="00A6142C">
        <w:tc>
          <w:tcPr>
            <w:tcW w:w="3168" w:type="dxa"/>
          </w:tcPr>
          <w:p w:rsidR="00E10D97" w:rsidRPr="00A6142C" w:rsidRDefault="00E10D97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Weapons QA</w:t>
            </w:r>
          </w:p>
        </w:tc>
        <w:tc>
          <w:tcPr>
            <w:tcW w:w="1260" w:type="dxa"/>
          </w:tcPr>
          <w:p w:rsidR="00E10D97" w:rsidRPr="00A6142C" w:rsidRDefault="00E10D97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10D97" w:rsidRPr="00A6142C" w:rsidRDefault="00E10D97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E10D97" w:rsidRPr="00A6142C" w:rsidRDefault="00E10D97" w:rsidP="0073137C">
            <w:pPr>
              <w:rPr>
                <w:sz w:val="20"/>
                <w:szCs w:val="20"/>
              </w:rPr>
            </w:pPr>
          </w:p>
        </w:tc>
      </w:tr>
      <w:tr w:rsidR="002350FC" w:rsidTr="00A6142C">
        <w:tc>
          <w:tcPr>
            <w:tcW w:w="3168" w:type="dxa"/>
          </w:tcPr>
          <w:p w:rsidR="002350FC" w:rsidRPr="00A6142C" w:rsidRDefault="002350FC" w:rsidP="00591C4A">
            <w:pPr>
              <w:ind w:left="144"/>
              <w:rPr>
                <w:sz w:val="20"/>
                <w:szCs w:val="20"/>
              </w:rPr>
            </w:pPr>
            <w:r w:rsidRPr="00A6142C">
              <w:rPr>
                <w:sz w:val="20"/>
                <w:szCs w:val="20"/>
              </w:rPr>
              <w:t>Federal Project Directors</w:t>
            </w:r>
            <w:r w:rsidR="00591C4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50FC" w:rsidRPr="00A6142C" w:rsidRDefault="002350FC" w:rsidP="00A61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:rsidR="002350FC" w:rsidRPr="00A6142C" w:rsidRDefault="002350FC" w:rsidP="0073137C">
            <w:pPr>
              <w:rPr>
                <w:sz w:val="20"/>
                <w:szCs w:val="20"/>
              </w:rPr>
            </w:pPr>
          </w:p>
        </w:tc>
      </w:tr>
      <w:tr w:rsidR="00525132" w:rsidTr="00082FE3">
        <w:tc>
          <w:tcPr>
            <w:tcW w:w="11016" w:type="dxa"/>
            <w:gridSpan w:val="4"/>
          </w:tcPr>
          <w:p w:rsidR="00525132" w:rsidRDefault="00525132" w:rsidP="00525132">
            <w:pPr>
              <w:tabs>
                <w:tab w:val="left" w:pos="630"/>
                <w:tab w:val="left" w:pos="990"/>
              </w:tabs>
              <w:rPr>
                <w:sz w:val="20"/>
                <w:szCs w:val="20"/>
              </w:rPr>
            </w:pPr>
            <w:r w:rsidRPr="00BF65FB">
              <w:rPr>
                <w:sz w:val="20"/>
                <w:szCs w:val="20"/>
              </w:rPr>
              <w:t>Notes:</w:t>
            </w:r>
          </w:p>
          <w:p w:rsidR="002F06A9" w:rsidRDefault="00525132" w:rsidP="004C46AD">
            <w:pPr>
              <w:pStyle w:val="ListParagraph"/>
              <w:numPr>
                <w:ilvl w:val="0"/>
                <w:numId w:val="31"/>
              </w:numPr>
              <w:tabs>
                <w:tab w:val="left" w:pos="540"/>
                <w:tab w:val="left" w:pos="714"/>
              </w:tabs>
              <w:spacing w:after="60"/>
              <w:ind w:left="720" w:hanging="446"/>
              <w:contextualSpacing w:val="0"/>
              <w:rPr>
                <w:sz w:val="20"/>
                <w:szCs w:val="20"/>
              </w:rPr>
            </w:pPr>
            <w:r w:rsidRPr="002F06A9">
              <w:rPr>
                <w:sz w:val="20"/>
                <w:szCs w:val="20"/>
              </w:rPr>
              <w:t>These</w:t>
            </w:r>
            <w:r>
              <w:t xml:space="preserve"> </w:t>
            </w:r>
            <w:r w:rsidRPr="002F06A9">
              <w:rPr>
                <w:sz w:val="20"/>
                <w:szCs w:val="20"/>
              </w:rPr>
              <w:t>columns identify the number of FTEs needed to perform the Federal Safety Assurance function for your site or office based on potential facility and operational hazards.</w:t>
            </w:r>
          </w:p>
          <w:p w:rsidR="00525132" w:rsidRPr="00A6142C" w:rsidRDefault="00525132" w:rsidP="004C46AD">
            <w:pPr>
              <w:pStyle w:val="ListParagraph"/>
              <w:numPr>
                <w:ilvl w:val="0"/>
                <w:numId w:val="31"/>
              </w:numPr>
              <w:tabs>
                <w:tab w:val="left" w:pos="540"/>
                <w:tab w:val="left" w:pos="714"/>
              </w:tabs>
              <w:spacing w:after="60"/>
              <w:ind w:left="720" w:hanging="446"/>
              <w:contextualSpacing w:val="0"/>
              <w:rPr>
                <w:sz w:val="20"/>
                <w:szCs w:val="20"/>
              </w:rPr>
            </w:pPr>
            <w:r w:rsidRPr="00591C4A">
              <w:rPr>
                <w:sz w:val="20"/>
                <w:szCs w:val="20"/>
              </w:rPr>
              <w:t>Federal Project Managers/Directors are not qualified via the Technical Qualification Program, but are qualified in accordance with the Project Management Career Development Program</w:t>
            </w:r>
            <w:r w:rsidR="009E750D">
              <w:rPr>
                <w:sz w:val="20"/>
                <w:szCs w:val="20"/>
              </w:rPr>
              <w:t>.</w:t>
            </w:r>
          </w:p>
        </w:tc>
      </w:tr>
    </w:tbl>
    <w:p w:rsidR="00240F20" w:rsidRDefault="00240F20" w:rsidP="00240F20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591C4A" w:rsidTr="000C09E1">
        <w:tc>
          <w:tcPr>
            <w:tcW w:w="11016" w:type="dxa"/>
          </w:tcPr>
          <w:p w:rsidR="00591C4A" w:rsidRPr="000C09E1" w:rsidRDefault="00591C4A" w:rsidP="00D80EB8">
            <w:pPr>
              <w:tabs>
                <w:tab w:val="left" w:pos="360"/>
              </w:tabs>
              <w:spacing w:before="60" w:after="120"/>
              <w:jc w:val="center"/>
              <w:rPr>
                <w:b/>
                <w:bCs/>
              </w:rPr>
            </w:pPr>
            <w:r w:rsidRPr="000C09E1">
              <w:rPr>
                <w:b/>
                <w:bCs/>
              </w:rPr>
              <w:t xml:space="preserve">Section Three: </w:t>
            </w:r>
            <w:r w:rsidR="00C059F1">
              <w:rPr>
                <w:b/>
                <w:bCs/>
              </w:rPr>
              <w:t xml:space="preserve"> </w:t>
            </w:r>
            <w:r w:rsidRPr="000C09E1">
              <w:rPr>
                <w:b/>
                <w:bCs/>
              </w:rPr>
              <w:t>Current shortages and plans for filling them</w:t>
            </w:r>
          </w:p>
          <w:p w:rsidR="00525132" w:rsidRDefault="00591C4A" w:rsidP="000C09E1">
            <w:pPr>
              <w:tabs>
                <w:tab w:val="left" w:pos="360"/>
              </w:tabs>
              <w:spacing w:after="120"/>
            </w:pPr>
            <w:r w:rsidRPr="005773A1">
              <w:t xml:space="preserve">List current shortages of technical personnel identified in Section Two, compensatory measures if applicable, actions taken to fill shortages, and </w:t>
            </w:r>
            <w:r w:rsidR="00603F99">
              <w:t>schedule for filling shortages.</w:t>
            </w:r>
          </w:p>
          <w:p w:rsidR="00591C4A" w:rsidRDefault="00525132" w:rsidP="00F02724">
            <w:pPr>
              <w:tabs>
                <w:tab w:val="left" w:pos="360"/>
              </w:tabs>
              <w:spacing w:after="120"/>
            </w:pPr>
            <w:r>
              <w:t>Prioritize the shortages into three</w:t>
            </w:r>
            <w:r w:rsidR="00591C4A" w:rsidRPr="005773A1">
              <w:t xml:space="preserve"> groups as follows</w:t>
            </w:r>
            <w:r>
              <w:t xml:space="preserve">, and note </w:t>
            </w:r>
            <w:r w:rsidRPr="005773A1">
              <w:t>Defense Nuclear Facility related positions</w:t>
            </w:r>
            <w:r w:rsidR="00591C4A" w:rsidRPr="005773A1">
              <w:t>:</w:t>
            </w:r>
            <w:r w:rsidR="00C059F1">
              <w:t xml:space="preserve">  </w:t>
            </w:r>
          </w:p>
          <w:p w:rsidR="00525132" w:rsidRDefault="00591C4A" w:rsidP="00F02724">
            <w:pPr>
              <w:pStyle w:val="ListParagraph"/>
              <w:numPr>
                <w:ilvl w:val="0"/>
                <w:numId w:val="21"/>
              </w:numPr>
              <w:spacing w:after="120"/>
              <w:ind w:left="821" w:hanging="274"/>
              <w:contextualSpacing w:val="0"/>
            </w:pPr>
            <w:r w:rsidRPr="005773A1">
              <w:t>High priority positions to be filled near term using accelerated recruitment/replacement (e.g. relief from hiring freeze)</w:t>
            </w:r>
          </w:p>
          <w:p w:rsidR="00525132" w:rsidRDefault="00591C4A" w:rsidP="00F02724">
            <w:pPr>
              <w:pStyle w:val="ListParagraph"/>
              <w:numPr>
                <w:ilvl w:val="0"/>
                <w:numId w:val="21"/>
              </w:numPr>
              <w:spacing w:after="120"/>
              <w:ind w:left="821" w:hanging="274"/>
              <w:contextualSpacing w:val="0"/>
            </w:pPr>
            <w:r w:rsidRPr="005773A1">
              <w:t>Medium priority positions to be filled using normal recruitment</w:t>
            </w:r>
            <w:r>
              <w:t>/</w:t>
            </w:r>
            <w:r w:rsidRPr="005773A1">
              <w:t xml:space="preserve">replacement process </w:t>
            </w:r>
          </w:p>
          <w:p w:rsidR="00525132" w:rsidRPr="00525132" w:rsidRDefault="00591C4A" w:rsidP="00603F99">
            <w:pPr>
              <w:pStyle w:val="ListParagraph"/>
              <w:numPr>
                <w:ilvl w:val="0"/>
                <w:numId w:val="21"/>
              </w:numPr>
              <w:ind w:left="821" w:hanging="274"/>
              <w:contextualSpacing w:val="0"/>
            </w:pPr>
            <w:r w:rsidRPr="005773A1">
              <w:t xml:space="preserve">Other positions to be covered by alternate means (e.g. matrix, support service contractors, other sites, programs or service centers). </w:t>
            </w:r>
            <w:r w:rsidR="00525132">
              <w:t xml:space="preserve"> </w:t>
            </w:r>
            <w:r w:rsidRPr="005773A1">
              <w:t xml:space="preserve">Except for short term assignments, matrix coverage should not rely on technical staff already counted in the table. </w:t>
            </w:r>
          </w:p>
        </w:tc>
      </w:tr>
      <w:tr w:rsidR="00591C4A" w:rsidTr="000C09E1">
        <w:tc>
          <w:tcPr>
            <w:tcW w:w="11016" w:type="dxa"/>
          </w:tcPr>
          <w:p w:rsidR="00525132" w:rsidRPr="000C09E1" w:rsidRDefault="00525132" w:rsidP="000C09E1">
            <w:pPr>
              <w:tabs>
                <w:tab w:val="left" w:pos="360"/>
              </w:tabs>
              <w:spacing w:before="60" w:after="120"/>
              <w:jc w:val="center"/>
              <w:rPr>
                <w:b/>
                <w:bCs/>
              </w:rPr>
            </w:pPr>
            <w:r w:rsidRPr="000C09E1">
              <w:rPr>
                <w:b/>
                <w:bCs/>
              </w:rPr>
              <w:t xml:space="preserve">Section Four: </w:t>
            </w:r>
            <w:r w:rsidR="00C059F1">
              <w:rPr>
                <w:b/>
                <w:bCs/>
              </w:rPr>
              <w:t xml:space="preserve"> </w:t>
            </w:r>
            <w:r w:rsidRPr="000C09E1">
              <w:rPr>
                <w:b/>
                <w:bCs/>
              </w:rPr>
              <w:t>Projected shorta</w:t>
            </w:r>
            <w:r w:rsidR="00F02724">
              <w:rPr>
                <w:b/>
                <w:bCs/>
              </w:rPr>
              <w:t>ge/surplus over next five years</w:t>
            </w:r>
          </w:p>
          <w:p w:rsidR="00525132" w:rsidRDefault="00525132" w:rsidP="000C09E1">
            <w:pPr>
              <w:tabs>
                <w:tab w:val="left" w:pos="360"/>
              </w:tabs>
              <w:spacing w:after="120"/>
            </w:pPr>
            <w:r w:rsidRPr="005773A1">
              <w:t>Identify the impact of the changes described in Section One on tec</w:t>
            </w:r>
            <w:r w:rsidR="00F02724">
              <w:t>hnical personnel and positions.</w:t>
            </w:r>
          </w:p>
          <w:p w:rsidR="002F06A9" w:rsidRDefault="00525132" w:rsidP="000C09E1">
            <w:pPr>
              <w:tabs>
                <w:tab w:val="left" w:pos="360"/>
              </w:tabs>
              <w:spacing w:after="120"/>
            </w:pPr>
            <w:r w:rsidRPr="005773A1">
              <w:t>Take into account expected retirements</w:t>
            </w:r>
            <w:r w:rsidR="00F02724">
              <w:t xml:space="preserve"> and other anticipated changes.</w:t>
            </w:r>
          </w:p>
          <w:p w:rsidR="00591C4A" w:rsidRPr="000C09E1" w:rsidRDefault="00525132" w:rsidP="000C09E1">
            <w:pPr>
              <w:tabs>
                <w:tab w:val="left" w:pos="360"/>
              </w:tabs>
              <w:spacing w:after="120"/>
              <w:rPr>
                <w:b/>
                <w:bCs/>
              </w:rPr>
            </w:pPr>
            <w:r w:rsidRPr="005773A1">
              <w:t xml:space="preserve">For example: </w:t>
            </w:r>
            <w:r w:rsidR="00F02724">
              <w:t xml:space="preserve"> </w:t>
            </w:r>
            <w:r w:rsidRPr="005773A1">
              <w:t xml:space="preserve">The increased pace of D&amp;D activity is expected to double the need for Nuclear Safety Specialists to four personnel over the next 1 </w:t>
            </w:r>
            <w:r>
              <w:t>1</w:t>
            </w:r>
            <w:r w:rsidRPr="005773A1">
              <w:t xml:space="preserve">/2 years, followed by a drop to zero in three years as the facilities become operationally clean. </w:t>
            </w:r>
            <w:r w:rsidR="002F06A9">
              <w:t xml:space="preserve"> </w:t>
            </w:r>
            <w:r w:rsidRPr="005773A1">
              <w:t>The temporary surge (2 additions) will be covered under a support service contract with XYZ corporation.</w:t>
            </w:r>
            <w:r w:rsidR="002F06A9">
              <w:t xml:space="preserve"> </w:t>
            </w:r>
            <w:r w:rsidRPr="005773A1">
              <w:t xml:space="preserve"> One staff member has indicated a plan to retire as soon as eligible next year</w:t>
            </w:r>
            <w:r w:rsidR="00EE0810">
              <w:t>,</w:t>
            </w:r>
            <w:r w:rsidRPr="005773A1">
              <w:t xml:space="preserve"> which may result in the need for a third contractor. </w:t>
            </w:r>
            <w:r w:rsidR="002F06A9">
              <w:t xml:space="preserve"> </w:t>
            </w:r>
            <w:r w:rsidRPr="005773A1">
              <w:t>The other staff member hopes to be assigned to the core cadre in three years.</w:t>
            </w:r>
          </w:p>
        </w:tc>
      </w:tr>
      <w:tr w:rsidR="00591C4A" w:rsidTr="000C09E1">
        <w:tc>
          <w:tcPr>
            <w:tcW w:w="11016" w:type="dxa"/>
          </w:tcPr>
          <w:p w:rsidR="00525132" w:rsidRPr="000C09E1" w:rsidRDefault="00525132" w:rsidP="000C09E1">
            <w:pPr>
              <w:tabs>
                <w:tab w:val="left" w:pos="360"/>
              </w:tabs>
              <w:spacing w:before="60" w:after="120"/>
              <w:jc w:val="center"/>
              <w:rPr>
                <w:b/>
                <w:bCs/>
              </w:rPr>
            </w:pPr>
            <w:r w:rsidRPr="000C09E1">
              <w:rPr>
                <w:b/>
                <w:bCs/>
              </w:rPr>
              <w:t xml:space="preserve">Section Five: </w:t>
            </w:r>
            <w:r w:rsidR="00C059F1">
              <w:rPr>
                <w:b/>
                <w:bCs/>
              </w:rPr>
              <w:t xml:space="preserve"> </w:t>
            </w:r>
            <w:r w:rsidRPr="000C09E1">
              <w:rPr>
                <w:b/>
                <w:bCs/>
              </w:rPr>
              <w:t>General comments or recommendations re</w:t>
            </w:r>
            <w:r w:rsidR="002275A2">
              <w:rPr>
                <w:b/>
                <w:bCs/>
              </w:rPr>
              <w:t>lated to the Technical Staffing</w:t>
            </w:r>
          </w:p>
          <w:p w:rsidR="00591C4A" w:rsidRPr="000C09E1" w:rsidRDefault="00525132" w:rsidP="000C09E1">
            <w:pPr>
              <w:tabs>
                <w:tab w:val="left" w:pos="360"/>
              </w:tabs>
              <w:rPr>
                <w:b/>
                <w:bCs/>
              </w:rPr>
            </w:pPr>
            <w:r w:rsidRPr="005773A1">
              <w:t>Identify for the FTCP any concerns/issues/recommendations with maintaining technical capabilities for the site or the Departm</w:t>
            </w:r>
            <w:r w:rsidRPr="006E5F8C">
              <w:t>ent, particularly in light of any significant trends in qualified TQP participants.</w:t>
            </w:r>
            <w:r w:rsidR="0098729D">
              <w:t xml:space="preserve"> </w:t>
            </w:r>
            <w:r w:rsidRPr="006E5F8C">
              <w:t xml:space="preserve"> Id</w:t>
            </w:r>
            <w:r w:rsidRPr="005773A1">
              <w:t>entify any current or projected needs for additional Functional Area Qualifications.</w:t>
            </w:r>
          </w:p>
        </w:tc>
      </w:tr>
    </w:tbl>
    <w:p w:rsidR="0014086F" w:rsidRPr="00581F7C" w:rsidRDefault="0014086F" w:rsidP="00581F7C">
      <w:pPr>
        <w:tabs>
          <w:tab w:val="left" w:pos="360"/>
        </w:tabs>
        <w:rPr>
          <w:sz w:val="4"/>
          <w:szCs w:val="4"/>
        </w:rPr>
      </w:pPr>
    </w:p>
    <w:sectPr w:rsidR="0014086F" w:rsidRPr="00581F7C" w:rsidSect="00B65AB1">
      <w:headerReference w:type="default" r:id="rId8"/>
      <w:footerReference w:type="default" r:id="rId9"/>
      <w:pgSz w:w="12240" w:h="15840" w:code="1"/>
      <w:pgMar w:top="720" w:right="720" w:bottom="720" w:left="720" w:header="270" w:footer="5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F7" w:rsidRDefault="009A5DF7">
      <w:r>
        <w:separator/>
      </w:r>
    </w:p>
  </w:endnote>
  <w:endnote w:type="continuationSeparator" w:id="0">
    <w:p w:rsidR="009A5DF7" w:rsidRDefault="009A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5" w:rsidRPr="003215C5" w:rsidRDefault="00975F05" w:rsidP="00C32242">
    <w:pPr>
      <w:tabs>
        <w:tab w:val="center" w:pos="5400"/>
      </w:tabs>
    </w:pPr>
    <w:r>
      <w:tab/>
    </w:r>
    <w:r w:rsidRPr="00B65AB1">
      <w:rPr>
        <w:sz w:val="20"/>
        <w:szCs w:val="20"/>
      </w:rPr>
      <w:t xml:space="preserve">Page </w:t>
    </w:r>
    <w:r w:rsidRPr="00B65AB1">
      <w:rPr>
        <w:rStyle w:val="PageNumber"/>
        <w:sz w:val="20"/>
        <w:szCs w:val="20"/>
      </w:rPr>
      <w:fldChar w:fldCharType="begin"/>
    </w:r>
    <w:r w:rsidRPr="00B65AB1">
      <w:rPr>
        <w:rStyle w:val="PageNumber"/>
        <w:sz w:val="20"/>
        <w:szCs w:val="20"/>
      </w:rPr>
      <w:instrText xml:space="preserve"> PAGE </w:instrText>
    </w:r>
    <w:r w:rsidRPr="00B65AB1">
      <w:rPr>
        <w:rStyle w:val="PageNumber"/>
        <w:sz w:val="20"/>
        <w:szCs w:val="20"/>
      </w:rPr>
      <w:fldChar w:fldCharType="separate"/>
    </w:r>
    <w:r w:rsidR="00A57678">
      <w:rPr>
        <w:rStyle w:val="PageNumber"/>
        <w:noProof/>
        <w:sz w:val="20"/>
        <w:szCs w:val="20"/>
      </w:rPr>
      <w:t>3</w:t>
    </w:r>
    <w:r w:rsidRPr="00B65AB1">
      <w:rPr>
        <w:rStyle w:val="PageNumber"/>
        <w:sz w:val="20"/>
        <w:szCs w:val="20"/>
      </w:rPr>
      <w:fldChar w:fldCharType="end"/>
    </w:r>
    <w:r w:rsidRPr="00B65AB1">
      <w:rPr>
        <w:sz w:val="20"/>
        <w:szCs w:val="20"/>
      </w:rPr>
      <w:t xml:space="preserve"> of </w:t>
    </w:r>
    <w:r w:rsidRPr="00B65AB1">
      <w:rPr>
        <w:rStyle w:val="PageNumber"/>
        <w:sz w:val="20"/>
        <w:szCs w:val="20"/>
      </w:rPr>
      <w:fldChar w:fldCharType="begin"/>
    </w:r>
    <w:r w:rsidRPr="00B65AB1">
      <w:rPr>
        <w:rStyle w:val="PageNumber"/>
        <w:sz w:val="20"/>
        <w:szCs w:val="20"/>
      </w:rPr>
      <w:instrText xml:space="preserve"> NUMPAGES </w:instrText>
    </w:r>
    <w:r w:rsidRPr="00B65AB1">
      <w:rPr>
        <w:rStyle w:val="PageNumber"/>
        <w:sz w:val="20"/>
        <w:szCs w:val="20"/>
      </w:rPr>
      <w:fldChar w:fldCharType="separate"/>
    </w:r>
    <w:r w:rsidR="00A57678">
      <w:rPr>
        <w:rStyle w:val="PageNumber"/>
        <w:noProof/>
        <w:sz w:val="20"/>
        <w:szCs w:val="20"/>
      </w:rPr>
      <w:t>3</w:t>
    </w:r>
    <w:r w:rsidRPr="00B65AB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F7" w:rsidRDefault="009A5DF7">
      <w:r>
        <w:separator/>
      </w:r>
    </w:p>
  </w:footnote>
  <w:footnote w:type="continuationSeparator" w:id="0">
    <w:p w:rsidR="009A5DF7" w:rsidRDefault="009A5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5" w:rsidRPr="00581F7C" w:rsidRDefault="00975F05" w:rsidP="00581F7C">
    <w:pPr>
      <w:pStyle w:val="Header"/>
      <w:tabs>
        <w:tab w:val="clear" w:pos="4320"/>
        <w:tab w:val="clear" w:pos="8640"/>
        <w:tab w:val="right" w:pos="10800"/>
      </w:tabs>
      <w:rPr>
        <w:color w:val="A6A6A6"/>
      </w:rPr>
    </w:pPr>
    <w:r>
      <w:rPr>
        <w:b/>
        <w:i/>
      </w:rPr>
      <w:tab/>
    </w:r>
    <w:r w:rsidRPr="00581F7C">
      <w:rPr>
        <w:color w:val="A6A6A6"/>
      </w:rPr>
      <w:t>ATTACHMENT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D7A"/>
    <w:multiLevelType w:val="hybridMultilevel"/>
    <w:tmpl w:val="A7F26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13615"/>
    <w:multiLevelType w:val="hybridMultilevel"/>
    <w:tmpl w:val="E2BA778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0B363B75"/>
    <w:multiLevelType w:val="hybridMultilevel"/>
    <w:tmpl w:val="9558E67C"/>
    <w:lvl w:ilvl="0" w:tplc="7A129340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7710A5"/>
    <w:multiLevelType w:val="hybridMultilevel"/>
    <w:tmpl w:val="6E042E0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0EF63041"/>
    <w:multiLevelType w:val="hybridMultilevel"/>
    <w:tmpl w:val="C4F0A4D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12AD36FC"/>
    <w:multiLevelType w:val="hybridMultilevel"/>
    <w:tmpl w:val="3690AC22"/>
    <w:lvl w:ilvl="0" w:tplc="05280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1807"/>
    <w:multiLevelType w:val="hybridMultilevel"/>
    <w:tmpl w:val="FA065E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9063795"/>
    <w:multiLevelType w:val="hybridMultilevel"/>
    <w:tmpl w:val="1E02B8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9A61B87"/>
    <w:multiLevelType w:val="hybridMultilevel"/>
    <w:tmpl w:val="89D08D12"/>
    <w:lvl w:ilvl="0" w:tplc="05280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5122B"/>
    <w:multiLevelType w:val="hybridMultilevel"/>
    <w:tmpl w:val="57E8E626"/>
    <w:lvl w:ilvl="0" w:tplc="F55EB91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161457B"/>
    <w:multiLevelType w:val="hybridMultilevel"/>
    <w:tmpl w:val="9E524BBA"/>
    <w:lvl w:ilvl="0" w:tplc="05280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B0A73"/>
    <w:multiLevelType w:val="hybridMultilevel"/>
    <w:tmpl w:val="41DC0104"/>
    <w:lvl w:ilvl="0" w:tplc="05280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6B65C3"/>
    <w:multiLevelType w:val="hybridMultilevel"/>
    <w:tmpl w:val="6F66FC5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>
    <w:nsid w:val="37A1678A"/>
    <w:multiLevelType w:val="hybridMultilevel"/>
    <w:tmpl w:val="CD3CF66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3E4B0314"/>
    <w:multiLevelType w:val="hybridMultilevel"/>
    <w:tmpl w:val="7BFA914C"/>
    <w:lvl w:ilvl="0" w:tplc="05280EC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050247"/>
    <w:multiLevelType w:val="hybridMultilevel"/>
    <w:tmpl w:val="336E5AB0"/>
    <w:lvl w:ilvl="0" w:tplc="05280EC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479615FD"/>
    <w:multiLevelType w:val="hybridMultilevel"/>
    <w:tmpl w:val="A852F288"/>
    <w:lvl w:ilvl="0" w:tplc="7A12934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87061D"/>
    <w:multiLevelType w:val="hybridMultilevel"/>
    <w:tmpl w:val="006810BE"/>
    <w:lvl w:ilvl="0" w:tplc="BB0A0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A14E70"/>
    <w:multiLevelType w:val="hybridMultilevel"/>
    <w:tmpl w:val="E868879A"/>
    <w:lvl w:ilvl="0" w:tplc="05280EC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>
    <w:nsid w:val="5143384E"/>
    <w:multiLevelType w:val="hybridMultilevel"/>
    <w:tmpl w:val="69AE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54AA1"/>
    <w:multiLevelType w:val="hybridMultilevel"/>
    <w:tmpl w:val="74021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2E45E1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413B6D"/>
    <w:multiLevelType w:val="hybridMultilevel"/>
    <w:tmpl w:val="2362C1D4"/>
    <w:lvl w:ilvl="0" w:tplc="05280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471308"/>
    <w:multiLevelType w:val="hybridMultilevel"/>
    <w:tmpl w:val="820EBE46"/>
    <w:lvl w:ilvl="0" w:tplc="FB72F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4E3392"/>
    <w:multiLevelType w:val="hybridMultilevel"/>
    <w:tmpl w:val="561E4B4A"/>
    <w:lvl w:ilvl="0" w:tplc="05280EC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51939CE"/>
    <w:multiLevelType w:val="hybridMultilevel"/>
    <w:tmpl w:val="78167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B3774"/>
    <w:multiLevelType w:val="hybridMultilevel"/>
    <w:tmpl w:val="08342348"/>
    <w:lvl w:ilvl="0" w:tplc="E6B89D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692A37CA"/>
    <w:multiLevelType w:val="hybridMultilevel"/>
    <w:tmpl w:val="0D609F50"/>
    <w:lvl w:ilvl="0" w:tplc="05280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F0FF2"/>
    <w:multiLevelType w:val="hybridMultilevel"/>
    <w:tmpl w:val="D6A046EE"/>
    <w:lvl w:ilvl="0" w:tplc="447229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3D0359B"/>
    <w:multiLevelType w:val="hybridMultilevel"/>
    <w:tmpl w:val="979805E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>
    <w:nsid w:val="7A8D5571"/>
    <w:multiLevelType w:val="hybridMultilevel"/>
    <w:tmpl w:val="1F6E1F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7CD13401"/>
    <w:multiLevelType w:val="hybridMultilevel"/>
    <w:tmpl w:val="94342A68"/>
    <w:lvl w:ilvl="0" w:tplc="05280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7"/>
  </w:num>
  <w:num w:numId="4">
    <w:abstractNumId w:val="22"/>
  </w:num>
  <w:num w:numId="5">
    <w:abstractNumId w:val="13"/>
  </w:num>
  <w:num w:numId="6">
    <w:abstractNumId w:val="28"/>
  </w:num>
  <w:num w:numId="7">
    <w:abstractNumId w:val="12"/>
  </w:num>
  <w:num w:numId="8">
    <w:abstractNumId w:val="18"/>
  </w:num>
  <w:num w:numId="9">
    <w:abstractNumId w:val="4"/>
  </w:num>
  <w:num w:numId="10">
    <w:abstractNumId w:val="1"/>
  </w:num>
  <w:num w:numId="11">
    <w:abstractNumId w:val="8"/>
  </w:num>
  <w:num w:numId="12">
    <w:abstractNumId w:val="21"/>
  </w:num>
  <w:num w:numId="13">
    <w:abstractNumId w:val="11"/>
  </w:num>
  <w:num w:numId="14">
    <w:abstractNumId w:val="23"/>
  </w:num>
  <w:num w:numId="15">
    <w:abstractNumId w:val="3"/>
  </w:num>
  <w:num w:numId="16">
    <w:abstractNumId w:val="7"/>
  </w:num>
  <w:num w:numId="17">
    <w:abstractNumId w:val="15"/>
  </w:num>
  <w:num w:numId="18">
    <w:abstractNumId w:val="10"/>
  </w:num>
  <w:num w:numId="19">
    <w:abstractNumId w:val="29"/>
  </w:num>
  <w:num w:numId="20">
    <w:abstractNumId w:val="6"/>
  </w:num>
  <w:num w:numId="21">
    <w:abstractNumId w:val="14"/>
  </w:num>
  <w:num w:numId="22">
    <w:abstractNumId w:val="5"/>
  </w:num>
  <w:num w:numId="23">
    <w:abstractNumId w:val="26"/>
  </w:num>
  <w:num w:numId="24">
    <w:abstractNumId w:val="30"/>
  </w:num>
  <w:num w:numId="25">
    <w:abstractNumId w:val="19"/>
  </w:num>
  <w:num w:numId="26">
    <w:abstractNumId w:val="0"/>
  </w:num>
  <w:num w:numId="27">
    <w:abstractNumId w:val="16"/>
  </w:num>
  <w:num w:numId="28">
    <w:abstractNumId w:val="24"/>
  </w:num>
  <w:num w:numId="29">
    <w:abstractNumId w:val="20"/>
  </w:num>
  <w:num w:numId="30">
    <w:abstractNumId w:val="2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D3C"/>
    <w:rsid w:val="000125CC"/>
    <w:rsid w:val="000443D3"/>
    <w:rsid w:val="00061843"/>
    <w:rsid w:val="00061F15"/>
    <w:rsid w:val="00070821"/>
    <w:rsid w:val="00082FE3"/>
    <w:rsid w:val="00093784"/>
    <w:rsid w:val="00096CEB"/>
    <w:rsid w:val="000C09E1"/>
    <w:rsid w:val="001176B1"/>
    <w:rsid w:val="0012336F"/>
    <w:rsid w:val="00132D3C"/>
    <w:rsid w:val="0014086F"/>
    <w:rsid w:val="001455A1"/>
    <w:rsid w:val="00146FA4"/>
    <w:rsid w:val="00150DC8"/>
    <w:rsid w:val="001D5277"/>
    <w:rsid w:val="001E1522"/>
    <w:rsid w:val="001E28E4"/>
    <w:rsid w:val="002260E3"/>
    <w:rsid w:val="002275A2"/>
    <w:rsid w:val="00230751"/>
    <w:rsid w:val="002350FC"/>
    <w:rsid w:val="00240F20"/>
    <w:rsid w:val="002467EA"/>
    <w:rsid w:val="002817E2"/>
    <w:rsid w:val="002B6A09"/>
    <w:rsid w:val="002D0E1D"/>
    <w:rsid w:val="002E3D75"/>
    <w:rsid w:val="002F06A9"/>
    <w:rsid w:val="002F6672"/>
    <w:rsid w:val="003029AA"/>
    <w:rsid w:val="00304DF1"/>
    <w:rsid w:val="00304F97"/>
    <w:rsid w:val="00320A73"/>
    <w:rsid w:val="003215C5"/>
    <w:rsid w:val="00333CE8"/>
    <w:rsid w:val="00333E11"/>
    <w:rsid w:val="0034577A"/>
    <w:rsid w:val="00347D9A"/>
    <w:rsid w:val="003734C0"/>
    <w:rsid w:val="003778C0"/>
    <w:rsid w:val="003E1DFE"/>
    <w:rsid w:val="003F137D"/>
    <w:rsid w:val="004024A2"/>
    <w:rsid w:val="00404AC7"/>
    <w:rsid w:val="0041412E"/>
    <w:rsid w:val="00447688"/>
    <w:rsid w:val="00456282"/>
    <w:rsid w:val="00463CD6"/>
    <w:rsid w:val="00470B40"/>
    <w:rsid w:val="004858F7"/>
    <w:rsid w:val="00490E06"/>
    <w:rsid w:val="004A0914"/>
    <w:rsid w:val="004A4600"/>
    <w:rsid w:val="004A660E"/>
    <w:rsid w:val="004C46AD"/>
    <w:rsid w:val="004E231B"/>
    <w:rsid w:val="00525132"/>
    <w:rsid w:val="0054522B"/>
    <w:rsid w:val="00545A92"/>
    <w:rsid w:val="0058003D"/>
    <w:rsid w:val="00581F7C"/>
    <w:rsid w:val="00591C4A"/>
    <w:rsid w:val="005B263A"/>
    <w:rsid w:val="005D1378"/>
    <w:rsid w:val="00603F99"/>
    <w:rsid w:val="00610E08"/>
    <w:rsid w:val="00623134"/>
    <w:rsid w:val="00626A9F"/>
    <w:rsid w:val="006862B8"/>
    <w:rsid w:val="006B0ED9"/>
    <w:rsid w:val="006B4527"/>
    <w:rsid w:val="006B7A21"/>
    <w:rsid w:val="006C3FB2"/>
    <w:rsid w:val="006D3FD4"/>
    <w:rsid w:val="006D4802"/>
    <w:rsid w:val="006E4C4A"/>
    <w:rsid w:val="006E5F8C"/>
    <w:rsid w:val="00710221"/>
    <w:rsid w:val="00711B2C"/>
    <w:rsid w:val="0073137C"/>
    <w:rsid w:val="00731B44"/>
    <w:rsid w:val="00750616"/>
    <w:rsid w:val="00757F24"/>
    <w:rsid w:val="00757F47"/>
    <w:rsid w:val="0076425F"/>
    <w:rsid w:val="00787082"/>
    <w:rsid w:val="00795D85"/>
    <w:rsid w:val="007966D1"/>
    <w:rsid w:val="007E05EF"/>
    <w:rsid w:val="00805BE9"/>
    <w:rsid w:val="00833028"/>
    <w:rsid w:val="00850B8F"/>
    <w:rsid w:val="00853DF6"/>
    <w:rsid w:val="008D127B"/>
    <w:rsid w:val="008D78C3"/>
    <w:rsid w:val="00930070"/>
    <w:rsid w:val="009437D5"/>
    <w:rsid w:val="00953920"/>
    <w:rsid w:val="00975F05"/>
    <w:rsid w:val="00980D0F"/>
    <w:rsid w:val="0098729D"/>
    <w:rsid w:val="00987941"/>
    <w:rsid w:val="00991763"/>
    <w:rsid w:val="009A154D"/>
    <w:rsid w:val="009A5DF7"/>
    <w:rsid w:val="009A6EC8"/>
    <w:rsid w:val="009B5A06"/>
    <w:rsid w:val="009C1D59"/>
    <w:rsid w:val="009C396A"/>
    <w:rsid w:val="009E0925"/>
    <w:rsid w:val="009E7049"/>
    <w:rsid w:val="009E750D"/>
    <w:rsid w:val="009F0BA0"/>
    <w:rsid w:val="00A135C1"/>
    <w:rsid w:val="00A14114"/>
    <w:rsid w:val="00A237E5"/>
    <w:rsid w:val="00A26642"/>
    <w:rsid w:val="00A4541A"/>
    <w:rsid w:val="00A57678"/>
    <w:rsid w:val="00A6142C"/>
    <w:rsid w:val="00A63049"/>
    <w:rsid w:val="00A96EC5"/>
    <w:rsid w:val="00AA3E54"/>
    <w:rsid w:val="00AA739A"/>
    <w:rsid w:val="00AB66D9"/>
    <w:rsid w:val="00AD213B"/>
    <w:rsid w:val="00AF7B91"/>
    <w:rsid w:val="00B33703"/>
    <w:rsid w:val="00B351E6"/>
    <w:rsid w:val="00B44D38"/>
    <w:rsid w:val="00B5176A"/>
    <w:rsid w:val="00B578E7"/>
    <w:rsid w:val="00B65AB1"/>
    <w:rsid w:val="00B66A63"/>
    <w:rsid w:val="00B96511"/>
    <w:rsid w:val="00BA10AD"/>
    <w:rsid w:val="00BB434F"/>
    <w:rsid w:val="00BC02F7"/>
    <w:rsid w:val="00BC32D5"/>
    <w:rsid w:val="00BF65FB"/>
    <w:rsid w:val="00C01BE8"/>
    <w:rsid w:val="00C059F1"/>
    <w:rsid w:val="00C10F57"/>
    <w:rsid w:val="00C32242"/>
    <w:rsid w:val="00C3300D"/>
    <w:rsid w:val="00C5571C"/>
    <w:rsid w:val="00C62C91"/>
    <w:rsid w:val="00C8186A"/>
    <w:rsid w:val="00C823A2"/>
    <w:rsid w:val="00C85F7B"/>
    <w:rsid w:val="00CA303F"/>
    <w:rsid w:val="00CA5F90"/>
    <w:rsid w:val="00CB1E8A"/>
    <w:rsid w:val="00CC7168"/>
    <w:rsid w:val="00CE5CDC"/>
    <w:rsid w:val="00CF2CC5"/>
    <w:rsid w:val="00D12E1F"/>
    <w:rsid w:val="00D233EE"/>
    <w:rsid w:val="00D50150"/>
    <w:rsid w:val="00D629A6"/>
    <w:rsid w:val="00D80EB8"/>
    <w:rsid w:val="00DE2974"/>
    <w:rsid w:val="00E10D97"/>
    <w:rsid w:val="00E11E1D"/>
    <w:rsid w:val="00E4062D"/>
    <w:rsid w:val="00E64591"/>
    <w:rsid w:val="00E92D8C"/>
    <w:rsid w:val="00EB222B"/>
    <w:rsid w:val="00EB7E5C"/>
    <w:rsid w:val="00EC5355"/>
    <w:rsid w:val="00EE0810"/>
    <w:rsid w:val="00F02724"/>
    <w:rsid w:val="00F22803"/>
    <w:rsid w:val="00F23277"/>
    <w:rsid w:val="00F3217C"/>
    <w:rsid w:val="00F5325D"/>
    <w:rsid w:val="00F70642"/>
    <w:rsid w:val="00F75470"/>
    <w:rsid w:val="00F83D76"/>
    <w:rsid w:val="00F87E58"/>
    <w:rsid w:val="00FA0775"/>
    <w:rsid w:val="00FD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9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2D3C"/>
    <w:pPr>
      <w:spacing w:before="100" w:beforeAutospacing="1" w:after="100" w:afterAutospacing="1"/>
    </w:pPr>
  </w:style>
  <w:style w:type="paragraph" w:styleId="Header">
    <w:name w:val="header"/>
    <w:basedOn w:val="Normal"/>
    <w:rsid w:val="00132D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D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7941"/>
  </w:style>
  <w:style w:type="table" w:styleId="TableGrid">
    <w:name w:val="Table Grid"/>
    <w:basedOn w:val="TableNormal"/>
    <w:rsid w:val="00C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06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CDC"/>
    <w:pPr>
      <w:ind w:left="99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39CE2-B8B9-4959-BA18-8E10CB77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Annual Workforce Analysis and Staffing Plan Report  - TEMPLATE  </vt:lpstr>
    </vt:vector>
  </TitlesOfParts>
  <Company>NNSA/SC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Annual Workforce Analysis and Staffing Plan Report  - TEMPLATE  </dc:title>
  <dc:subject>Federal Technical Capability Program; Workforce Analysis and Staffing Plan</dc:subject>
  <dc:creator>NNSA / SC</dc:creator>
  <cp:keywords/>
  <dc:description>CY 2012; Federal Technical Capability Program; FTCP; Federal Technical Capability; Workforce Analysis; Staffing Plan; Staffing Analysis; Technical Qualification Program; Template</dc:description>
  <cp:lastModifiedBy>chengy</cp:lastModifiedBy>
  <cp:revision>2</cp:revision>
  <cp:lastPrinted>2013-10-11T17:41:00Z</cp:lastPrinted>
  <dcterms:created xsi:type="dcterms:W3CDTF">2013-10-29T18:51:00Z</dcterms:created>
  <dcterms:modified xsi:type="dcterms:W3CDTF">2013-10-29T18:51:00Z</dcterms:modified>
</cp:coreProperties>
</file>