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80B9" w14:textId="0E9C5FC5" w:rsidR="00564A69" w:rsidRDefault="00921F63">
      <w:pPr>
        <w:pStyle w:val="BodyText"/>
        <w:spacing w:before="0"/>
        <w:ind w:left="0"/>
        <w:rPr>
          <w:rFonts w:ascii="Times New Roman"/>
          <w:sz w:val="72"/>
        </w:rPr>
      </w:pPr>
      <w:r w:rsidRPr="00163526">
        <w:rPr>
          <w:rFonts w:ascii="Times New Roman"/>
          <w:noProof/>
          <w:sz w:val="72"/>
        </w:rPr>
        <w:drawing>
          <wp:inline distT="0" distB="0" distL="0" distR="0" wp14:anchorId="2012CD0E" wp14:editId="6D441CB1">
            <wp:extent cx="7772400" cy="908050"/>
            <wp:effectExtent l="0" t="0" r="0" b="6350"/>
            <wp:docPr id="119327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73095" name=""/>
                    <pic:cNvPicPr/>
                  </pic:nvPicPr>
                  <pic:blipFill>
                    <a:blip r:embed="rId8"/>
                    <a:stretch>
                      <a:fillRect/>
                    </a:stretch>
                  </pic:blipFill>
                  <pic:spPr>
                    <a:xfrm>
                      <a:off x="0" y="0"/>
                      <a:ext cx="7772400" cy="908050"/>
                    </a:xfrm>
                    <a:prstGeom prst="rect">
                      <a:avLst/>
                    </a:prstGeom>
                  </pic:spPr>
                </pic:pic>
              </a:graphicData>
            </a:graphic>
          </wp:inline>
        </w:drawing>
      </w:r>
    </w:p>
    <w:p w14:paraId="045CF8E6" w14:textId="77777777" w:rsidR="00564A69" w:rsidRPr="009B232E" w:rsidRDefault="00564A69">
      <w:pPr>
        <w:pStyle w:val="BodyText"/>
        <w:spacing w:before="0"/>
        <w:ind w:left="0"/>
        <w:rPr>
          <w:rFonts w:ascii="Times New Roman"/>
          <w:sz w:val="66"/>
          <w:szCs w:val="66"/>
        </w:rPr>
      </w:pPr>
    </w:p>
    <w:p w14:paraId="23337122" w14:textId="77777777" w:rsidR="009B232E" w:rsidRPr="009B232E" w:rsidRDefault="009B232E">
      <w:pPr>
        <w:pStyle w:val="BodyText"/>
        <w:spacing w:before="0"/>
        <w:ind w:left="0"/>
        <w:rPr>
          <w:rFonts w:ascii="Times New Roman"/>
          <w:sz w:val="66"/>
          <w:szCs w:val="66"/>
        </w:rPr>
      </w:pPr>
    </w:p>
    <w:p w14:paraId="416E4739" w14:textId="77777777" w:rsidR="005A0AA7" w:rsidRPr="009B232E" w:rsidRDefault="005A0AA7">
      <w:pPr>
        <w:pStyle w:val="BodyText"/>
        <w:spacing w:before="159"/>
        <w:ind w:left="0"/>
        <w:rPr>
          <w:rFonts w:ascii="Times New Roman"/>
          <w:sz w:val="66"/>
          <w:szCs w:val="66"/>
        </w:rPr>
      </w:pPr>
    </w:p>
    <w:p w14:paraId="6A2CC06D" w14:textId="22E9CB89" w:rsidR="00564A69" w:rsidRPr="009A250D" w:rsidRDefault="009B232E" w:rsidP="009B232E">
      <w:pPr>
        <w:pStyle w:val="Title"/>
        <w:ind w:left="1890" w:right="1080"/>
        <w:rPr>
          <w:rFonts w:ascii="Arial" w:hAnsi="Arial" w:cs="Arial"/>
          <w:sz w:val="56"/>
          <w:szCs w:val="56"/>
        </w:rPr>
      </w:pPr>
      <w:bookmarkStart w:id="0" w:name="FAR_Companion_Version_2.0"/>
      <w:bookmarkEnd w:id="0"/>
      <w:r w:rsidRPr="009A250D">
        <w:rPr>
          <w:rFonts w:ascii="Arial" w:hAnsi="Arial" w:cs="Arial"/>
          <w:color w:val="021F34"/>
          <w:sz w:val="56"/>
          <w:szCs w:val="56"/>
        </w:rPr>
        <w:t>Head of the Contracting Activity Authorities, Functions, and Responsibilities</w:t>
      </w:r>
    </w:p>
    <w:p w14:paraId="51DF0ED5" w14:textId="398BDA01" w:rsidR="00564A69" w:rsidRPr="009A250D" w:rsidRDefault="009712F6" w:rsidP="009B232E">
      <w:pPr>
        <w:spacing w:before="70"/>
        <w:ind w:left="1890"/>
        <w:rPr>
          <w:b/>
          <w:sz w:val="48"/>
          <w:szCs w:val="20"/>
        </w:rPr>
      </w:pPr>
      <w:r w:rsidRPr="009A250D">
        <w:rPr>
          <w:b/>
          <w:color w:val="990000"/>
          <w:w w:val="105"/>
          <w:sz w:val="48"/>
          <w:szCs w:val="20"/>
        </w:rPr>
        <w:t>Version</w:t>
      </w:r>
      <w:r w:rsidR="00D734C8" w:rsidRPr="009A250D">
        <w:rPr>
          <w:b/>
          <w:color w:val="990000"/>
          <w:spacing w:val="34"/>
          <w:w w:val="110"/>
          <w:sz w:val="48"/>
          <w:szCs w:val="20"/>
        </w:rPr>
        <w:t xml:space="preserve"> </w:t>
      </w:r>
      <w:r w:rsidR="00475224" w:rsidRPr="009A250D">
        <w:rPr>
          <w:b/>
          <w:color w:val="990000"/>
          <w:spacing w:val="34"/>
          <w:w w:val="110"/>
          <w:sz w:val="48"/>
          <w:szCs w:val="20"/>
        </w:rPr>
        <w:t>1</w:t>
      </w:r>
      <w:r w:rsidRPr="009A250D">
        <w:rPr>
          <w:b/>
          <w:color w:val="990000"/>
          <w:spacing w:val="-5"/>
          <w:w w:val="110"/>
          <w:sz w:val="48"/>
          <w:szCs w:val="20"/>
        </w:rPr>
        <w:t>.0</w:t>
      </w:r>
    </w:p>
    <w:p w14:paraId="15F02A66" w14:textId="77777777" w:rsidR="00921F63" w:rsidRDefault="00921F63">
      <w:pPr>
        <w:pStyle w:val="BodyText"/>
        <w:spacing w:before="0"/>
        <w:ind w:left="0"/>
        <w:rPr>
          <w:rFonts w:ascii="Calibri"/>
          <w:b/>
          <w:sz w:val="52"/>
        </w:rPr>
      </w:pPr>
    </w:p>
    <w:p w14:paraId="6FF7494F" w14:textId="690D91D5" w:rsidR="002E06F4" w:rsidRDefault="002E06F4">
      <w:pPr>
        <w:pStyle w:val="BodyText"/>
        <w:spacing w:before="0"/>
        <w:ind w:left="0"/>
        <w:rPr>
          <w:rFonts w:ascii="Calibri"/>
          <w:b/>
          <w:sz w:val="52"/>
        </w:rPr>
      </w:pPr>
    </w:p>
    <w:p w14:paraId="0F587377" w14:textId="77777777" w:rsidR="009A250D" w:rsidRDefault="009A250D">
      <w:pPr>
        <w:pStyle w:val="BodyText"/>
        <w:spacing w:before="0"/>
        <w:ind w:left="0"/>
        <w:rPr>
          <w:rFonts w:ascii="Calibri"/>
          <w:b/>
          <w:sz w:val="52"/>
        </w:rPr>
      </w:pPr>
    </w:p>
    <w:p w14:paraId="2674C5A6" w14:textId="77777777" w:rsidR="009A250D" w:rsidRDefault="009A250D">
      <w:pPr>
        <w:pStyle w:val="BodyText"/>
        <w:spacing w:before="0"/>
        <w:ind w:left="0"/>
        <w:rPr>
          <w:rFonts w:ascii="Calibri"/>
          <w:b/>
          <w:sz w:val="52"/>
        </w:rPr>
      </w:pPr>
    </w:p>
    <w:p w14:paraId="0DE6BB01" w14:textId="62727107" w:rsidR="002E06F4" w:rsidRDefault="00921F63">
      <w:pPr>
        <w:pStyle w:val="BodyText"/>
        <w:spacing w:before="0"/>
        <w:ind w:left="0"/>
        <w:rPr>
          <w:rFonts w:ascii="Calibri"/>
          <w:b/>
          <w:noProof/>
          <w:sz w:val="52"/>
        </w:rPr>
      </w:pPr>
      <w:r w:rsidRPr="00163526">
        <w:rPr>
          <w:rFonts w:ascii="Calibri"/>
          <w:b/>
          <w:noProof/>
          <w:sz w:val="52"/>
        </w:rPr>
        <w:drawing>
          <wp:inline distT="0" distB="0" distL="0" distR="0" wp14:anchorId="5B67024B" wp14:editId="19CFCE8A">
            <wp:extent cx="7762875" cy="3086191"/>
            <wp:effectExtent l="0" t="0" r="0" b="0"/>
            <wp:docPr id="142515114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51149" name="Picture 1" descr="Text&#10;&#10;AI-generated content may be incorrect."/>
                    <pic:cNvPicPr/>
                  </pic:nvPicPr>
                  <pic:blipFill>
                    <a:blip r:embed="rId9"/>
                    <a:stretch>
                      <a:fillRect/>
                    </a:stretch>
                  </pic:blipFill>
                  <pic:spPr>
                    <a:xfrm>
                      <a:off x="0" y="0"/>
                      <a:ext cx="7778815" cy="3092528"/>
                    </a:xfrm>
                    <a:prstGeom prst="rect">
                      <a:avLst/>
                    </a:prstGeom>
                  </pic:spPr>
                </pic:pic>
              </a:graphicData>
            </a:graphic>
          </wp:inline>
        </w:drawing>
      </w:r>
    </w:p>
    <w:p w14:paraId="00C7BC34" w14:textId="3575EB9B" w:rsidR="00564A69" w:rsidRPr="009B232E" w:rsidRDefault="00564A69">
      <w:pPr>
        <w:pStyle w:val="BodyText"/>
        <w:spacing w:before="167"/>
        <w:ind w:left="0"/>
        <w:rPr>
          <w:rFonts w:ascii="Calibri"/>
          <w:b/>
          <w:sz w:val="24"/>
          <w:szCs w:val="24"/>
        </w:rPr>
      </w:pPr>
    </w:p>
    <w:p w14:paraId="098BD649" w14:textId="2E39F146" w:rsidR="00564A69" w:rsidRDefault="009B232E" w:rsidP="00807981">
      <w:pPr>
        <w:jc w:val="center"/>
      </w:pPr>
      <w:r>
        <w:t>February</w:t>
      </w:r>
      <w:r w:rsidR="00D734C8">
        <w:rPr>
          <w:spacing w:val="-4"/>
        </w:rPr>
        <w:t xml:space="preserve"> </w:t>
      </w:r>
      <w:r w:rsidR="00475224">
        <w:rPr>
          <w:spacing w:val="-4"/>
        </w:rPr>
        <w:t>20</w:t>
      </w:r>
      <w:r>
        <w:rPr>
          <w:spacing w:val="-4"/>
        </w:rPr>
        <w:t>26</w:t>
      </w:r>
    </w:p>
    <w:p w14:paraId="54A85542" w14:textId="77777777" w:rsidR="00564A69" w:rsidRDefault="00564A69">
      <w:pPr>
        <w:pStyle w:val="Heading2"/>
        <w:jc w:val="center"/>
        <w:sectPr w:rsidR="00564A69" w:rsidSect="00921F63">
          <w:type w:val="continuous"/>
          <w:pgSz w:w="12240" w:h="15840"/>
          <w:pgMar w:top="0" w:right="0" w:bottom="280" w:left="0" w:header="0" w:footer="720" w:gutter="0"/>
          <w:cols w:space="720"/>
        </w:sectPr>
      </w:pPr>
    </w:p>
    <w:p w14:paraId="6DBA491F" w14:textId="64D47B25" w:rsidR="00807981" w:rsidRDefault="00807981">
      <w:pPr>
        <w:rPr>
          <w:b/>
          <w:color w:val="021F34"/>
          <w:sz w:val="24"/>
        </w:rPr>
      </w:pPr>
      <w:bookmarkStart w:id="1" w:name="Table_of_Contents"/>
      <w:bookmarkEnd w:id="1"/>
    </w:p>
    <w:p w14:paraId="44BF102E" w14:textId="480F6276" w:rsidR="00C83EF7" w:rsidRPr="000D4673" w:rsidRDefault="00C83EF7" w:rsidP="00C83EF7">
      <w:pPr>
        <w:widowControl/>
        <w:autoSpaceDE/>
        <w:autoSpaceDN/>
        <w:rPr>
          <w:rFonts w:eastAsia="Times New Roman"/>
          <w:i/>
          <w:iCs/>
          <w:color w:val="000000"/>
        </w:rPr>
      </w:pPr>
      <w:bookmarkStart w:id="2" w:name="Version_Change_Log"/>
      <w:bookmarkStart w:id="3" w:name="About_the_FAR_Companion"/>
      <w:bookmarkEnd w:id="2"/>
      <w:bookmarkEnd w:id="3"/>
      <w:r w:rsidRPr="000D4673">
        <w:rPr>
          <w:rFonts w:eastAsia="Times New Roman"/>
          <w:i/>
          <w:iCs/>
          <w:color w:val="000000"/>
        </w:rPr>
        <w:t>References:</w:t>
      </w:r>
      <w:r w:rsidR="009B232E" w:rsidRPr="000D4673">
        <w:rPr>
          <w:rFonts w:eastAsia="Times New Roman"/>
          <w:i/>
          <w:iCs/>
          <w:color w:val="000000"/>
        </w:rPr>
        <w:t xml:space="preserve"> [</w:t>
      </w:r>
      <w:hyperlink r:id="rId10" w:anchor="FAR_1_401" w:history="1">
        <w:r w:rsidR="009B232E" w:rsidRPr="000D4673">
          <w:rPr>
            <w:rStyle w:val="Hyperlink"/>
            <w:rFonts w:eastAsia="Times New Roman"/>
            <w:i/>
            <w:iCs/>
          </w:rPr>
          <w:t>FAR 1.401</w:t>
        </w:r>
      </w:hyperlink>
      <w:r w:rsidR="009B232E" w:rsidRPr="000D4673">
        <w:rPr>
          <w:rFonts w:eastAsia="Times New Roman"/>
          <w:i/>
          <w:iCs/>
          <w:color w:val="000000"/>
          <w:u w:val="single"/>
        </w:rPr>
        <w:t>]</w:t>
      </w:r>
    </w:p>
    <w:p w14:paraId="38054784" w14:textId="77777777" w:rsidR="00FD5B2F" w:rsidRPr="000D4673" w:rsidRDefault="00FD5B2F" w:rsidP="00FD5B2F">
      <w:pPr>
        <w:tabs>
          <w:tab w:val="left" w:pos="720"/>
        </w:tabs>
        <w:ind w:right="360"/>
        <w:rPr>
          <w:rFonts w:eastAsia="Times New Roman"/>
        </w:rPr>
      </w:pPr>
    </w:p>
    <w:p w14:paraId="49476FCA" w14:textId="77777777" w:rsidR="0041132F" w:rsidRPr="000D4673" w:rsidRDefault="0041132F" w:rsidP="0041132F">
      <w:pPr>
        <w:pStyle w:val="s11"/>
        <w:spacing w:before="0" w:beforeAutospacing="0" w:after="0" w:afterAutospacing="0"/>
        <w:rPr>
          <w:rFonts w:ascii="Arial" w:hAnsi="Arial" w:cs="Arial"/>
          <w:b/>
          <w:bCs/>
          <w:color w:val="000000"/>
          <w:sz w:val="22"/>
          <w:szCs w:val="22"/>
        </w:rPr>
      </w:pPr>
      <w:r w:rsidRPr="000D4673">
        <w:rPr>
          <w:rFonts w:ascii="Arial" w:hAnsi="Arial" w:cs="Arial"/>
          <w:b/>
          <w:bCs/>
          <w:color w:val="000000"/>
          <w:sz w:val="22"/>
          <w:szCs w:val="22"/>
        </w:rPr>
        <w:t>Overview</w:t>
      </w:r>
    </w:p>
    <w:p w14:paraId="549870CC" w14:textId="60EB6F71"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This guide provides a summary of Head of Contracting Activity (HCA) authorities based on statute, the Federal Acquisition Regulation (FAR), Department of Energy Acquisition Regulation (DEAR), and Department of Energy (DOE) Orders. It serves as a general guide to the authorities that may be conferred via a formal delegation of HCA authority from the DOE Senior Procurement Executive (SPE) and the National Nuclear Security Administration (NNSA) SPE. This formal delegation prescribes the specific source and scope of the HCA’s authority with respect to that individual’s contracting actions. HCA delegations are unique and specific to the individual program or field activity, based on mission, workload, performance and other factors considered by the DOE and NNSA SPEs.</w:t>
      </w:r>
    </w:p>
    <w:p w14:paraId="772C28D5" w14:textId="77777777" w:rsidR="0041132F" w:rsidRPr="000D4673" w:rsidRDefault="0041132F" w:rsidP="0041132F">
      <w:pPr>
        <w:pStyle w:val="NormalWeb"/>
        <w:spacing w:before="0" w:beforeAutospacing="0" w:after="0" w:afterAutospacing="0"/>
        <w:rPr>
          <w:rFonts w:ascii="Arial" w:hAnsi="Arial" w:cs="Arial"/>
          <w:color w:val="000000"/>
          <w:sz w:val="22"/>
          <w:szCs w:val="22"/>
        </w:rPr>
      </w:pPr>
    </w:p>
    <w:p w14:paraId="742774B4" w14:textId="77777777" w:rsidR="0041132F" w:rsidRPr="000D4673" w:rsidRDefault="0041132F" w:rsidP="0041132F">
      <w:pPr>
        <w:pStyle w:val="s11"/>
        <w:spacing w:before="0" w:beforeAutospacing="0" w:after="0" w:afterAutospacing="0"/>
        <w:rPr>
          <w:rFonts w:ascii="Arial" w:hAnsi="Arial" w:cs="Arial"/>
          <w:b/>
          <w:bCs/>
          <w:color w:val="000000"/>
          <w:sz w:val="22"/>
          <w:szCs w:val="22"/>
        </w:rPr>
      </w:pPr>
      <w:r w:rsidRPr="000D4673">
        <w:rPr>
          <w:rFonts w:ascii="Arial" w:hAnsi="Arial" w:cs="Arial"/>
          <w:b/>
          <w:bCs/>
          <w:color w:val="000000"/>
          <w:sz w:val="22"/>
          <w:szCs w:val="22"/>
        </w:rPr>
        <w:t>Objective</w:t>
      </w:r>
    </w:p>
    <w:p w14:paraId="28B50B03" w14:textId="77777777"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The attached tables provide a digest of the responsibilities that accompany the delegation/designation and provide an understanding of the roles, responsibilities, and authorities of the HCA within the overall acquisition framework.</w:t>
      </w:r>
    </w:p>
    <w:p w14:paraId="4474420A" w14:textId="77777777" w:rsidR="0041132F" w:rsidRPr="000D4673" w:rsidRDefault="0041132F" w:rsidP="0041132F">
      <w:pPr>
        <w:pStyle w:val="NormalWeb"/>
        <w:spacing w:before="0" w:beforeAutospacing="0" w:after="0" w:afterAutospacing="0"/>
        <w:rPr>
          <w:rFonts w:ascii="Arial" w:hAnsi="Arial" w:cs="Arial"/>
          <w:color w:val="000000"/>
          <w:sz w:val="22"/>
          <w:szCs w:val="22"/>
        </w:rPr>
      </w:pPr>
    </w:p>
    <w:p w14:paraId="3B164C34" w14:textId="77777777" w:rsidR="0041132F" w:rsidRPr="000D4673" w:rsidRDefault="0041132F" w:rsidP="0041132F">
      <w:pPr>
        <w:pStyle w:val="s11"/>
        <w:spacing w:before="0" w:beforeAutospacing="0" w:after="0" w:afterAutospacing="0"/>
        <w:rPr>
          <w:rFonts w:ascii="Arial" w:hAnsi="Arial" w:cs="Arial"/>
          <w:b/>
          <w:bCs/>
          <w:color w:val="000000"/>
          <w:sz w:val="22"/>
          <w:szCs w:val="22"/>
        </w:rPr>
      </w:pPr>
      <w:r w:rsidRPr="000D4673">
        <w:rPr>
          <w:rFonts w:ascii="Arial" w:hAnsi="Arial" w:cs="Arial"/>
          <w:b/>
          <w:bCs/>
          <w:color w:val="000000"/>
          <w:sz w:val="22"/>
          <w:szCs w:val="22"/>
        </w:rPr>
        <w:t>Guidance</w:t>
      </w:r>
    </w:p>
    <w:p w14:paraId="6176472C" w14:textId="431F1C44"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Authority delegated to an HCA may be either non-delegable or delegable. Non-delegable authority is one that cannot be re-delegated by the HCA to someone else, e.g., authorities which are deemed of such importance or sensitivity that the personal attention, expertise, or involvement of the HCA is considered necessary. A list of non-delegable authority and references are provided in Table-I.</w:t>
      </w:r>
    </w:p>
    <w:p w14:paraId="11954C7D" w14:textId="77777777" w:rsidR="0041132F" w:rsidRPr="000D4673" w:rsidRDefault="0041132F" w:rsidP="0041132F">
      <w:pPr>
        <w:pStyle w:val="NormalWeb"/>
        <w:spacing w:before="0" w:beforeAutospacing="0" w:after="0" w:afterAutospacing="0"/>
        <w:rPr>
          <w:rFonts w:ascii="Arial" w:hAnsi="Arial" w:cs="Arial"/>
          <w:color w:val="000000"/>
          <w:sz w:val="22"/>
          <w:szCs w:val="22"/>
        </w:rPr>
      </w:pPr>
    </w:p>
    <w:p w14:paraId="7CD2BE19" w14:textId="30FC7811"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A delegable authority is one that may be conferred or re-delegated to another individual. When such authority is re-delegated, it does not imply that the delegated authority is relinquished by the HCA. Although certain authorities may be re-delegated, the HCA retains full responsibility and accountability for ensuring compliance with applicable law, regulation, policy, and procedures. Before re-delegating any authorities, the HCA must understand the extent to which such re-delegation is permissible. These limitations and conditions are prescribed in the HCA’s specific delegation/designation letter. A list of potentially delegable HCA authorities and references are summarized or listed in Table-II.</w:t>
      </w:r>
    </w:p>
    <w:p w14:paraId="3BD3B015" w14:textId="77777777" w:rsidR="0041132F" w:rsidRPr="000D4673" w:rsidRDefault="0041132F" w:rsidP="0041132F">
      <w:pPr>
        <w:pStyle w:val="NormalWeb"/>
        <w:spacing w:before="0" w:beforeAutospacing="0" w:after="0" w:afterAutospacing="0"/>
        <w:rPr>
          <w:rFonts w:ascii="Arial" w:hAnsi="Arial" w:cs="Arial"/>
          <w:color w:val="000000"/>
          <w:sz w:val="22"/>
          <w:szCs w:val="22"/>
        </w:rPr>
      </w:pPr>
    </w:p>
    <w:p w14:paraId="4316D7CA" w14:textId="609704C2"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Although certain statutes, the FAR, DEAR, and DOE Orders provide for the delegation of certain procurement authorities and functions to the HCA, some have been retained by the Senior Procurement Executive. These authorities are listed under Table-III.</w:t>
      </w:r>
    </w:p>
    <w:p w14:paraId="5E614922" w14:textId="77777777" w:rsidR="0041132F" w:rsidRPr="000D4673" w:rsidRDefault="0041132F" w:rsidP="0041132F">
      <w:pPr>
        <w:pStyle w:val="NormalWeb"/>
        <w:spacing w:before="0" w:beforeAutospacing="0" w:after="0" w:afterAutospacing="0"/>
        <w:rPr>
          <w:rFonts w:ascii="Arial" w:hAnsi="Arial" w:cs="Arial"/>
          <w:color w:val="000000"/>
          <w:sz w:val="22"/>
          <w:szCs w:val="22"/>
        </w:rPr>
      </w:pPr>
    </w:p>
    <w:p w14:paraId="553F74A4" w14:textId="1C9E657D" w:rsidR="0041132F" w:rsidRPr="000D4673" w:rsidRDefault="0041132F" w:rsidP="0041132F">
      <w:pPr>
        <w:pStyle w:val="NormalWeb"/>
        <w:spacing w:before="0" w:beforeAutospacing="0" w:after="0" w:afterAutospacing="0"/>
        <w:rPr>
          <w:rFonts w:ascii="Arial" w:hAnsi="Arial" w:cs="Arial"/>
          <w:color w:val="000000"/>
          <w:sz w:val="22"/>
          <w:szCs w:val="22"/>
        </w:rPr>
      </w:pPr>
      <w:r w:rsidRPr="000D4673">
        <w:rPr>
          <w:rFonts w:ascii="Arial" w:hAnsi="Arial" w:cs="Arial"/>
          <w:color w:val="000000"/>
          <w:sz w:val="22"/>
          <w:szCs w:val="22"/>
        </w:rPr>
        <w:t>References to authorities pertaining to sales contacts may be delegated to an HCA are listed in Table-IV.</w:t>
      </w:r>
    </w:p>
    <w:p w14:paraId="5F2A57F2" w14:textId="77777777" w:rsidR="0041132F" w:rsidRPr="000D4673" w:rsidRDefault="0041132F" w:rsidP="00FD5B2F">
      <w:pPr>
        <w:tabs>
          <w:tab w:val="left" w:pos="720"/>
        </w:tabs>
        <w:ind w:right="360"/>
        <w:rPr>
          <w:rFonts w:eastAsia="Times New Roman"/>
        </w:rPr>
      </w:pPr>
    </w:p>
    <w:p w14:paraId="100F0BD2" w14:textId="3926CB83" w:rsidR="0041132F" w:rsidRPr="000D4673" w:rsidRDefault="0041132F" w:rsidP="00FD5B2F">
      <w:pPr>
        <w:tabs>
          <w:tab w:val="left" w:pos="720"/>
        </w:tabs>
        <w:ind w:right="360"/>
        <w:rPr>
          <w:rFonts w:eastAsia="Times New Roman"/>
          <w:b/>
          <w:bCs/>
        </w:rPr>
      </w:pPr>
      <w:r w:rsidRPr="000D4673">
        <w:rPr>
          <w:rFonts w:eastAsia="Times New Roman"/>
          <w:b/>
          <w:bCs/>
        </w:rPr>
        <w:t>Attachments</w:t>
      </w:r>
    </w:p>
    <w:p w14:paraId="639F9984" w14:textId="7A5A79E0" w:rsidR="0041132F" w:rsidRPr="000D4673" w:rsidRDefault="000D4673" w:rsidP="00FD5B2F">
      <w:pPr>
        <w:tabs>
          <w:tab w:val="left" w:pos="720"/>
        </w:tabs>
        <w:ind w:right="360"/>
        <w:rPr>
          <w:rFonts w:eastAsia="Times New Roman"/>
        </w:rPr>
      </w:pPr>
      <w:r>
        <w:rPr>
          <w:rFonts w:eastAsia="Times New Roman"/>
        </w:rPr>
        <w:t>HCA</w:t>
      </w:r>
      <w:r w:rsidR="0041132F" w:rsidRPr="000D4673">
        <w:rPr>
          <w:rFonts w:eastAsia="Times New Roman"/>
        </w:rPr>
        <w:t xml:space="preserve"> Authorities, Functions, and Responsibilities Tables</w:t>
      </w:r>
    </w:p>
    <w:sectPr w:rsidR="0041132F" w:rsidRPr="000D4673" w:rsidSect="001F2F99">
      <w:headerReference w:type="default" r:id="rId11"/>
      <w:footerReference w:type="default" r:id="rId12"/>
      <w:pgSz w:w="12240" w:h="15840"/>
      <w:pgMar w:top="1890" w:right="1440" w:bottom="1440" w:left="1440" w:header="0"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2EC7" w14:textId="77777777" w:rsidR="00F01434" w:rsidRDefault="00F01434">
      <w:r>
        <w:separator/>
      </w:r>
    </w:p>
  </w:endnote>
  <w:endnote w:type="continuationSeparator" w:id="0">
    <w:p w14:paraId="237DC229" w14:textId="77777777" w:rsidR="00F01434" w:rsidRDefault="00F0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27F8" w14:textId="77777777" w:rsidR="00564A69" w:rsidRDefault="009712F6">
    <w:pPr>
      <w:pStyle w:val="BodyText"/>
      <w:spacing w:before="0" w:line="14" w:lineRule="auto"/>
      <w:ind w:left="0"/>
      <w:rPr>
        <w:sz w:val="20"/>
      </w:rPr>
    </w:pPr>
    <w:r>
      <w:rPr>
        <w:noProof/>
        <w:sz w:val="20"/>
      </w:rPr>
      <mc:AlternateContent>
        <mc:Choice Requires="wps">
          <w:drawing>
            <wp:anchor distT="0" distB="0" distL="0" distR="0" simplePos="0" relativeHeight="251659264" behindDoc="1" locked="0" layoutInCell="1" allowOverlap="1" wp14:anchorId="5EBA8162" wp14:editId="34027F51">
              <wp:simplePos x="0" y="0"/>
              <wp:positionH relativeFrom="page">
                <wp:posOffset>3756786</wp:posOffset>
              </wp:positionH>
              <wp:positionV relativeFrom="page">
                <wp:posOffset>9293628</wp:posOffset>
              </wp:positionV>
              <wp:extent cx="259079"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82245"/>
                      </a:xfrm>
                      <a:prstGeom prst="rect">
                        <a:avLst/>
                      </a:prstGeom>
                    </wps:spPr>
                    <wps:txbx>
                      <w:txbxContent>
                        <w:p w14:paraId="2CEE87F4" w14:textId="77777777" w:rsidR="00564A69" w:rsidRDefault="009712F6">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EBA8162" id="_x0000_t202" coordsize="21600,21600" o:spt="202" path="m,l,21600r21600,l21600,xe">
              <v:stroke joinstyle="miter"/>
              <v:path gradientshapeok="t" o:connecttype="rect"/>
            </v:shapetype>
            <v:shape id="Textbox 10" o:spid="_x0000_s1027" type="#_x0000_t202" style="position:absolute;margin-left:295.8pt;margin-top:731.8pt;width:20.4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KmAEAACEDAAAOAAAAZHJzL2Uyb0RvYy54bWysUsFuGyEQvVfKPyDuMetV0y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" filled="f" stroked="f">
              <v:textbox inset="0,0,0,0">
                <w:txbxContent>
                  <w:p w14:paraId="2CEE87F4" w14:textId="77777777" w:rsidR="00564A69" w:rsidRDefault="009712F6">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E837" w14:textId="77777777" w:rsidR="00F01434" w:rsidRDefault="00F01434">
      <w:r>
        <w:separator/>
      </w:r>
    </w:p>
  </w:footnote>
  <w:footnote w:type="continuationSeparator" w:id="0">
    <w:p w14:paraId="41386028" w14:textId="77777777" w:rsidR="00F01434" w:rsidRDefault="00F0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0EC4" w14:textId="77777777" w:rsidR="00921F63" w:rsidRDefault="00921F63" w:rsidP="00921F63">
    <w:pPr>
      <w:pStyle w:val="BodyText"/>
      <w:spacing w:before="0" w:line="14" w:lineRule="auto"/>
      <w:ind w:left="0" w:right="-1440"/>
      <w:jc w:val="right"/>
      <w:rPr>
        <w:sz w:val="20"/>
      </w:rPr>
    </w:pPr>
  </w:p>
  <w:p w14:paraId="3F4CD73D" w14:textId="0E206F36" w:rsidR="00564A69" w:rsidRDefault="00921F63" w:rsidP="00921F63">
    <w:pPr>
      <w:pStyle w:val="BodyText"/>
      <w:spacing w:before="0" w:line="14" w:lineRule="auto"/>
      <w:ind w:left="-1440" w:right="-1440"/>
      <w:jc w:val="right"/>
      <w:rPr>
        <w:sz w:val="20"/>
      </w:rPr>
    </w:pPr>
    <w:r>
      <w:rPr>
        <w:noProof/>
        <w:sz w:val="20"/>
      </w:rPr>
      <mc:AlternateContent>
        <mc:Choice Requires="wps">
          <w:drawing>
            <wp:anchor distT="0" distB="0" distL="0" distR="0" simplePos="0" relativeHeight="251657216" behindDoc="1" locked="0" layoutInCell="1" allowOverlap="1" wp14:anchorId="624AF7E8" wp14:editId="379B2F68">
              <wp:simplePos x="0" y="0"/>
              <wp:positionH relativeFrom="page">
                <wp:posOffset>676274</wp:posOffset>
              </wp:positionH>
              <wp:positionV relativeFrom="page">
                <wp:posOffset>390525</wp:posOffset>
              </wp:positionV>
              <wp:extent cx="4410075" cy="438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38150"/>
                      </a:xfrm>
                      <a:prstGeom prst="rect">
                        <a:avLst/>
                      </a:prstGeom>
                    </wps:spPr>
                    <wps:txbx>
                      <w:txbxContent>
                        <w:p w14:paraId="22E33A13" w14:textId="1F9AA71A" w:rsidR="00564A69" w:rsidRDefault="009B232E">
                          <w:pPr>
                            <w:spacing w:before="10"/>
                            <w:ind w:left="20"/>
                            <w:rPr>
                              <w:b/>
                              <w:sz w:val="30"/>
                            </w:rPr>
                          </w:pPr>
                          <w:r w:rsidRPr="009B232E">
                            <w:rPr>
                              <w:b/>
                              <w:color w:val="021F34"/>
                              <w:sz w:val="30"/>
                            </w:rPr>
                            <w:t>Head of the Contracting Activity Authorities, Functions, and Responsibilities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24AF7E8" id="_x0000_t202" coordsize="21600,21600" o:spt="202" path="m,l,21600r21600,l21600,xe">
              <v:stroke joinstyle="miter"/>
              <v:path gradientshapeok="t" o:connecttype="rect"/>
            </v:shapetype>
            <v:shape id="Textbox 9" o:spid="_x0000_s1026" type="#_x0000_t202" style="position:absolute;left:0;text-align:left;margin-left:53.25pt;margin-top:30.75pt;width:347.25pt;height:3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" filled="f" stroked="f">
              <v:textbox inset="0,0,0,0">
                <w:txbxContent>
                  <w:p w14:paraId="22E33A13" w14:textId="1F9AA71A" w:rsidR="00564A69" w:rsidRDefault="009B232E">
                    <w:pPr>
                      <w:spacing w:before="10"/>
                      <w:ind w:left="20"/>
                      <w:rPr>
                        <w:b/>
                        <w:sz w:val="30"/>
                      </w:rPr>
                    </w:pPr>
                    <w:r w:rsidRPr="009B232E">
                      <w:rPr>
                        <w:b/>
                        <w:color w:val="021F34"/>
                        <w:sz w:val="30"/>
                      </w:rPr>
                      <w:t>Head of the Contracting Activity Authorities, Functions, and Responsibilities</w:t>
                    </w:r>
                  </w:p>
                </w:txbxContent>
              </v:textbox>
              <w10:wrap anchorx="page" anchory="page"/>
            </v:shape>
          </w:pict>
        </mc:Fallback>
      </mc:AlternateContent>
    </w:r>
    <w:r w:rsidRPr="00163526">
      <w:rPr>
        <w:noProof/>
        <w:sz w:val="20"/>
      </w:rPr>
      <w:drawing>
        <wp:inline distT="0" distB="0" distL="0" distR="0" wp14:anchorId="45F92798" wp14:editId="0270CE76">
          <wp:extent cx="2409825" cy="1083938"/>
          <wp:effectExtent l="0" t="0" r="0" b="2540"/>
          <wp:docPr id="15897558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55810" name="Picture 1" descr="Text&#10;&#10;AI-generated content may be incorrect."/>
                  <pic:cNvPicPr/>
                </pic:nvPicPr>
                <pic:blipFill>
                  <a:blip r:embed="rId1"/>
                  <a:stretch>
                    <a:fillRect/>
                  </a:stretch>
                </pic:blipFill>
                <pic:spPr>
                  <a:xfrm>
                    <a:off x="0" y="0"/>
                    <a:ext cx="2429690" cy="1092873"/>
                  </a:xfrm>
                  <a:prstGeom prst="rect">
                    <a:avLst/>
                  </a:prstGeom>
                </pic:spPr>
              </pic:pic>
            </a:graphicData>
          </a:graphic>
        </wp:inline>
      </w:drawing>
    </w:r>
    <w:r w:rsidRPr="00E2482D">
      <w:rPr>
        <w:noProof/>
        <w:sz w:val="20"/>
      </w:rPr>
      <w:drawing>
        <wp:inline distT="0" distB="0" distL="0" distR="0" wp14:anchorId="2A7F7D65" wp14:editId="006071F9">
          <wp:extent cx="7785735" cy="67500"/>
          <wp:effectExtent l="0" t="0" r="0" b="8890"/>
          <wp:docPr id="3593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0071" name=""/>
                  <pic:cNvPicPr/>
                </pic:nvPicPr>
                <pic:blipFill>
                  <a:blip r:embed="rId2"/>
                  <a:stretch>
                    <a:fillRect/>
                  </a:stretch>
                </pic:blipFill>
                <pic:spPr>
                  <a:xfrm>
                    <a:off x="0" y="0"/>
                    <a:ext cx="8549156" cy="74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84D"/>
    <w:multiLevelType w:val="multilevel"/>
    <w:tmpl w:val="535C4944"/>
    <w:lvl w:ilvl="0">
      <w:start w:val="1"/>
      <w:numFmt w:val="decimal"/>
      <w:lvlText w:val="%1"/>
      <w:lvlJc w:val="left"/>
      <w:pPr>
        <w:ind w:left="480" w:hanging="480"/>
      </w:pPr>
      <w:rPr>
        <w:rFonts w:hint="default"/>
        <w:u w:val="single"/>
      </w:rPr>
    </w:lvl>
    <w:lvl w:ilvl="1">
      <w:start w:val="3"/>
      <w:numFmt w:val="decimal"/>
      <w:lvlText w:val="%1.%2"/>
      <w:lvlJc w:val="left"/>
      <w:pPr>
        <w:ind w:left="480" w:hanging="480"/>
      </w:pPr>
      <w:rPr>
        <w:rFonts w:hint="default"/>
        <w:b/>
        <w:bCs/>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567713F"/>
    <w:multiLevelType w:val="hybridMultilevel"/>
    <w:tmpl w:val="841E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16795"/>
    <w:multiLevelType w:val="multilevel"/>
    <w:tmpl w:val="758CF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72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83194"/>
    <w:multiLevelType w:val="hybridMultilevel"/>
    <w:tmpl w:val="9050E7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12E09"/>
    <w:multiLevelType w:val="multilevel"/>
    <w:tmpl w:val="7A04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4035"/>
    <w:multiLevelType w:val="multilevel"/>
    <w:tmpl w:val="DDBA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D60D8"/>
    <w:multiLevelType w:val="multilevel"/>
    <w:tmpl w:val="EE06122C"/>
    <w:lvl w:ilvl="0">
      <w:start w:val="2"/>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1C5224F2"/>
    <w:multiLevelType w:val="multilevel"/>
    <w:tmpl w:val="2D3E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45A74"/>
    <w:multiLevelType w:val="multilevel"/>
    <w:tmpl w:val="758CF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72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76236"/>
    <w:multiLevelType w:val="multilevel"/>
    <w:tmpl w:val="EF1A69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45E43"/>
    <w:multiLevelType w:val="multilevel"/>
    <w:tmpl w:val="E1E4A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1441B"/>
    <w:multiLevelType w:val="multilevel"/>
    <w:tmpl w:val="27F2BE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DE062E"/>
    <w:multiLevelType w:val="multilevel"/>
    <w:tmpl w:val="3C10B4C0"/>
    <w:lvl w:ilvl="0">
      <w:start w:val="1"/>
      <w:numFmt w:val="decimal"/>
      <w:lvlText w:val="%1"/>
      <w:lvlJc w:val="left"/>
      <w:pPr>
        <w:ind w:left="360" w:hanging="360"/>
      </w:pPr>
      <w:rPr>
        <w:rFonts w:hint="default"/>
        <w:u w:val="single"/>
      </w:rPr>
    </w:lvl>
    <w:lvl w:ilvl="1">
      <w:start w:val="1"/>
      <w:numFmt w:val="decimal"/>
      <w:lvlText w:val="%1.%2"/>
      <w:lvlJc w:val="left"/>
      <w:pPr>
        <w:ind w:left="1440" w:hanging="360"/>
      </w:pPr>
      <w:rPr>
        <w:rFonts w:hint="default"/>
        <w:b/>
        <w:bCs/>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13" w15:restartNumberingAfterBreak="0">
    <w:nsid w:val="542A097C"/>
    <w:multiLevelType w:val="multilevel"/>
    <w:tmpl w:val="F07A2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E7069D"/>
    <w:multiLevelType w:val="multilevel"/>
    <w:tmpl w:val="4F34D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70F64"/>
    <w:multiLevelType w:val="multilevel"/>
    <w:tmpl w:val="9D9A86CA"/>
    <w:lvl w:ilvl="0">
      <w:start w:val="1"/>
      <w:numFmt w:val="decimal"/>
      <w:lvlText w:val="%1"/>
      <w:lvlJc w:val="left"/>
      <w:pPr>
        <w:ind w:left="480" w:hanging="480"/>
      </w:pPr>
      <w:rPr>
        <w:rFonts w:hint="default"/>
        <w:u w:val="single"/>
      </w:rPr>
    </w:lvl>
    <w:lvl w:ilvl="1">
      <w:start w:val="4"/>
      <w:numFmt w:val="decimal"/>
      <w:lvlText w:val="%1.%2"/>
      <w:lvlJc w:val="left"/>
      <w:pPr>
        <w:ind w:left="480" w:hanging="48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72B549A3"/>
    <w:multiLevelType w:val="hybridMultilevel"/>
    <w:tmpl w:val="8640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F913D9"/>
    <w:multiLevelType w:val="multilevel"/>
    <w:tmpl w:val="B07E79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925388">
    <w:abstractNumId w:val="10"/>
    <w:lvlOverride w:ilvl="2">
      <w:lvl w:ilvl="2">
        <w:numFmt w:val="decimal"/>
        <w:lvlText w:val="%3."/>
        <w:lvlJc w:val="left"/>
      </w:lvl>
    </w:lvlOverride>
  </w:num>
  <w:num w:numId="2" w16cid:durableId="1114177837">
    <w:abstractNumId w:val="10"/>
    <w:lvlOverride w:ilvl="3">
      <w:lvl w:ilvl="3">
        <w:numFmt w:val="decimal"/>
        <w:lvlText w:val="%4."/>
        <w:lvlJc w:val="left"/>
      </w:lvl>
    </w:lvlOverride>
  </w:num>
  <w:num w:numId="3" w16cid:durableId="1157111565">
    <w:abstractNumId w:val="10"/>
    <w:lvlOverride w:ilvl="2">
      <w:lvl w:ilvl="2">
        <w:numFmt w:val="decimal"/>
        <w:lvlText w:val="%3."/>
        <w:lvlJc w:val="left"/>
      </w:lvl>
    </w:lvlOverride>
  </w:num>
  <w:num w:numId="4" w16cid:durableId="1240597267">
    <w:abstractNumId w:val="10"/>
    <w:lvlOverride w:ilvl="2">
      <w:lvl w:ilvl="2">
        <w:numFmt w:val="decimal"/>
        <w:lvlText w:val="%3."/>
        <w:lvlJc w:val="left"/>
      </w:lvl>
    </w:lvlOverride>
  </w:num>
  <w:num w:numId="5" w16cid:durableId="1793787932">
    <w:abstractNumId w:val="13"/>
  </w:num>
  <w:num w:numId="6" w16cid:durableId="2099713231">
    <w:abstractNumId w:val="12"/>
  </w:num>
  <w:num w:numId="7" w16cid:durableId="1355423335">
    <w:abstractNumId w:val="11"/>
  </w:num>
  <w:num w:numId="8" w16cid:durableId="145435350">
    <w:abstractNumId w:val="1"/>
  </w:num>
  <w:num w:numId="9" w16cid:durableId="1536649824">
    <w:abstractNumId w:val="8"/>
  </w:num>
  <w:num w:numId="10" w16cid:durableId="1218316070">
    <w:abstractNumId w:val="0"/>
  </w:num>
  <w:num w:numId="11" w16cid:durableId="1043141229">
    <w:abstractNumId w:val="2"/>
  </w:num>
  <w:num w:numId="12" w16cid:durableId="1978562625">
    <w:abstractNumId w:val="14"/>
  </w:num>
  <w:num w:numId="13" w16cid:durableId="635376805">
    <w:abstractNumId w:val="15"/>
  </w:num>
  <w:num w:numId="14" w16cid:durableId="1334185179">
    <w:abstractNumId w:val="16"/>
  </w:num>
  <w:num w:numId="15" w16cid:durableId="961761873">
    <w:abstractNumId w:val="6"/>
  </w:num>
  <w:num w:numId="16" w16cid:durableId="858274743">
    <w:abstractNumId w:val="17"/>
  </w:num>
  <w:num w:numId="17" w16cid:durableId="1203706648">
    <w:abstractNumId w:val="7"/>
  </w:num>
  <w:num w:numId="18" w16cid:durableId="1374572112">
    <w:abstractNumId w:val="5"/>
  </w:num>
  <w:num w:numId="19" w16cid:durableId="2005693859">
    <w:abstractNumId w:val="4"/>
  </w:num>
  <w:num w:numId="20" w16cid:durableId="257493568">
    <w:abstractNumId w:val="9"/>
  </w:num>
  <w:num w:numId="21" w16cid:durableId="3343055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4A69"/>
    <w:rsid w:val="00011D3B"/>
    <w:rsid w:val="000238E3"/>
    <w:rsid w:val="0003413E"/>
    <w:rsid w:val="00034C17"/>
    <w:rsid w:val="00036F82"/>
    <w:rsid w:val="00047026"/>
    <w:rsid w:val="00052FFD"/>
    <w:rsid w:val="00057BF1"/>
    <w:rsid w:val="00070947"/>
    <w:rsid w:val="00074949"/>
    <w:rsid w:val="000B3B7C"/>
    <w:rsid w:val="000D4673"/>
    <w:rsid w:val="000F4F71"/>
    <w:rsid w:val="001167CF"/>
    <w:rsid w:val="00126FAD"/>
    <w:rsid w:val="001323BF"/>
    <w:rsid w:val="00132931"/>
    <w:rsid w:val="00135AA2"/>
    <w:rsid w:val="001502D7"/>
    <w:rsid w:val="001565C9"/>
    <w:rsid w:val="00186FFD"/>
    <w:rsid w:val="001A14C3"/>
    <w:rsid w:val="001B636A"/>
    <w:rsid w:val="001F0724"/>
    <w:rsid w:val="001F2F99"/>
    <w:rsid w:val="00207223"/>
    <w:rsid w:val="002232FD"/>
    <w:rsid w:val="00251824"/>
    <w:rsid w:val="002843FE"/>
    <w:rsid w:val="002A046B"/>
    <w:rsid w:val="002A5BD7"/>
    <w:rsid w:val="002B0A25"/>
    <w:rsid w:val="002C31DF"/>
    <w:rsid w:val="002E0630"/>
    <w:rsid w:val="002E06F4"/>
    <w:rsid w:val="002E2360"/>
    <w:rsid w:val="0031211C"/>
    <w:rsid w:val="003242EB"/>
    <w:rsid w:val="003470DB"/>
    <w:rsid w:val="003B6DC0"/>
    <w:rsid w:val="003C6263"/>
    <w:rsid w:val="003D59C7"/>
    <w:rsid w:val="003F27C0"/>
    <w:rsid w:val="003F3AD5"/>
    <w:rsid w:val="003F717C"/>
    <w:rsid w:val="00405A94"/>
    <w:rsid w:val="0041132F"/>
    <w:rsid w:val="004135FB"/>
    <w:rsid w:val="00416943"/>
    <w:rsid w:val="00467CA3"/>
    <w:rsid w:val="00475224"/>
    <w:rsid w:val="00476412"/>
    <w:rsid w:val="004A6490"/>
    <w:rsid w:val="004B438D"/>
    <w:rsid w:val="004B495A"/>
    <w:rsid w:val="00504FC2"/>
    <w:rsid w:val="00510977"/>
    <w:rsid w:val="0051120C"/>
    <w:rsid w:val="00515B37"/>
    <w:rsid w:val="0051724E"/>
    <w:rsid w:val="0053254D"/>
    <w:rsid w:val="005336D3"/>
    <w:rsid w:val="00533DBC"/>
    <w:rsid w:val="00540C97"/>
    <w:rsid w:val="00546670"/>
    <w:rsid w:val="005614F4"/>
    <w:rsid w:val="00564A69"/>
    <w:rsid w:val="005714C3"/>
    <w:rsid w:val="005A0AA7"/>
    <w:rsid w:val="005A4486"/>
    <w:rsid w:val="005B64D5"/>
    <w:rsid w:val="005C7329"/>
    <w:rsid w:val="005D4C05"/>
    <w:rsid w:val="005E1275"/>
    <w:rsid w:val="0060205C"/>
    <w:rsid w:val="006130BD"/>
    <w:rsid w:val="006229F9"/>
    <w:rsid w:val="006235D4"/>
    <w:rsid w:val="00635688"/>
    <w:rsid w:val="006529AF"/>
    <w:rsid w:val="00655942"/>
    <w:rsid w:val="006752FC"/>
    <w:rsid w:val="006A73AC"/>
    <w:rsid w:val="006D55E1"/>
    <w:rsid w:val="006E1A29"/>
    <w:rsid w:val="007326D5"/>
    <w:rsid w:val="0073429A"/>
    <w:rsid w:val="007515EA"/>
    <w:rsid w:val="0075255C"/>
    <w:rsid w:val="00754B90"/>
    <w:rsid w:val="00786D79"/>
    <w:rsid w:val="00796888"/>
    <w:rsid w:val="007A0EFA"/>
    <w:rsid w:val="007A3732"/>
    <w:rsid w:val="007B76FC"/>
    <w:rsid w:val="007C7577"/>
    <w:rsid w:val="007E2495"/>
    <w:rsid w:val="007E3FBC"/>
    <w:rsid w:val="007E6A02"/>
    <w:rsid w:val="007E74C5"/>
    <w:rsid w:val="007F3290"/>
    <w:rsid w:val="00807981"/>
    <w:rsid w:val="00811356"/>
    <w:rsid w:val="0081691F"/>
    <w:rsid w:val="0086051F"/>
    <w:rsid w:val="00885D4E"/>
    <w:rsid w:val="00894863"/>
    <w:rsid w:val="00895703"/>
    <w:rsid w:val="008A5DE1"/>
    <w:rsid w:val="008A791E"/>
    <w:rsid w:val="008C5CA5"/>
    <w:rsid w:val="008C773D"/>
    <w:rsid w:val="008E19DE"/>
    <w:rsid w:val="008E6D34"/>
    <w:rsid w:val="008F70A1"/>
    <w:rsid w:val="00921F63"/>
    <w:rsid w:val="00935D90"/>
    <w:rsid w:val="00954628"/>
    <w:rsid w:val="009712F6"/>
    <w:rsid w:val="00974AF0"/>
    <w:rsid w:val="0099409E"/>
    <w:rsid w:val="00995CA8"/>
    <w:rsid w:val="009A250D"/>
    <w:rsid w:val="009B232E"/>
    <w:rsid w:val="009B439E"/>
    <w:rsid w:val="009F0375"/>
    <w:rsid w:val="00A05A1B"/>
    <w:rsid w:val="00A10F6F"/>
    <w:rsid w:val="00A12881"/>
    <w:rsid w:val="00A2251B"/>
    <w:rsid w:val="00A31C68"/>
    <w:rsid w:val="00A45003"/>
    <w:rsid w:val="00A80B47"/>
    <w:rsid w:val="00AA44BB"/>
    <w:rsid w:val="00AC643D"/>
    <w:rsid w:val="00AD3AF5"/>
    <w:rsid w:val="00AD4A96"/>
    <w:rsid w:val="00AE6581"/>
    <w:rsid w:val="00AF1C84"/>
    <w:rsid w:val="00AF3EF8"/>
    <w:rsid w:val="00B13F34"/>
    <w:rsid w:val="00B41571"/>
    <w:rsid w:val="00B6066D"/>
    <w:rsid w:val="00B61A10"/>
    <w:rsid w:val="00B82C34"/>
    <w:rsid w:val="00BC6F8E"/>
    <w:rsid w:val="00BC7118"/>
    <w:rsid w:val="00BE0A64"/>
    <w:rsid w:val="00C044AC"/>
    <w:rsid w:val="00C16F26"/>
    <w:rsid w:val="00C21EFB"/>
    <w:rsid w:val="00C236D1"/>
    <w:rsid w:val="00C26B5D"/>
    <w:rsid w:val="00C5769C"/>
    <w:rsid w:val="00C83EF7"/>
    <w:rsid w:val="00C911DA"/>
    <w:rsid w:val="00C951D5"/>
    <w:rsid w:val="00CA6386"/>
    <w:rsid w:val="00CC0E2A"/>
    <w:rsid w:val="00CE2D6B"/>
    <w:rsid w:val="00CF2688"/>
    <w:rsid w:val="00D04116"/>
    <w:rsid w:val="00D068A8"/>
    <w:rsid w:val="00D06F20"/>
    <w:rsid w:val="00D118B9"/>
    <w:rsid w:val="00D434F5"/>
    <w:rsid w:val="00D61E4B"/>
    <w:rsid w:val="00D71647"/>
    <w:rsid w:val="00D734C8"/>
    <w:rsid w:val="00D75A4D"/>
    <w:rsid w:val="00D90AA3"/>
    <w:rsid w:val="00D9292B"/>
    <w:rsid w:val="00DC6425"/>
    <w:rsid w:val="00DD6F8E"/>
    <w:rsid w:val="00E22259"/>
    <w:rsid w:val="00E2274B"/>
    <w:rsid w:val="00E351AA"/>
    <w:rsid w:val="00E50A43"/>
    <w:rsid w:val="00E51439"/>
    <w:rsid w:val="00E52C35"/>
    <w:rsid w:val="00E74A18"/>
    <w:rsid w:val="00E81DB0"/>
    <w:rsid w:val="00E87436"/>
    <w:rsid w:val="00E9107E"/>
    <w:rsid w:val="00EC4B07"/>
    <w:rsid w:val="00EE55CB"/>
    <w:rsid w:val="00F01434"/>
    <w:rsid w:val="00F04BB6"/>
    <w:rsid w:val="00F13014"/>
    <w:rsid w:val="00F2408B"/>
    <w:rsid w:val="00F322F8"/>
    <w:rsid w:val="00F52E8D"/>
    <w:rsid w:val="00F65229"/>
    <w:rsid w:val="00F73B86"/>
    <w:rsid w:val="00F91795"/>
    <w:rsid w:val="00FA51D3"/>
    <w:rsid w:val="00FA6DC5"/>
    <w:rsid w:val="00FB7823"/>
    <w:rsid w:val="00FD0CFE"/>
    <w:rsid w:val="00FD5B2F"/>
    <w:rsid w:val="00FE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3E2E"/>
  <w15:docId w15:val="{2C33BAF6-8748-40D0-937A-79303622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1"/>
      <w:ind w:left="1440"/>
      <w:outlineLvl w:val="0"/>
    </w:pPr>
    <w:rPr>
      <w:b/>
      <w:bCs/>
      <w:sz w:val="24"/>
      <w:szCs w:val="24"/>
    </w:rPr>
  </w:style>
  <w:style w:type="paragraph" w:styleId="Heading2">
    <w:name w:val="heading 2"/>
    <w:basedOn w:val="Normal"/>
    <w:uiPriority w:val="9"/>
    <w:unhideWhenUsed/>
    <w:qFormat/>
    <w:pPr>
      <w:spacing w:before="199"/>
      <w:ind w:left="1440"/>
      <w:outlineLvl w:val="1"/>
    </w:pPr>
    <w:rPr>
      <w:b/>
      <w:bCs/>
    </w:rPr>
  </w:style>
  <w:style w:type="paragraph" w:styleId="Heading3">
    <w:name w:val="heading 3"/>
    <w:basedOn w:val="Normal"/>
    <w:link w:val="Heading3Char"/>
    <w:uiPriority w:val="9"/>
    <w:unhideWhenUsed/>
    <w:qFormat/>
    <w:pPr>
      <w:spacing w:before="198" w:after="40"/>
      <w:ind w:left="144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1"/>
      <w:ind w:left="1440"/>
    </w:pPr>
  </w:style>
  <w:style w:type="paragraph" w:styleId="BodyText">
    <w:name w:val="Body Text"/>
    <w:basedOn w:val="Normal"/>
    <w:uiPriority w:val="1"/>
    <w:qFormat/>
    <w:pPr>
      <w:spacing w:before="21"/>
      <w:ind w:left="1440"/>
    </w:pPr>
  </w:style>
  <w:style w:type="paragraph" w:styleId="Title">
    <w:name w:val="Title"/>
    <w:basedOn w:val="Normal"/>
    <w:uiPriority w:val="10"/>
    <w:qFormat/>
    <w:pPr>
      <w:spacing w:before="1"/>
      <w:ind w:left="2160"/>
    </w:pPr>
    <w:rPr>
      <w:rFonts w:ascii="Calibri" w:eastAsia="Calibri" w:hAnsi="Calibri" w:cs="Calibri"/>
      <w:b/>
      <w:bCs/>
      <w:sz w:val="72"/>
      <w:szCs w:val="72"/>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pPr>
      <w:spacing w:before="100"/>
    </w:pPr>
  </w:style>
  <w:style w:type="paragraph" w:styleId="Header">
    <w:name w:val="header"/>
    <w:basedOn w:val="Normal"/>
    <w:link w:val="HeaderChar"/>
    <w:uiPriority w:val="99"/>
    <w:unhideWhenUsed/>
    <w:rsid w:val="00475224"/>
    <w:pPr>
      <w:tabs>
        <w:tab w:val="center" w:pos="4680"/>
        <w:tab w:val="right" w:pos="9360"/>
      </w:tabs>
    </w:pPr>
  </w:style>
  <w:style w:type="character" w:customStyle="1" w:styleId="HeaderChar">
    <w:name w:val="Header Char"/>
    <w:basedOn w:val="DefaultParagraphFont"/>
    <w:link w:val="Header"/>
    <w:uiPriority w:val="99"/>
    <w:rsid w:val="00475224"/>
    <w:rPr>
      <w:rFonts w:ascii="Arial" w:eastAsia="Arial" w:hAnsi="Arial" w:cs="Arial"/>
    </w:rPr>
  </w:style>
  <w:style w:type="paragraph" w:styleId="Footer">
    <w:name w:val="footer"/>
    <w:basedOn w:val="Normal"/>
    <w:link w:val="FooterChar"/>
    <w:uiPriority w:val="99"/>
    <w:unhideWhenUsed/>
    <w:rsid w:val="00475224"/>
    <w:pPr>
      <w:tabs>
        <w:tab w:val="center" w:pos="4680"/>
        <w:tab w:val="right" w:pos="9360"/>
      </w:tabs>
    </w:pPr>
  </w:style>
  <w:style w:type="character" w:customStyle="1" w:styleId="FooterChar">
    <w:name w:val="Footer Char"/>
    <w:basedOn w:val="DefaultParagraphFont"/>
    <w:link w:val="Footer"/>
    <w:uiPriority w:val="99"/>
    <w:rsid w:val="00475224"/>
    <w:rPr>
      <w:rFonts w:ascii="Arial" w:eastAsia="Arial" w:hAnsi="Arial" w:cs="Arial"/>
    </w:rPr>
  </w:style>
  <w:style w:type="character" w:styleId="Hyperlink">
    <w:name w:val="Hyperlink"/>
    <w:basedOn w:val="DefaultParagraphFont"/>
    <w:uiPriority w:val="99"/>
    <w:unhideWhenUsed/>
    <w:rsid w:val="0086051F"/>
    <w:rPr>
      <w:color w:val="0000FF" w:themeColor="hyperlink"/>
      <w:u w:val="single"/>
    </w:rPr>
  </w:style>
  <w:style w:type="character" w:styleId="UnresolvedMention">
    <w:name w:val="Unresolved Mention"/>
    <w:basedOn w:val="DefaultParagraphFont"/>
    <w:uiPriority w:val="99"/>
    <w:semiHidden/>
    <w:unhideWhenUsed/>
    <w:rsid w:val="0086051F"/>
    <w:rPr>
      <w:color w:val="605E5C"/>
      <w:shd w:val="clear" w:color="auto" w:fill="E1DFDD"/>
    </w:rPr>
  </w:style>
  <w:style w:type="paragraph" w:customStyle="1" w:styleId="Default">
    <w:name w:val="Default"/>
    <w:rsid w:val="0075255C"/>
    <w:pPr>
      <w:widowControl/>
      <w:adjustRightInd w:val="0"/>
    </w:pPr>
    <w:rPr>
      <w:rFonts w:ascii="Times New Roman" w:hAnsi="Times New Roman" w:cs="Times New Roman"/>
      <w:color w:val="000000"/>
      <w:sz w:val="24"/>
      <w:szCs w:val="24"/>
    </w:rPr>
  </w:style>
  <w:style w:type="paragraph" w:customStyle="1" w:styleId="CM2210">
    <w:name w:val="CM2210"/>
    <w:basedOn w:val="Default"/>
    <w:next w:val="Default"/>
    <w:uiPriority w:val="99"/>
    <w:rsid w:val="0075255C"/>
    <w:rPr>
      <w:color w:val="auto"/>
    </w:rPr>
  </w:style>
  <w:style w:type="paragraph" w:customStyle="1" w:styleId="CM2048">
    <w:name w:val="CM2048"/>
    <w:basedOn w:val="Default"/>
    <w:next w:val="Default"/>
    <w:uiPriority w:val="99"/>
    <w:rsid w:val="0075255C"/>
    <w:pPr>
      <w:spacing w:line="318" w:lineRule="atLeast"/>
    </w:pPr>
    <w:rPr>
      <w:color w:val="auto"/>
    </w:rPr>
  </w:style>
  <w:style w:type="paragraph" w:customStyle="1" w:styleId="CM2030">
    <w:name w:val="CM2030"/>
    <w:basedOn w:val="Default"/>
    <w:next w:val="Default"/>
    <w:uiPriority w:val="99"/>
    <w:rsid w:val="0075255C"/>
    <w:rPr>
      <w:color w:val="auto"/>
    </w:rPr>
  </w:style>
  <w:style w:type="character" w:styleId="CommentReference">
    <w:name w:val="annotation reference"/>
    <w:basedOn w:val="DefaultParagraphFont"/>
    <w:uiPriority w:val="99"/>
    <w:semiHidden/>
    <w:unhideWhenUsed/>
    <w:rsid w:val="00B6066D"/>
    <w:rPr>
      <w:sz w:val="16"/>
      <w:szCs w:val="16"/>
    </w:rPr>
  </w:style>
  <w:style w:type="paragraph" w:styleId="CommentText">
    <w:name w:val="annotation text"/>
    <w:basedOn w:val="Normal"/>
    <w:link w:val="CommentTextChar"/>
    <w:uiPriority w:val="99"/>
    <w:unhideWhenUsed/>
    <w:rsid w:val="00B6066D"/>
    <w:rPr>
      <w:sz w:val="20"/>
      <w:szCs w:val="20"/>
    </w:rPr>
  </w:style>
  <w:style w:type="character" w:customStyle="1" w:styleId="CommentTextChar">
    <w:name w:val="Comment Text Char"/>
    <w:basedOn w:val="DefaultParagraphFont"/>
    <w:link w:val="CommentText"/>
    <w:uiPriority w:val="99"/>
    <w:rsid w:val="00B6066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6066D"/>
    <w:rPr>
      <w:b/>
      <w:bCs/>
    </w:rPr>
  </w:style>
  <w:style w:type="character" w:customStyle="1" w:styleId="CommentSubjectChar">
    <w:name w:val="Comment Subject Char"/>
    <w:basedOn w:val="CommentTextChar"/>
    <w:link w:val="CommentSubject"/>
    <w:uiPriority w:val="99"/>
    <w:semiHidden/>
    <w:rsid w:val="00B6066D"/>
    <w:rPr>
      <w:rFonts w:ascii="Arial" w:eastAsia="Arial" w:hAnsi="Arial" w:cs="Arial"/>
      <w:b/>
      <w:bCs/>
      <w:sz w:val="20"/>
      <w:szCs w:val="20"/>
    </w:rPr>
  </w:style>
  <w:style w:type="paragraph" w:styleId="FootnoteText">
    <w:name w:val="footnote text"/>
    <w:basedOn w:val="Normal"/>
    <w:link w:val="FootnoteTextChar"/>
    <w:uiPriority w:val="99"/>
    <w:semiHidden/>
    <w:unhideWhenUsed/>
    <w:rsid w:val="00E2274B"/>
    <w:rPr>
      <w:sz w:val="20"/>
      <w:szCs w:val="20"/>
    </w:rPr>
  </w:style>
  <w:style w:type="character" w:customStyle="1" w:styleId="FootnoteTextChar">
    <w:name w:val="Footnote Text Char"/>
    <w:basedOn w:val="DefaultParagraphFont"/>
    <w:link w:val="FootnoteText"/>
    <w:uiPriority w:val="99"/>
    <w:semiHidden/>
    <w:rsid w:val="00E2274B"/>
    <w:rPr>
      <w:rFonts w:ascii="Arial" w:eastAsia="Arial" w:hAnsi="Arial" w:cs="Arial"/>
      <w:sz w:val="20"/>
      <w:szCs w:val="20"/>
    </w:rPr>
  </w:style>
  <w:style w:type="character" w:styleId="FootnoteReference">
    <w:name w:val="footnote reference"/>
    <w:basedOn w:val="DefaultParagraphFont"/>
    <w:uiPriority w:val="99"/>
    <w:semiHidden/>
    <w:unhideWhenUsed/>
    <w:rsid w:val="00E2274B"/>
    <w:rPr>
      <w:vertAlign w:val="superscript"/>
    </w:rPr>
  </w:style>
  <w:style w:type="paragraph" w:styleId="TOCHeading">
    <w:name w:val="TOC Heading"/>
    <w:basedOn w:val="Heading1"/>
    <w:next w:val="Normal"/>
    <w:uiPriority w:val="39"/>
    <w:unhideWhenUsed/>
    <w:qFormat/>
    <w:rsid w:val="008079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07981"/>
    <w:pPr>
      <w:spacing w:after="100"/>
      <w:ind w:left="220"/>
    </w:pPr>
  </w:style>
  <w:style w:type="paragraph" w:styleId="TOC3">
    <w:name w:val="toc 3"/>
    <w:basedOn w:val="Normal"/>
    <w:next w:val="Normal"/>
    <w:autoRedefine/>
    <w:uiPriority w:val="39"/>
    <w:unhideWhenUsed/>
    <w:rsid w:val="00807981"/>
    <w:pPr>
      <w:spacing w:after="100"/>
      <w:ind w:left="440"/>
    </w:pPr>
  </w:style>
  <w:style w:type="paragraph" w:styleId="TOC4">
    <w:name w:val="toc 4"/>
    <w:basedOn w:val="Normal"/>
    <w:next w:val="Normal"/>
    <w:autoRedefine/>
    <w:uiPriority w:val="39"/>
    <w:unhideWhenUsed/>
    <w:rsid w:val="00807981"/>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07981"/>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07981"/>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07981"/>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07981"/>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07981"/>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BC6F8E"/>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E3FBC"/>
    <w:rPr>
      <w:rFonts w:ascii="Arial" w:eastAsia="Arial" w:hAnsi="Arial" w:cs="Arial"/>
      <w:b/>
      <w:bCs/>
      <w:i/>
      <w:iCs/>
    </w:rPr>
  </w:style>
  <w:style w:type="paragraph" w:customStyle="1" w:styleId="s11">
    <w:name w:val="s11"/>
    <w:basedOn w:val="Normal"/>
    <w:rsid w:val="00533DB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13">
    <w:name w:val="s13"/>
    <w:basedOn w:val="Normal"/>
    <w:rsid w:val="00533DB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3DB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16">
    <w:name w:val="s16"/>
    <w:basedOn w:val="Normal"/>
    <w:rsid w:val="00533DB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quisition.gov/far-overhaul/far-part-deviation-guide/far-overhaul-part-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6FF6-E477-4A8C-BB7A-293EC640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Pages>
  <Words>402</Words>
  <Characters>2423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FAR Companion</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Companion</dc:title>
  <dc:subject>Federal Acquisition Regulation (FAR)</dc:subject>
  <dc:creator>Federal Acquisition Regulatory Council (FAR Council)</dc:creator>
  <cp:keywords>"RFO; FAR Part"</cp:keywords>
  <dc:description/>
  <cp:lastModifiedBy>Csoma, Attila</cp:lastModifiedBy>
  <cp:revision>52</cp:revision>
  <dcterms:created xsi:type="dcterms:W3CDTF">2025-11-18T22:13:00Z</dcterms:created>
  <dcterms:modified xsi:type="dcterms:W3CDTF">2026-02-23T17:17:00Z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2025-11-18T00:00:00Z</vt:filetime>
  </property>
  <property fmtid="{D5CDD505-2E9C-101B-9397-08002B2CF9AE}" pid="5" name="Producer">
    <vt:lpwstr>Microsoft® Word for Microsoft 365</vt:lpwstr>
  </property>
</Properties>
</file>