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2EF23" w14:textId="77777777" w:rsidR="00E32402" w:rsidRDefault="00E32402">
      <w:pPr>
        <w:spacing w:line="276" w:lineRule="auto"/>
      </w:pPr>
    </w:p>
    <w:p w14:paraId="7B9CEFE5" w14:textId="77777777" w:rsidR="00E32402" w:rsidRDefault="00E53F35">
      <w:pPr>
        <w:spacing w:line="276" w:lineRule="auto"/>
        <w:jc w:val="center"/>
        <w:rPr>
          <w:b/>
          <w:sz w:val="24"/>
          <w:szCs w:val="24"/>
        </w:rPr>
      </w:pPr>
      <w:r>
        <w:rPr>
          <w:b/>
          <w:sz w:val="24"/>
          <w:szCs w:val="24"/>
        </w:rPr>
        <w:t>FEMP Technical Assistance Scope of Work</w:t>
      </w:r>
    </w:p>
    <w:p w14:paraId="4EAC30C2" w14:textId="30E578BA" w:rsidR="00E32402" w:rsidRDefault="00E53F35">
      <w:pPr>
        <w:spacing w:line="276" w:lineRule="auto"/>
        <w:jc w:val="center"/>
        <w:rPr>
          <w:b/>
          <w:sz w:val="24"/>
          <w:szCs w:val="24"/>
        </w:rPr>
      </w:pPr>
      <w:r>
        <w:rPr>
          <w:b/>
          <w:sz w:val="24"/>
          <w:szCs w:val="24"/>
        </w:rPr>
        <w:t>Demand Flex</w:t>
      </w:r>
      <w:r w:rsidR="00D777E7">
        <w:rPr>
          <w:b/>
          <w:sz w:val="24"/>
          <w:szCs w:val="24"/>
        </w:rPr>
        <w:t xml:space="preserve">ibility Analysis </w:t>
      </w:r>
    </w:p>
    <w:p w14:paraId="59FB9C7F" w14:textId="77777777" w:rsidR="00D777E7" w:rsidRDefault="00D777E7">
      <w:pPr>
        <w:spacing w:line="276" w:lineRule="auto"/>
        <w:jc w:val="center"/>
        <w:rPr>
          <w:b/>
          <w:sz w:val="24"/>
          <w:szCs w:val="24"/>
        </w:rPr>
      </w:pPr>
    </w:p>
    <w:p w14:paraId="0A7E029D" w14:textId="76E199F6" w:rsidR="00CD354A" w:rsidRPr="00BF6B7B" w:rsidRDefault="00CD354A" w:rsidP="2F36232E">
      <w:pPr>
        <w:spacing w:line="276" w:lineRule="auto"/>
        <w:rPr>
          <w:i/>
          <w:iCs/>
          <w:color w:val="EE0000"/>
          <w:lang w:val="en-US"/>
        </w:rPr>
      </w:pPr>
      <w:r w:rsidRPr="2F36232E">
        <w:rPr>
          <w:i/>
          <w:iCs/>
          <w:color w:val="EE0000"/>
          <w:lang w:val="en-US"/>
        </w:rPr>
        <w:t>Note: This Scope of Work is meant to be used as an example. It may be further customized based on initial discussions with the requesting agency/facility.</w:t>
      </w:r>
    </w:p>
    <w:p w14:paraId="5CAC2D83" w14:textId="77777777" w:rsidR="00CD354A" w:rsidRPr="00CD354A" w:rsidRDefault="00CD354A" w:rsidP="00212759">
      <w:pPr>
        <w:spacing w:line="276" w:lineRule="auto"/>
        <w:rPr>
          <w:bCs/>
          <w:i/>
          <w:iCs/>
        </w:rPr>
      </w:pPr>
    </w:p>
    <w:p w14:paraId="38763267" w14:textId="3E5DCB07" w:rsidR="00212759" w:rsidRDefault="00212759" w:rsidP="00212759">
      <w:pPr>
        <w:spacing w:line="276" w:lineRule="auto"/>
      </w:pPr>
      <w:r w:rsidRPr="2F36232E">
        <w:rPr>
          <w:lang w:val="en-US"/>
        </w:rPr>
        <w:t xml:space="preserve">The Department of Energy Federal Energy Management Program (FEMP) Demand Flexibility (DF) team provides agencies with technical expertise to evaluate and advance demand flexibility opportunities for the buildings in their facility. This is in alignment with federal grid </w:t>
      </w:r>
      <w:r w:rsidR="00D40D44">
        <w:rPr>
          <w:lang w:val="en-US"/>
        </w:rPr>
        <w:t>reliability</w:t>
      </w:r>
      <w:r w:rsidRPr="2F36232E">
        <w:rPr>
          <w:lang w:val="en-US"/>
        </w:rPr>
        <w:t xml:space="preserve"> and cost-effective energy management priorities. In general, the DF Team provides high-level technical support to evaluate and implement strategies for peak shaving and load shifting. This includes reviewing available operational data, analyzing building energy use patterns, assisting with analysis tools developed for demand flexibility in federal buildings, identifying quick-wins and controllable loads, evaluating operational scenarios to enhance demand flexibility, and supporting implementation planning. Agencies may also access contracting and utility program guidance to support project execution. The team can remain engaged throughout the process, from the initial opportunity scan to post-implementation review, upon request by the agency.</w:t>
      </w:r>
    </w:p>
    <w:p w14:paraId="6409F4F0" w14:textId="77777777" w:rsidR="00212759" w:rsidRPr="00212759" w:rsidRDefault="00212759" w:rsidP="00D777E7">
      <w:pPr>
        <w:spacing w:line="276" w:lineRule="auto"/>
        <w:rPr>
          <w:bCs/>
        </w:rPr>
      </w:pPr>
    </w:p>
    <w:p w14:paraId="2DE4C901" w14:textId="77777777" w:rsidR="00E32402" w:rsidRDefault="00E53F35" w:rsidP="00D777E7">
      <w:pPr>
        <w:spacing w:before="120" w:line="276" w:lineRule="auto"/>
        <w:rPr>
          <w:b/>
        </w:rPr>
      </w:pPr>
      <w:r>
        <w:rPr>
          <w:b/>
        </w:rPr>
        <w:t>Deliverables:</w:t>
      </w:r>
    </w:p>
    <w:p w14:paraId="061FB120" w14:textId="7F577558" w:rsidR="00CD354A" w:rsidRPr="00CD354A" w:rsidRDefault="00CD354A" w:rsidP="2F36232E">
      <w:pPr>
        <w:spacing w:line="276" w:lineRule="auto"/>
        <w:rPr>
          <w:color w:val="000000"/>
          <w:lang w:val="en-US"/>
        </w:rPr>
      </w:pPr>
      <w:r w:rsidRPr="2F36232E">
        <w:rPr>
          <w:lang w:val="en-US"/>
        </w:rPr>
        <w:t>The following deliverables and services are offered by FEMP at no cost to agencies, contingent upon FEMP funding resources and staff availability.</w:t>
      </w:r>
      <w:r w:rsidRPr="2F36232E">
        <w:rPr>
          <w:color w:val="000000" w:themeColor="text1"/>
          <w:lang w:val="en-US"/>
        </w:rPr>
        <w:t xml:space="preserve">      </w:t>
      </w:r>
    </w:p>
    <w:p w14:paraId="3CFFFCA9" w14:textId="7610EE3E" w:rsidR="00E32402" w:rsidRDefault="00E53F35" w:rsidP="00D777E7">
      <w:pPr>
        <w:numPr>
          <w:ilvl w:val="0"/>
          <w:numId w:val="1"/>
        </w:numPr>
        <w:pBdr>
          <w:top w:val="nil"/>
          <w:left w:val="nil"/>
          <w:bottom w:val="nil"/>
          <w:right w:val="nil"/>
          <w:between w:val="nil"/>
        </w:pBdr>
        <w:spacing w:before="120" w:after="240" w:line="276" w:lineRule="auto"/>
        <w:rPr>
          <w:color w:val="000000"/>
        </w:rPr>
      </w:pPr>
      <w:r>
        <w:rPr>
          <w:b/>
          <w:color w:val="000000"/>
        </w:rPr>
        <w:t xml:space="preserve">Initial data review and opportunity scan </w:t>
      </w:r>
      <w:r w:rsidR="00F256D4">
        <w:rPr>
          <w:b/>
          <w:color w:val="000000"/>
        </w:rPr>
        <w:t>-</w:t>
      </w:r>
      <w:r>
        <w:rPr>
          <w:b/>
          <w:color w:val="000000"/>
        </w:rPr>
        <w:t xml:space="preserve"> </w:t>
      </w:r>
      <w:r w:rsidR="00507168" w:rsidRPr="00D777E7">
        <w:rPr>
          <w:bCs/>
          <w:color w:val="000000"/>
        </w:rPr>
        <w:t>provide</w:t>
      </w:r>
      <w:r w:rsidR="00507168">
        <w:rPr>
          <w:b/>
          <w:color w:val="000000"/>
        </w:rPr>
        <w:t xml:space="preserve"> </w:t>
      </w:r>
      <w:r>
        <w:rPr>
          <w:color w:val="000000"/>
        </w:rPr>
        <w:t xml:space="preserve">a slide deck summarizing key findings from the interval data analysis, including </w:t>
      </w:r>
      <w:r w:rsidR="00F256D4">
        <w:rPr>
          <w:color w:val="000000"/>
        </w:rPr>
        <w:t>daily load profiles</w:t>
      </w:r>
      <w:r>
        <w:rPr>
          <w:color w:val="000000"/>
        </w:rPr>
        <w:t>,</w:t>
      </w:r>
      <w:r>
        <w:rPr>
          <w:rFonts w:ascii="Calibri" w:eastAsia="Calibri" w:hAnsi="Calibri" w:cs="Calibri"/>
          <w:color w:val="000000"/>
          <w:sz w:val="16"/>
          <w:szCs w:val="16"/>
        </w:rPr>
        <w:t xml:space="preserve"> </w:t>
      </w:r>
      <w:r w:rsidR="00507168" w:rsidRPr="00D777E7">
        <w:rPr>
          <w:rFonts w:asciiTheme="minorHAnsi" w:eastAsia="Calibri" w:hAnsiTheme="minorHAnsi" w:cstheme="minorHAnsi"/>
          <w:color w:val="000000"/>
        </w:rPr>
        <w:t xml:space="preserve">and </w:t>
      </w:r>
      <w:r>
        <w:rPr>
          <w:color w:val="000000"/>
        </w:rPr>
        <w:t>visualiz</w:t>
      </w:r>
      <w:r w:rsidR="00507168">
        <w:rPr>
          <w:color w:val="000000"/>
        </w:rPr>
        <w:t>ation of</w:t>
      </w:r>
      <w:r>
        <w:rPr>
          <w:color w:val="000000"/>
        </w:rPr>
        <w:t xml:space="preserve"> load shifting/peak shaving scenarios</w:t>
      </w:r>
      <w:r w:rsidR="00507168">
        <w:rPr>
          <w:color w:val="000000"/>
        </w:rPr>
        <w:t>.</w:t>
      </w:r>
    </w:p>
    <w:p w14:paraId="65708C06" w14:textId="734D4FF8" w:rsidR="00B70C00" w:rsidRDefault="00507168" w:rsidP="2F36232E">
      <w:pPr>
        <w:numPr>
          <w:ilvl w:val="0"/>
          <w:numId w:val="1"/>
        </w:numPr>
        <w:pBdr>
          <w:top w:val="nil"/>
          <w:left w:val="nil"/>
          <w:bottom w:val="nil"/>
          <w:right w:val="nil"/>
          <w:between w:val="nil"/>
        </w:pBdr>
        <w:spacing w:before="120" w:after="240" w:line="276" w:lineRule="auto"/>
        <w:rPr>
          <w:color w:val="000000"/>
          <w:lang w:val="en-US"/>
        </w:rPr>
      </w:pPr>
      <w:r w:rsidRPr="2F36232E">
        <w:rPr>
          <w:b/>
          <w:bCs/>
          <w:color w:val="000000" w:themeColor="text1"/>
          <w:lang w:val="en-US"/>
        </w:rPr>
        <w:t xml:space="preserve">Measure recommendations - </w:t>
      </w:r>
      <w:r w:rsidRPr="2F36232E">
        <w:rPr>
          <w:color w:val="000000" w:themeColor="text1"/>
          <w:lang w:val="en-US"/>
        </w:rPr>
        <w:t>b</w:t>
      </w:r>
      <w:r w:rsidR="00B70C00" w:rsidRPr="2F36232E">
        <w:rPr>
          <w:color w:val="000000" w:themeColor="text1"/>
          <w:lang w:val="en-US"/>
        </w:rPr>
        <w:t xml:space="preserve">ased on initial analysis, provide a list of potential </w:t>
      </w:r>
      <w:r w:rsidRPr="2F36232E">
        <w:rPr>
          <w:color w:val="000000" w:themeColor="text1"/>
          <w:lang w:val="en-US"/>
        </w:rPr>
        <w:t xml:space="preserve">demand flexibility </w:t>
      </w:r>
      <w:r w:rsidR="00B70C00" w:rsidRPr="2F36232E">
        <w:rPr>
          <w:color w:val="000000" w:themeColor="text1"/>
          <w:lang w:val="en-US"/>
        </w:rPr>
        <w:t>measures</w:t>
      </w:r>
      <w:r w:rsidR="009246DA" w:rsidRPr="2F36232E">
        <w:rPr>
          <w:color w:val="000000" w:themeColor="text1"/>
          <w:lang w:val="en-US"/>
        </w:rPr>
        <w:t xml:space="preserve"> for the agency’s building types</w:t>
      </w:r>
      <w:r w:rsidR="00B70C00" w:rsidRPr="2F36232E">
        <w:rPr>
          <w:color w:val="000000" w:themeColor="text1"/>
          <w:lang w:val="en-US"/>
        </w:rPr>
        <w:t xml:space="preserve">. </w:t>
      </w:r>
    </w:p>
    <w:p w14:paraId="438CBC4E" w14:textId="77777777" w:rsidR="00E32402" w:rsidRDefault="00E53F35" w:rsidP="2F36232E">
      <w:pPr>
        <w:numPr>
          <w:ilvl w:val="1"/>
          <w:numId w:val="1"/>
        </w:numPr>
        <w:pBdr>
          <w:top w:val="nil"/>
          <w:left w:val="nil"/>
          <w:bottom w:val="nil"/>
          <w:right w:val="nil"/>
          <w:between w:val="nil"/>
        </w:pBdr>
        <w:spacing w:after="240" w:line="276" w:lineRule="auto"/>
        <w:rPr>
          <w:color w:val="000000"/>
          <w:lang w:val="en-US"/>
        </w:rPr>
      </w:pPr>
      <w:r w:rsidRPr="2F36232E">
        <w:rPr>
          <w:color w:val="000000" w:themeColor="text1"/>
          <w:lang w:val="en-US"/>
        </w:rPr>
        <w:t xml:space="preserve">This may result in additional on-site assessment by the requesting agency. </w:t>
      </w:r>
    </w:p>
    <w:p w14:paraId="0920DF2C" w14:textId="12BFD0FD" w:rsidR="00E32402" w:rsidRDefault="00507168" w:rsidP="2F36232E">
      <w:pPr>
        <w:numPr>
          <w:ilvl w:val="0"/>
          <w:numId w:val="1"/>
        </w:numPr>
        <w:pBdr>
          <w:top w:val="nil"/>
          <w:left w:val="nil"/>
          <w:bottom w:val="nil"/>
          <w:right w:val="nil"/>
          <w:between w:val="nil"/>
        </w:pBdr>
        <w:spacing w:after="240" w:line="276" w:lineRule="auto"/>
        <w:rPr>
          <w:b/>
          <w:bCs/>
          <w:color w:val="000000"/>
          <w:lang w:val="en-US"/>
        </w:rPr>
      </w:pPr>
      <w:r w:rsidRPr="2F36232E">
        <w:rPr>
          <w:b/>
          <w:bCs/>
          <w:color w:val="000000" w:themeColor="text1"/>
          <w:lang w:val="en-US"/>
        </w:rPr>
        <w:t xml:space="preserve">Utility rebate programs </w:t>
      </w:r>
      <w:r w:rsidR="009246DA" w:rsidRPr="2F36232E">
        <w:rPr>
          <w:b/>
          <w:bCs/>
          <w:color w:val="000000" w:themeColor="text1"/>
          <w:lang w:val="en-US"/>
        </w:rPr>
        <w:t xml:space="preserve">- </w:t>
      </w:r>
      <w:r w:rsidR="009246DA" w:rsidRPr="2F36232E">
        <w:rPr>
          <w:color w:val="000000" w:themeColor="text1"/>
          <w:lang w:val="en-US"/>
        </w:rPr>
        <w:t>identify</w:t>
      </w:r>
      <w:r w:rsidRPr="2F36232E">
        <w:rPr>
          <w:color w:val="000000" w:themeColor="text1"/>
          <w:lang w:val="en-US"/>
        </w:rPr>
        <w:t xml:space="preserve"> suitability of utility programs and further investigate </w:t>
      </w:r>
      <w:r w:rsidR="009246DA" w:rsidRPr="2F36232E">
        <w:rPr>
          <w:color w:val="000000" w:themeColor="text1"/>
          <w:lang w:val="en-US"/>
        </w:rPr>
        <w:t xml:space="preserve">DF </w:t>
      </w:r>
      <w:r w:rsidRPr="2F36232E">
        <w:rPr>
          <w:color w:val="000000" w:themeColor="text1"/>
          <w:lang w:val="en-US"/>
        </w:rPr>
        <w:t>measure recommendations.</w:t>
      </w:r>
      <w:r w:rsidRPr="2F36232E">
        <w:rPr>
          <w:b/>
          <w:bCs/>
          <w:color w:val="000000" w:themeColor="text1"/>
          <w:lang w:val="en-US"/>
        </w:rPr>
        <w:t xml:space="preserve"> </w:t>
      </w:r>
    </w:p>
    <w:p w14:paraId="4D1E3E80" w14:textId="51128455" w:rsidR="00E32402" w:rsidRDefault="00E53F35" w:rsidP="00D777E7">
      <w:pPr>
        <w:numPr>
          <w:ilvl w:val="0"/>
          <w:numId w:val="1"/>
        </w:numPr>
        <w:pBdr>
          <w:top w:val="nil"/>
          <w:left w:val="nil"/>
          <w:bottom w:val="nil"/>
          <w:right w:val="nil"/>
          <w:between w:val="nil"/>
        </w:pBdr>
        <w:spacing w:after="240" w:line="276" w:lineRule="auto"/>
        <w:rPr>
          <w:b/>
          <w:color w:val="000000"/>
        </w:rPr>
      </w:pPr>
      <w:r>
        <w:rPr>
          <w:b/>
          <w:color w:val="000000"/>
        </w:rPr>
        <w:t xml:space="preserve">Measure prioritization and planning support </w:t>
      </w:r>
      <w:r w:rsidR="00507168">
        <w:rPr>
          <w:b/>
          <w:color w:val="000000"/>
        </w:rPr>
        <w:t>-</w:t>
      </w:r>
      <w:r>
        <w:rPr>
          <w:color w:val="000000"/>
        </w:rPr>
        <w:t xml:space="preserve"> support post-onsite assessments conducted or commissioned by the requesting agency, including assistance with prioritizing measures based on implementation ease, </w:t>
      </w:r>
      <w:r w:rsidR="00F256D4">
        <w:rPr>
          <w:color w:val="000000"/>
        </w:rPr>
        <w:t xml:space="preserve">availability of rebates, </w:t>
      </w:r>
      <w:r>
        <w:rPr>
          <w:color w:val="000000"/>
        </w:rPr>
        <w:t>potential impact, relevance to utility incentive programs, and key planning and scheduling considerations</w:t>
      </w:r>
      <w:r w:rsidR="009246DA">
        <w:rPr>
          <w:color w:val="000000"/>
        </w:rPr>
        <w:t xml:space="preserve"> -</w:t>
      </w:r>
      <w:r w:rsidR="00B70C00">
        <w:rPr>
          <w:color w:val="000000"/>
        </w:rPr>
        <w:t xml:space="preserve"> including possible selection of </w:t>
      </w:r>
      <w:r w:rsidR="00507168">
        <w:rPr>
          <w:color w:val="000000"/>
        </w:rPr>
        <w:t>a curtailment service provider (</w:t>
      </w:r>
      <w:r w:rsidR="00B70C00">
        <w:rPr>
          <w:color w:val="000000"/>
        </w:rPr>
        <w:t>CSP</w:t>
      </w:r>
      <w:r w:rsidR="00507168">
        <w:rPr>
          <w:color w:val="000000"/>
        </w:rPr>
        <w:t>)</w:t>
      </w:r>
      <w:r>
        <w:rPr>
          <w:color w:val="000000"/>
        </w:rPr>
        <w:t>.</w:t>
      </w:r>
    </w:p>
    <w:p w14:paraId="4401406D" w14:textId="09A150D3" w:rsidR="00507168" w:rsidRPr="00212759" w:rsidRDefault="00E53F35" w:rsidP="00212759">
      <w:pPr>
        <w:numPr>
          <w:ilvl w:val="0"/>
          <w:numId w:val="1"/>
        </w:numPr>
        <w:pBdr>
          <w:top w:val="nil"/>
          <w:left w:val="nil"/>
          <w:bottom w:val="nil"/>
          <w:right w:val="nil"/>
          <w:between w:val="nil"/>
        </w:pBdr>
        <w:spacing w:after="240" w:line="276" w:lineRule="auto"/>
        <w:rPr>
          <w:b/>
          <w:color w:val="000000"/>
        </w:rPr>
      </w:pPr>
      <w:r>
        <w:rPr>
          <w:b/>
          <w:color w:val="000000"/>
        </w:rPr>
        <w:t xml:space="preserve">Implementation support </w:t>
      </w:r>
      <w:r w:rsidR="009246DA">
        <w:rPr>
          <w:bCs/>
          <w:color w:val="000000"/>
        </w:rPr>
        <w:t>-</w:t>
      </w:r>
      <w:r w:rsidRPr="009246DA">
        <w:rPr>
          <w:bCs/>
          <w:color w:val="000000"/>
        </w:rPr>
        <w:t xml:space="preserve"> </w:t>
      </w:r>
      <w:r w:rsidR="009246DA" w:rsidRPr="009246DA">
        <w:rPr>
          <w:bCs/>
          <w:color w:val="000000"/>
        </w:rPr>
        <w:t>provide a</w:t>
      </w:r>
      <w:r w:rsidR="009246DA">
        <w:rPr>
          <w:b/>
          <w:color w:val="000000"/>
        </w:rPr>
        <w:t xml:space="preserve"> </w:t>
      </w:r>
      <w:r>
        <w:rPr>
          <w:color w:val="000000"/>
        </w:rPr>
        <w:t>slide deck summarizing energy patterns pre/post implementation, documenting lessons learned and other insights.</w:t>
      </w:r>
    </w:p>
    <w:p w14:paraId="5A012ACF" w14:textId="1C0341D5" w:rsidR="00E32402" w:rsidRDefault="00E53F35" w:rsidP="00D777E7">
      <w:pPr>
        <w:pBdr>
          <w:top w:val="nil"/>
          <w:left w:val="nil"/>
          <w:bottom w:val="nil"/>
          <w:right w:val="nil"/>
          <w:between w:val="nil"/>
        </w:pBdr>
        <w:spacing w:line="276" w:lineRule="auto"/>
        <w:rPr>
          <w:b/>
        </w:rPr>
      </w:pPr>
      <w:r>
        <w:rPr>
          <w:b/>
        </w:rPr>
        <w:t xml:space="preserve">Estimated Duration: </w:t>
      </w:r>
    </w:p>
    <w:p w14:paraId="79D438B6" w14:textId="77777777" w:rsidR="00E32402" w:rsidRDefault="00E53F35" w:rsidP="00D777E7">
      <w:pPr>
        <w:numPr>
          <w:ilvl w:val="0"/>
          <w:numId w:val="1"/>
        </w:numPr>
        <w:pBdr>
          <w:top w:val="nil"/>
          <w:left w:val="nil"/>
          <w:bottom w:val="nil"/>
          <w:right w:val="nil"/>
          <w:between w:val="nil"/>
        </w:pBdr>
        <w:spacing w:after="240" w:line="276" w:lineRule="auto"/>
        <w:rPr>
          <w:color w:val="000000"/>
        </w:rPr>
      </w:pPr>
      <w:r>
        <w:t xml:space="preserve">4-6 weeks for the first two deliverables </w:t>
      </w:r>
    </w:p>
    <w:p w14:paraId="08F303EF" w14:textId="089490F6" w:rsidR="008B5DE7" w:rsidRPr="00D777E7" w:rsidRDefault="00E53F35" w:rsidP="00D777E7">
      <w:pPr>
        <w:numPr>
          <w:ilvl w:val="0"/>
          <w:numId w:val="1"/>
        </w:numPr>
        <w:pBdr>
          <w:top w:val="nil"/>
          <w:left w:val="nil"/>
          <w:bottom w:val="nil"/>
          <w:right w:val="nil"/>
          <w:between w:val="nil"/>
        </w:pBdr>
        <w:spacing w:after="240" w:line="276" w:lineRule="auto"/>
        <w:rPr>
          <w:color w:val="000000"/>
        </w:rPr>
      </w:pPr>
      <w:r>
        <w:lastRenderedPageBreak/>
        <w:t xml:space="preserve">The remaining </w:t>
      </w:r>
      <w:r w:rsidR="00507168">
        <w:t xml:space="preserve">three </w:t>
      </w:r>
      <w:r>
        <w:t>deliverables are contingent on the agency’s implementation schedule</w:t>
      </w:r>
    </w:p>
    <w:p w14:paraId="2DEE004D" w14:textId="3FFD8909" w:rsidR="00CD354A" w:rsidRDefault="008B5DE7" w:rsidP="00D777E7">
      <w:pPr>
        <w:pBdr>
          <w:top w:val="nil"/>
          <w:left w:val="nil"/>
          <w:bottom w:val="nil"/>
          <w:right w:val="nil"/>
          <w:between w:val="nil"/>
        </w:pBdr>
        <w:spacing w:line="276" w:lineRule="auto"/>
        <w:rPr>
          <w:b/>
          <w:bCs/>
        </w:rPr>
      </w:pPr>
      <w:r w:rsidRPr="00D777E7">
        <w:rPr>
          <w:b/>
          <w:bCs/>
        </w:rPr>
        <w:t xml:space="preserve">Data Requirements </w:t>
      </w:r>
      <w:r w:rsidR="00CD354A">
        <w:rPr>
          <w:b/>
          <w:bCs/>
        </w:rPr>
        <w:t>for Analysis</w:t>
      </w:r>
    </w:p>
    <w:p w14:paraId="1E348875" w14:textId="2905A008" w:rsidR="00CD354A" w:rsidRPr="00D777E7" w:rsidRDefault="00BF6B7B" w:rsidP="2F36232E">
      <w:pPr>
        <w:pBdr>
          <w:top w:val="nil"/>
          <w:left w:val="nil"/>
          <w:bottom w:val="nil"/>
          <w:right w:val="nil"/>
          <w:between w:val="nil"/>
        </w:pBdr>
        <w:spacing w:line="276" w:lineRule="auto"/>
        <w:rPr>
          <w:b/>
          <w:bCs/>
          <w:color w:val="000000"/>
          <w:lang w:val="en-US"/>
        </w:rPr>
      </w:pPr>
      <w:r w:rsidRPr="2F36232E">
        <w:rPr>
          <w:lang w:val="en-US"/>
        </w:rPr>
        <w:t xml:space="preserve">The </w:t>
      </w:r>
      <w:proofErr w:type="gramStart"/>
      <w:r w:rsidRPr="2F36232E">
        <w:rPr>
          <w:lang w:val="en-US"/>
        </w:rPr>
        <w:t>requesting</w:t>
      </w:r>
      <w:proofErr w:type="gramEnd"/>
      <w:r w:rsidRPr="2F36232E">
        <w:rPr>
          <w:lang w:val="en-US"/>
        </w:rPr>
        <w:t xml:space="preserve"> agency shall provide the following information after consultation with FEMP. While complete information is preferred, the agency may proceed with partial submissions based on initial discussions with FEMP.</w:t>
      </w:r>
    </w:p>
    <w:p w14:paraId="38759279" w14:textId="3383A5BB" w:rsidR="00B15216" w:rsidRDefault="00B15216" w:rsidP="00B15216">
      <w:pPr>
        <w:pStyle w:val="2ndLevelBullet"/>
      </w:pPr>
      <w:r w:rsidRPr="00B15216">
        <w:t>For each individual billing meter on the site: Electricity cost (annual USD) – ideally 12-months of bills that align with consumption data</w:t>
      </w:r>
    </w:p>
    <w:p w14:paraId="686A2FDC" w14:textId="4E19CB0E" w:rsidR="008B5DE7" w:rsidRDefault="00083E7A" w:rsidP="00083E7A">
      <w:pPr>
        <w:pStyle w:val="2ndLevelBullet"/>
      </w:pPr>
      <w:r w:rsidRPr="2F36232E">
        <w:rPr>
          <w:lang w:val="en-US"/>
        </w:rPr>
        <w:t>Electricity consumption including interval data (at 15, 30, or 60 min), and additional insights from Energy Management and Information Systems (EMIS)</w:t>
      </w:r>
      <w:r w:rsidR="009246DA" w:rsidRPr="2F36232E">
        <w:rPr>
          <w:lang w:val="en-US"/>
        </w:rPr>
        <w:t xml:space="preserve"> – for as many buildings in the facility as available</w:t>
      </w:r>
    </w:p>
    <w:p w14:paraId="36224CC8" w14:textId="3FA20BFA" w:rsidR="009246DA" w:rsidRDefault="009246DA" w:rsidP="009246DA">
      <w:pPr>
        <w:pStyle w:val="2ndLevelBullet"/>
      </w:pPr>
      <w:r>
        <w:t>List of</w:t>
      </w:r>
      <w:r w:rsidRPr="009246DA">
        <w:t xml:space="preserve"> </w:t>
      </w:r>
      <w:r>
        <w:t xml:space="preserve">building types (office, hospital, laboratory, etc.) </w:t>
      </w:r>
    </w:p>
    <w:p w14:paraId="791FA8F9" w14:textId="154BC635" w:rsidR="009246DA" w:rsidRDefault="009246DA" w:rsidP="2F36232E">
      <w:pPr>
        <w:pStyle w:val="2ndLevelBullet"/>
      </w:pPr>
      <w:r w:rsidRPr="2F36232E">
        <w:rPr>
          <w:lang w:val="en-US"/>
        </w:rPr>
        <w:t>Additional flag for critical buildings (i.e., buildings strictly excluded from any demand flexibility considerations)</w:t>
      </w:r>
    </w:p>
    <w:p w14:paraId="25FFC7E6" w14:textId="77777777" w:rsidR="00083E7A" w:rsidRDefault="00083E7A" w:rsidP="00083E7A">
      <w:pPr>
        <w:pStyle w:val="2ndLevelBullet"/>
      </w:pPr>
      <w:r>
        <w:t xml:space="preserve">Optional extras: </w:t>
      </w:r>
    </w:p>
    <w:p w14:paraId="60A47BB9" w14:textId="77777777" w:rsidR="00083E7A" w:rsidRDefault="00083E7A" w:rsidP="00D777E7">
      <w:pPr>
        <w:pStyle w:val="2ndLevelBullet"/>
        <w:numPr>
          <w:ilvl w:val="1"/>
          <w:numId w:val="1"/>
        </w:numPr>
      </w:pPr>
      <w:r>
        <w:t>Equipment inventory: Spreadsheet listing major HVAC by building with capacity, controllability, and BMS integration</w:t>
      </w:r>
    </w:p>
    <w:p w14:paraId="212B58C0" w14:textId="77777777" w:rsidR="00083E7A" w:rsidRDefault="00083E7A" w:rsidP="00D777E7">
      <w:pPr>
        <w:pStyle w:val="2ndLevelBullet"/>
        <w:numPr>
          <w:ilvl w:val="1"/>
          <w:numId w:val="1"/>
        </w:numPr>
      </w:pPr>
      <w:r>
        <w:t>Specifications and information on use of backup generators if applicable</w:t>
      </w:r>
    </w:p>
    <w:p w14:paraId="16F890D9" w14:textId="77777777" w:rsidR="00083E7A" w:rsidRDefault="00083E7A" w:rsidP="00083E7A">
      <w:pPr>
        <w:pStyle w:val="2ndLevelBullet"/>
        <w:numPr>
          <w:ilvl w:val="1"/>
          <w:numId w:val="1"/>
        </w:numPr>
      </w:pPr>
      <w:r>
        <w:t>Control capabilities: Summary of building automation systems, remote scheduling, setpoint control, and trend data availability for DF readiness</w:t>
      </w:r>
    </w:p>
    <w:p w14:paraId="6BB3CB42" w14:textId="77777777" w:rsidR="00083E7A" w:rsidRDefault="00083E7A" w:rsidP="00D777E7">
      <w:pPr>
        <w:pStyle w:val="2ndLevelBullet"/>
      </w:pPr>
      <w:r w:rsidRPr="2F36232E">
        <w:rPr>
          <w:lang w:val="en-US"/>
        </w:rPr>
        <w:t>Description of any recent or anticipated changes in electricity demand</w:t>
      </w:r>
    </w:p>
    <w:p w14:paraId="6B8993E4" w14:textId="77777777" w:rsidR="00083E7A" w:rsidRDefault="00083E7A" w:rsidP="00D777E7">
      <w:pPr>
        <w:pStyle w:val="2ndLevelBullet"/>
      </w:pPr>
      <w:r>
        <w:t>Other site-specific details:</w:t>
      </w:r>
    </w:p>
    <w:p w14:paraId="2C2C963A" w14:textId="77777777" w:rsidR="009246DA" w:rsidRPr="009246DA" w:rsidRDefault="009246DA" w:rsidP="2F36232E">
      <w:pPr>
        <w:pStyle w:val="ListParagraph"/>
        <w:numPr>
          <w:ilvl w:val="1"/>
          <w:numId w:val="1"/>
        </w:numPr>
        <w:rPr>
          <w:rFonts w:eastAsia="Times" w:cstheme="minorBidi"/>
          <w:color w:val="000000" w:themeColor="text1"/>
          <w:lang w:val="en-US"/>
        </w:rPr>
      </w:pPr>
      <w:r w:rsidRPr="2F36232E">
        <w:rPr>
          <w:rFonts w:eastAsia="Times" w:cstheme="minorBidi"/>
          <w:color w:val="000000" w:themeColor="text1"/>
          <w:lang w:val="en-US"/>
        </w:rPr>
        <w:t>Existing or planned on-site generation, storage, efficiency measures, recent feasibility and audit reports, etc.</w:t>
      </w:r>
    </w:p>
    <w:p w14:paraId="63152EF8" w14:textId="3D701A01" w:rsidR="009246DA" w:rsidRPr="009246DA" w:rsidRDefault="00083E7A" w:rsidP="2F36232E">
      <w:pPr>
        <w:pStyle w:val="2ndLevelBullet"/>
      </w:pPr>
      <w:r w:rsidRPr="2F36232E">
        <w:rPr>
          <w:lang w:val="en-US"/>
        </w:rPr>
        <w:t>Operational constraints (e.g., any critical loads that cannot be adjusted)</w:t>
      </w:r>
      <w:r w:rsidR="009246DA" w:rsidRPr="2F36232E">
        <w:rPr>
          <w:lang w:val="en-US"/>
        </w:rPr>
        <w:t xml:space="preserve">: If already participating in DR or Load Management programs, dates (times) and details of those; this data may be flagged within the interval data as well. </w:t>
      </w:r>
    </w:p>
    <w:p w14:paraId="61A23FE8" w14:textId="77777777" w:rsidR="00083E7A" w:rsidRPr="00DF5361" w:rsidRDefault="00083E7A" w:rsidP="00D777E7">
      <w:pPr>
        <w:pStyle w:val="2ndLevelBullet"/>
        <w:numPr>
          <w:ilvl w:val="0"/>
          <w:numId w:val="0"/>
        </w:numPr>
        <w:rPr>
          <w:b/>
          <w:bCs/>
        </w:rPr>
      </w:pPr>
      <w:r w:rsidRPr="00DF5361">
        <w:rPr>
          <w:b/>
          <w:bCs/>
        </w:rPr>
        <w:t>Agency Review and Coordination Touchpoints</w:t>
      </w:r>
    </w:p>
    <w:p w14:paraId="287A8EF2" w14:textId="10A26937" w:rsidR="00083E7A" w:rsidRDefault="00083E7A" w:rsidP="00083E7A">
      <w:pPr>
        <w:pStyle w:val="2ndLevelBullet"/>
      </w:pPr>
      <w:r>
        <w:t xml:space="preserve">Kickoff meeting </w:t>
      </w:r>
    </w:p>
    <w:p w14:paraId="00CAAC0A" w14:textId="3D692146" w:rsidR="00083E7A" w:rsidRDefault="00083E7A" w:rsidP="00083E7A">
      <w:pPr>
        <w:pStyle w:val="2ndLevelBullet"/>
      </w:pPr>
      <w:r>
        <w:t xml:space="preserve">Progress review meetings </w:t>
      </w:r>
      <w:r w:rsidR="000B4671">
        <w:t>(3-4 meetings or as needed)</w:t>
      </w:r>
    </w:p>
    <w:p w14:paraId="7A36B21A" w14:textId="5B7AF8D2" w:rsidR="00083E7A" w:rsidRDefault="00083E7A" w:rsidP="00083E7A">
      <w:pPr>
        <w:pStyle w:val="2ndLevelBullet"/>
      </w:pPr>
      <w:r>
        <w:t xml:space="preserve">Update and deliver final analysis results and data outputs </w:t>
      </w:r>
    </w:p>
    <w:p w14:paraId="5E2CE3AF" w14:textId="77777777" w:rsidR="000B4671" w:rsidRDefault="000B4671" w:rsidP="000B4671">
      <w:pPr>
        <w:pStyle w:val="2ndLevelBullet"/>
        <w:numPr>
          <w:ilvl w:val="0"/>
          <w:numId w:val="0"/>
        </w:numPr>
        <w:ind w:left="1080" w:hanging="360"/>
      </w:pPr>
    </w:p>
    <w:p w14:paraId="4704B013" w14:textId="7DD5C136" w:rsidR="000B4671" w:rsidRPr="00DF5361" w:rsidRDefault="000B4671" w:rsidP="000B4671">
      <w:pPr>
        <w:pStyle w:val="2ndLevelBullet"/>
        <w:numPr>
          <w:ilvl w:val="0"/>
          <w:numId w:val="0"/>
        </w:numPr>
        <w:rPr>
          <w:b/>
          <w:bCs/>
        </w:rPr>
      </w:pPr>
      <w:r w:rsidRPr="00DF5361">
        <w:rPr>
          <w:b/>
          <w:bCs/>
        </w:rPr>
        <w:t>Questions?</w:t>
      </w:r>
    </w:p>
    <w:p w14:paraId="2DFBB4C3" w14:textId="28F492BC" w:rsidR="000B4671" w:rsidRDefault="000B4671" w:rsidP="000B4671">
      <w:pPr>
        <w:pStyle w:val="2ndLevelBullet"/>
        <w:numPr>
          <w:ilvl w:val="0"/>
          <w:numId w:val="0"/>
        </w:numPr>
      </w:pPr>
      <w:r w:rsidRPr="7F0FE3B2">
        <w:rPr>
          <w:lang w:val="en-US"/>
        </w:rPr>
        <w:t xml:space="preserve">Use the </w:t>
      </w:r>
      <w:hyperlink r:id="rId12">
        <w:r w:rsidRPr="7F0FE3B2">
          <w:rPr>
            <w:rStyle w:val="Hyperlink"/>
            <w:lang w:val="en-US"/>
          </w:rPr>
          <w:t>FEMP Assistance Request Portal</w:t>
        </w:r>
      </w:hyperlink>
      <w:r w:rsidRPr="7F0FE3B2">
        <w:rPr>
          <w:lang w:val="en-US"/>
        </w:rPr>
        <w:t xml:space="preserve"> to ask questions about receiving demand flexibility related technical assistance for your facility. </w:t>
      </w:r>
    </w:p>
    <w:p w14:paraId="5A6B2A46" w14:textId="4200D649" w:rsidR="00E32402" w:rsidRPr="00CD354A" w:rsidRDefault="00E32402">
      <w:pPr>
        <w:spacing w:line="276" w:lineRule="auto"/>
      </w:pPr>
      <w:bookmarkStart w:id="0" w:name="_heading=h.yo7791sp5twh" w:colFirst="0" w:colLast="0"/>
      <w:bookmarkStart w:id="1" w:name="_heading=h.ilb3ngl94fb8" w:colFirst="0" w:colLast="0"/>
      <w:bookmarkEnd w:id="0"/>
      <w:bookmarkEnd w:id="1"/>
    </w:p>
    <w:p w14:paraId="3FD22EE0" w14:textId="677D61DB" w:rsidR="00E32402" w:rsidRDefault="00E32402" w:rsidP="00D777E7">
      <w:pPr>
        <w:pBdr>
          <w:top w:val="nil"/>
          <w:left w:val="nil"/>
          <w:bottom w:val="nil"/>
          <w:right w:val="nil"/>
          <w:between w:val="nil"/>
        </w:pBdr>
        <w:spacing w:before="120" w:line="276" w:lineRule="auto"/>
        <w:jc w:val="left"/>
        <w:rPr>
          <w:color w:val="000000"/>
        </w:rPr>
        <w:sectPr w:rsidR="00E32402" w:rsidSect="00CD354A">
          <w:headerReference w:type="default" r:id="rId13"/>
          <w:footerReference w:type="default" r:id="rId14"/>
          <w:headerReference w:type="first" r:id="rId15"/>
          <w:footerReference w:type="first" r:id="rId16"/>
          <w:pgSz w:w="12240" w:h="15840"/>
          <w:pgMar w:top="1440" w:right="1440" w:bottom="1350" w:left="1440" w:header="720" w:footer="720" w:gutter="0"/>
          <w:pgNumType w:start="1"/>
          <w:cols w:space="720"/>
          <w:titlePg/>
        </w:sectPr>
      </w:pPr>
    </w:p>
    <w:p w14:paraId="7D5D23AF" w14:textId="77777777" w:rsidR="00E32402" w:rsidRDefault="00E32402" w:rsidP="00CD354A">
      <w:pPr>
        <w:spacing w:line="276" w:lineRule="auto"/>
        <w:jc w:val="left"/>
      </w:pPr>
    </w:p>
    <w:sectPr w:rsidR="00E32402">
      <w:headerReference w:type="default" r:id="rId17"/>
      <w:footerReference w:type="default" r:id="rId18"/>
      <w:type w:val="continuous"/>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E6EE1" w14:textId="77777777" w:rsidR="00764C42" w:rsidRDefault="00764C42">
      <w:r>
        <w:separator/>
      </w:r>
    </w:p>
  </w:endnote>
  <w:endnote w:type="continuationSeparator" w:id="0">
    <w:p w14:paraId="1EA2447E" w14:textId="77777777" w:rsidR="00764C42" w:rsidRDefault="00764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2A1466B1-381E-4ECA-B5B3-07610697612A}"/>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embedBold r:id="rId2" w:fontKey="{CCE94582-84EE-4159-8E75-362283CA598D}"/>
  </w:font>
  <w:font w:name="Minion Pro">
    <w:panose1 w:val="00000000000000000000"/>
    <w:charset w:val="00"/>
    <w:family w:val="roman"/>
    <w:notTrueType/>
    <w:pitch w:val="variable"/>
    <w:sig w:usb0="60000287" w:usb1="00000001" w:usb2="00000000" w:usb3="00000000" w:csb0="0000019F" w:csb1="00000000"/>
  </w:font>
  <w:font w:name="Figtree">
    <w:charset w:val="00"/>
    <w:family w:val="auto"/>
    <w:pitch w:val="variable"/>
    <w:sig w:usb0="A000006F" w:usb1="0000007B" w:usb2="00000000" w:usb3="00000000" w:csb0="00000093" w:csb1="00000000"/>
  </w:font>
  <w:font w:name="Times">
    <w:panose1 w:val="02020603050405020304"/>
    <w:charset w:val="00"/>
    <w:family w:val="auto"/>
    <w:pitch w:val="variable"/>
    <w:sig w:usb0="00000003" w:usb1="00000000" w:usb2="00000000" w:usb3="00000000" w:csb0="00000007" w:csb1="00000000"/>
    <w:embedRegular r:id="rId3" w:fontKey="{826ED070-EE74-4374-AC46-B793CBAE35C8}"/>
    <w:embedBold r:id="rId4" w:fontKey="{5F6DDE39-E9ED-4FDD-9B26-3CAE5F893C92}"/>
  </w:font>
  <w:font w:name="Calibri">
    <w:panose1 w:val="020F0502020204030204"/>
    <w:charset w:val="00"/>
    <w:family w:val="swiss"/>
    <w:pitch w:val="variable"/>
    <w:sig w:usb0="E4002EFF" w:usb1="C200247B" w:usb2="00000009" w:usb3="00000000" w:csb0="000001FF" w:csb1="00000000"/>
    <w:embedRegular r:id="rId5" w:fontKey="{5B182A71-94C8-4092-8CA9-E3E17B931257}"/>
    <w:embedBold r:id="rId6" w:fontKey="{6B2BAACA-1C6B-4BEB-8ED2-B0B67357A0EE}"/>
  </w:font>
  <w:font w:name="Segoe UI">
    <w:panose1 w:val="020B0502040204020203"/>
    <w:charset w:val="00"/>
    <w:family w:val="swiss"/>
    <w:pitch w:val="variable"/>
    <w:sig w:usb0="E4002EFF" w:usb1="C000E47F" w:usb2="00000009" w:usb3="00000000" w:csb0="000001FF" w:csb1="00000000"/>
    <w:embedRegular r:id="rId7" w:fontKey="{9C885FEC-8EAA-4AFC-96B3-8947C559D9B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9322110"/>
      <w:docPartObj>
        <w:docPartGallery w:val="Page Numbers (Bottom of Page)"/>
        <w:docPartUnique/>
      </w:docPartObj>
    </w:sdtPr>
    <w:sdtEndPr>
      <w:rPr>
        <w:noProof/>
      </w:rPr>
    </w:sdtEndPr>
    <w:sdtContent>
      <w:p w14:paraId="353E405A" w14:textId="77777777" w:rsidR="006F4CC3" w:rsidRDefault="006F4CC3" w:rsidP="006F4CC3">
        <w:pPr>
          <w:pStyle w:val="Footer"/>
          <w:jc w:val="center"/>
        </w:pPr>
        <w:r>
          <w:rPr>
            <w:noProof/>
          </w:rPr>
          <mc:AlternateContent>
            <mc:Choice Requires="wps">
              <w:drawing>
                <wp:anchor distT="0" distB="0" distL="114300" distR="114300" simplePos="0" relativeHeight="251664384" behindDoc="0" locked="0" layoutInCell="1" allowOverlap="1" wp14:anchorId="3F19CD5D" wp14:editId="5BE842D9">
                  <wp:simplePos x="0" y="0"/>
                  <wp:positionH relativeFrom="margin">
                    <wp:posOffset>0</wp:posOffset>
                  </wp:positionH>
                  <wp:positionV relativeFrom="paragraph">
                    <wp:posOffset>0</wp:posOffset>
                  </wp:positionV>
                  <wp:extent cx="6208295" cy="82503"/>
                  <wp:effectExtent l="0" t="0" r="2540" b="0"/>
                  <wp:wrapNone/>
                  <wp:docPr id="872709312" name="Rectangle 1"/>
                  <wp:cNvGraphicFramePr/>
                  <a:graphic xmlns:a="http://schemas.openxmlformats.org/drawingml/2006/main">
                    <a:graphicData uri="http://schemas.microsoft.com/office/word/2010/wordprocessingShape">
                      <wps:wsp>
                        <wps:cNvSpPr/>
                        <wps:spPr>
                          <a:xfrm>
                            <a:off x="0" y="0"/>
                            <a:ext cx="6208295" cy="82503"/>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rect id="Rectangle 1" style="position:absolute;margin-left:0;margin-top:0;width:488.85pt;height:6.5pt;z-index:251664384;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color="#21409a [3204]" stroked="f" strokeweight="1pt" w14:anchorId="382B1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">
                  <w10:wrap anchorx="margin"/>
                </v:rect>
              </w:pict>
            </mc:Fallback>
          </mc:AlternateContent>
        </w:r>
      </w:p>
      <w:p w14:paraId="30378E12" w14:textId="77777777" w:rsidR="006F4CC3" w:rsidRDefault="006F4CC3" w:rsidP="006F4CC3">
        <w:pPr>
          <w:pStyle w:val="Footer"/>
          <w:jc w:val="center"/>
        </w:pPr>
        <w:r>
          <w:fldChar w:fldCharType="begin"/>
        </w:r>
        <w:r>
          <w:instrText xml:space="preserve"> PAGE   \* MERGEFORMAT </w:instrText>
        </w:r>
        <w:r>
          <w:fldChar w:fldCharType="separate"/>
        </w:r>
        <w:r>
          <w:t>1</w:t>
        </w:r>
        <w:r>
          <w:rPr>
            <w:noProof/>
          </w:rPr>
          <w:fldChar w:fldCharType="end"/>
        </w:r>
      </w:p>
    </w:sdtContent>
  </w:sdt>
  <w:p w14:paraId="5E52060E" w14:textId="77777777" w:rsidR="006F4CC3" w:rsidRDefault="006F4CC3" w:rsidP="006F4CC3">
    <w:pPr>
      <w:pBdr>
        <w:top w:val="nil"/>
        <w:left w:val="nil"/>
        <w:bottom w:val="nil"/>
        <w:right w:val="nil"/>
        <w:between w:val="nil"/>
      </w:pBdr>
      <w:tabs>
        <w:tab w:val="center" w:pos="4680"/>
        <w:tab w:val="right" w:pos="9360"/>
      </w:tabs>
      <w:rPr>
        <w:color w:val="000000"/>
        <w:sz w:val="18"/>
        <w:szCs w:val="18"/>
      </w:rPr>
    </w:pPr>
  </w:p>
  <w:p w14:paraId="60B74CD3" w14:textId="09887956" w:rsidR="00E32402" w:rsidRPr="006F4CC3" w:rsidRDefault="006F4CC3" w:rsidP="006F4CC3">
    <w:pPr>
      <w:pBdr>
        <w:top w:val="nil"/>
        <w:left w:val="nil"/>
        <w:bottom w:val="nil"/>
        <w:right w:val="nil"/>
        <w:between w:val="nil"/>
      </w:pBdr>
      <w:tabs>
        <w:tab w:val="center" w:pos="4680"/>
        <w:tab w:val="right" w:pos="9360"/>
      </w:tabs>
      <w:rPr>
        <w:color w:val="000000"/>
        <w:sz w:val="18"/>
        <w:szCs w:val="18"/>
      </w:rPr>
    </w:pPr>
    <w:r>
      <w:rPr>
        <w:color w:val="000000"/>
        <w:sz w:val="18"/>
        <w:szCs w:val="18"/>
      </w:rPr>
      <w:t xml:space="preserve">Forrestal Building 1000 Independence Ave., SW, Washington, DC 20585     /     202.586.5000     /     </w:t>
    </w:r>
    <w:r>
      <w:rPr>
        <w:b/>
        <w:color w:val="1A204C"/>
        <w:sz w:val="18"/>
        <w:szCs w:val="18"/>
      </w:rPr>
      <w:t>Energy.gov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401084"/>
      <w:docPartObj>
        <w:docPartGallery w:val="Page Numbers (Bottom of Page)"/>
        <w:docPartUnique/>
      </w:docPartObj>
    </w:sdtPr>
    <w:sdtEndPr>
      <w:rPr>
        <w:noProof/>
      </w:rPr>
    </w:sdtEndPr>
    <w:sdtContent>
      <w:p w14:paraId="1CAA170D" w14:textId="55416E7A" w:rsidR="007972C6" w:rsidRDefault="007972C6">
        <w:pPr>
          <w:pStyle w:val="Footer"/>
          <w:jc w:val="center"/>
        </w:pPr>
      </w:p>
      <w:p w14:paraId="6B5C6D2F" w14:textId="78F651B9" w:rsidR="007972C6" w:rsidRDefault="007972C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1067B27" w14:textId="069A5FDE" w:rsidR="00E32402" w:rsidRDefault="00E32402">
    <w:pPr>
      <w:pBdr>
        <w:top w:val="nil"/>
        <w:left w:val="nil"/>
        <w:bottom w:val="nil"/>
        <w:right w:val="nil"/>
        <w:between w:val="nil"/>
      </w:pBdr>
      <w:tabs>
        <w:tab w:val="center" w:pos="4680"/>
        <w:tab w:val="right" w:pos="9360"/>
      </w:tabs>
      <w:rPr>
        <w:color w:val="000000"/>
        <w:sz w:val="18"/>
        <w:szCs w:val="18"/>
      </w:rPr>
    </w:pPr>
  </w:p>
  <w:p w14:paraId="55D3063F" w14:textId="11470898" w:rsidR="007972C6" w:rsidRDefault="007972C6">
    <w:pPr>
      <w:pBdr>
        <w:top w:val="nil"/>
        <w:left w:val="nil"/>
        <w:bottom w:val="nil"/>
        <w:right w:val="nil"/>
        <w:between w:val="nil"/>
      </w:pBdr>
      <w:tabs>
        <w:tab w:val="center" w:pos="4680"/>
        <w:tab w:val="right" w:pos="9360"/>
      </w:tabs>
      <w:rPr>
        <w:color w:val="000000"/>
        <w:sz w:val="18"/>
        <w:szCs w:val="18"/>
      </w:rPr>
    </w:pPr>
    <w:r>
      <w:rPr>
        <w:color w:val="000000"/>
        <w:sz w:val="18"/>
        <w:szCs w:val="18"/>
      </w:rPr>
      <w:t xml:space="preserve">Forrestal Building 1000 Independence Ave., SW, Washington, DC 20585     /     202.586.5000     /     </w:t>
    </w:r>
    <w:r>
      <w:rPr>
        <w:b/>
        <w:color w:val="1A204C"/>
        <w:sz w:val="18"/>
        <w:szCs w:val="18"/>
      </w:rPr>
      <w:t>Energy.gov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DB2D8" w14:textId="77777777" w:rsidR="00E32402" w:rsidRDefault="00E53F35">
    <w:pPr>
      <w:pBdr>
        <w:top w:val="nil"/>
        <w:left w:val="nil"/>
        <w:bottom w:val="nil"/>
        <w:right w:val="nil"/>
        <w:between w:val="nil"/>
      </w:pBdr>
      <w:tabs>
        <w:tab w:val="center" w:pos="4680"/>
        <w:tab w:val="right" w:pos="9360"/>
      </w:tabs>
      <w:rPr>
        <w:color w:val="000000"/>
        <w:sz w:val="18"/>
        <w:szCs w:val="18"/>
      </w:rPr>
    </w:pPr>
    <w:r>
      <w:rPr>
        <w:color w:val="000000"/>
        <w:sz w:val="18"/>
        <w:szCs w:val="18"/>
      </w:rPr>
      <w:t xml:space="preserve">Forrestal Building 1000 Independence Ave., SW, Washington, DC 20585     /     202.586.5000     /     </w:t>
    </w:r>
    <w:r>
      <w:rPr>
        <w:b/>
        <w:color w:val="21409A"/>
        <w:sz w:val="18"/>
        <w:szCs w:val="18"/>
      </w:rPr>
      <w:t>Energy.gov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69B03" w14:textId="77777777" w:rsidR="00764C42" w:rsidRDefault="00764C42">
      <w:r>
        <w:separator/>
      </w:r>
    </w:p>
  </w:footnote>
  <w:footnote w:type="continuationSeparator" w:id="0">
    <w:p w14:paraId="17F8D04F" w14:textId="77777777" w:rsidR="00764C42" w:rsidRDefault="00764C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750DA" w14:textId="40F6FD07" w:rsidR="000B7B07" w:rsidRPr="000B7B07" w:rsidRDefault="00254ECA" w:rsidP="000B7B07">
    <w:pPr>
      <w:pStyle w:val="Header"/>
      <w:spacing w:before="120" w:after="120" w:line="240" w:lineRule="exact"/>
      <w:jc w:val="right"/>
      <w:rPr>
        <w:sz w:val="20"/>
      </w:rPr>
    </w:pPr>
    <w:r>
      <w:rPr>
        <w:sz w:val="20"/>
      </w:rPr>
      <w:t>FEMP Technical Assistance Scope of Work – Demand Flexibility Analysis</w:t>
    </w:r>
  </w:p>
  <w:p w14:paraId="222AC64E" w14:textId="2D4BAE6A" w:rsidR="000B7B07" w:rsidRPr="000B7B07" w:rsidRDefault="00DF5361" w:rsidP="000B7B07">
    <w:pPr>
      <w:pStyle w:val="Header"/>
      <w:spacing w:before="120" w:after="120" w:line="240" w:lineRule="exact"/>
      <w:jc w:val="right"/>
      <w:rPr>
        <w:sz w:val="20"/>
      </w:rPr>
    </w:pPr>
    <w:r>
      <w:rPr>
        <w:sz w:val="20"/>
      </w:rPr>
      <w:t>September 2025</w:t>
    </w:r>
  </w:p>
  <w:p w14:paraId="62871339" w14:textId="5E0670D5" w:rsidR="00E32402" w:rsidRPr="000B7B07" w:rsidRDefault="00E32402" w:rsidP="000B7B07">
    <w:pPr>
      <w:pStyle w:val="Header"/>
      <w:spacing w:before="120" w:after="120" w:line="240" w:lineRule="exact"/>
      <w:jc w:val="right"/>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E4828" w14:textId="7E18C632" w:rsidR="003D5691" w:rsidRDefault="00E165FD" w:rsidP="000B7B07">
    <w:pPr>
      <w:pStyle w:val="CMEI-right-aligned-text"/>
    </w:pPr>
    <w:r w:rsidRPr="00F243DB">
      <w:rPr>
        <w:noProof/>
      </w:rPr>
      <w:drawing>
        <wp:anchor distT="0" distB="0" distL="114300" distR="114300" simplePos="0" relativeHeight="251666432" behindDoc="0" locked="0" layoutInCell="1" allowOverlap="1" wp14:anchorId="17785EBB" wp14:editId="5DE399E5">
          <wp:simplePos x="0" y="0"/>
          <wp:positionH relativeFrom="margin">
            <wp:align>left</wp:align>
          </wp:positionH>
          <wp:positionV relativeFrom="paragraph">
            <wp:posOffset>-57061</wp:posOffset>
          </wp:positionV>
          <wp:extent cx="2934335" cy="579755"/>
          <wp:effectExtent l="0" t="0" r="0" b="0"/>
          <wp:wrapSquare wrapText="bothSides"/>
          <wp:docPr id="683998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998113"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934335" cy="579755"/>
                  </a:xfrm>
                  <a:prstGeom prst="rect">
                    <a:avLst/>
                  </a:prstGeom>
                </pic:spPr>
              </pic:pic>
            </a:graphicData>
          </a:graphic>
          <wp14:sizeRelH relativeFrom="page">
            <wp14:pctWidth>0</wp14:pctWidth>
          </wp14:sizeRelH>
          <wp14:sizeRelV relativeFrom="page">
            <wp14:pctHeight>0</wp14:pctHeight>
          </wp14:sizeRelV>
        </wp:anchor>
      </w:drawing>
    </w:r>
  </w:p>
  <w:p w14:paraId="6F19A367" w14:textId="77777777" w:rsidR="00C514B5" w:rsidRDefault="00C514B5" w:rsidP="000B7B07">
    <w:pPr>
      <w:pStyle w:val="CMEI-right-aligned-text"/>
    </w:pPr>
  </w:p>
  <w:p w14:paraId="7CA3205C" w14:textId="77777777" w:rsidR="003D5691" w:rsidRDefault="003D5691" w:rsidP="000B7B07">
    <w:pPr>
      <w:tabs>
        <w:tab w:val="left" w:pos="813"/>
      </w:tabs>
      <w:jc w:val="right"/>
    </w:pPr>
    <w:r>
      <w:rPr>
        <w:noProof/>
      </w:rPr>
      <mc:AlternateContent>
        <mc:Choice Requires="wps">
          <w:drawing>
            <wp:anchor distT="0" distB="0" distL="114300" distR="114300" simplePos="0" relativeHeight="251660288" behindDoc="0" locked="0" layoutInCell="1" allowOverlap="1" wp14:anchorId="3CCCEFB0" wp14:editId="1D141A1E">
              <wp:simplePos x="0" y="0"/>
              <wp:positionH relativeFrom="margin">
                <wp:align>center</wp:align>
              </wp:positionH>
              <wp:positionV relativeFrom="paragraph">
                <wp:posOffset>121920</wp:posOffset>
              </wp:positionV>
              <wp:extent cx="6208295" cy="82503"/>
              <wp:effectExtent l="0" t="0" r="2540" b="0"/>
              <wp:wrapNone/>
              <wp:docPr id="1004442967" name="Rectangle 1"/>
              <wp:cNvGraphicFramePr/>
              <a:graphic xmlns:a="http://schemas.openxmlformats.org/drawingml/2006/main">
                <a:graphicData uri="http://schemas.microsoft.com/office/word/2010/wordprocessingShape">
                  <wps:wsp>
                    <wps:cNvSpPr/>
                    <wps:spPr>
                      <a:xfrm>
                        <a:off x="0" y="0"/>
                        <a:ext cx="6208295" cy="82503"/>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v:rect id="Rectangle 1" style="position:absolute;margin-left:0;margin-top:9.6pt;width:488.85pt;height:6.5pt;z-index:251660288;visibility:visible;mso-wrap-style:square;mso-wrap-distance-left:9pt;mso-wrap-distance-top:0;mso-wrap-distance-right:9pt;mso-wrap-distance-bottom:0;mso-position-horizontal:center;mso-position-horizontal-relative:margin;mso-position-vertical:absolute;mso-position-vertical-relative:text;v-text-anchor:middle" o:spid="_x0000_s1026" fillcolor="#21409a [3204]" stroked="f" strokeweight="1pt" w14:anchorId="2F8999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">
              <w10:wrap anchorx="margin"/>
            </v:rect>
          </w:pict>
        </mc:Fallback>
      </mc:AlternateContent>
    </w:r>
  </w:p>
  <w:p w14:paraId="6077E674" w14:textId="77777777" w:rsidR="00E32402" w:rsidRDefault="00E32402">
    <w:pPr>
      <w:pBdr>
        <w:top w:val="nil"/>
        <w:left w:val="nil"/>
        <w:bottom w:val="nil"/>
        <w:right w:val="nil"/>
        <w:between w:val="nil"/>
      </w:pBdr>
      <w:tabs>
        <w:tab w:val="center" w:pos="4680"/>
        <w:tab w:val="right" w:pos="9360"/>
      </w:tabs>
      <w:rPr>
        <w:color w:val="000000"/>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FC19" w14:textId="307A74AD" w:rsidR="00E32402" w:rsidRDefault="00E53F35">
    <w:pPr>
      <w:pBdr>
        <w:top w:val="nil"/>
        <w:left w:val="nil"/>
        <w:bottom w:val="nil"/>
        <w:right w:val="nil"/>
        <w:between w:val="nil"/>
      </w:pBdr>
      <w:tabs>
        <w:tab w:val="center" w:pos="4680"/>
        <w:tab w:val="right" w:pos="9360"/>
      </w:tabs>
      <w:jc w:val="right"/>
      <w:rPr>
        <w:b/>
        <w:color w:val="21409A"/>
        <w:sz w:val="18"/>
        <w:szCs w:val="18"/>
      </w:rPr>
    </w:pPr>
    <w:r>
      <w:rPr>
        <w:b/>
        <w:color w:val="21409A"/>
        <w:sz w:val="18"/>
        <w:szCs w:val="18"/>
      </w:rPr>
      <w:fldChar w:fldCharType="begin"/>
    </w:r>
    <w:r>
      <w:rPr>
        <w:b/>
        <w:color w:val="21409A"/>
        <w:sz w:val="18"/>
        <w:szCs w:val="18"/>
      </w:rPr>
      <w:instrText>PAGE</w:instrText>
    </w:r>
    <w:r>
      <w:rPr>
        <w:b/>
        <w:color w:val="21409A"/>
        <w:sz w:val="18"/>
        <w:szCs w:val="18"/>
      </w:rPr>
      <w:fldChar w:fldCharType="separate"/>
    </w:r>
    <w:r w:rsidR="00CD354A">
      <w:rPr>
        <w:b/>
        <w:noProof/>
        <w:color w:val="21409A"/>
        <w:sz w:val="18"/>
        <w:szCs w:val="18"/>
      </w:rPr>
      <w:t>2</w:t>
    </w:r>
    <w:r>
      <w:rPr>
        <w:b/>
        <w:color w:val="21409A"/>
        <w:sz w:val="18"/>
        <w:szCs w:val="18"/>
      </w:rPr>
      <w:fldChar w:fldCharType="end"/>
    </w:r>
  </w:p>
  <w:p w14:paraId="03344AFD" w14:textId="77777777" w:rsidR="00E32402" w:rsidRDefault="2F36232E" w:rsidP="2F36232E">
    <w:pPr>
      <w:pBdr>
        <w:top w:val="nil"/>
        <w:left w:val="nil"/>
        <w:bottom w:val="nil"/>
        <w:right w:val="nil"/>
        <w:between w:val="nil"/>
      </w:pBdr>
      <w:tabs>
        <w:tab w:val="center" w:pos="4680"/>
        <w:tab w:val="right" w:pos="9360"/>
      </w:tabs>
      <w:rPr>
        <w:color w:val="000000"/>
        <w:sz w:val="18"/>
        <w:szCs w:val="18"/>
        <w:lang w:val="en-US"/>
      </w:rPr>
    </w:pPr>
    <w:r w:rsidRPr="2F36232E">
      <w:rPr>
        <w:color w:val="000000" w:themeColor="text1"/>
        <w:sz w:val="18"/>
        <w:szCs w:val="18"/>
        <w:lang w:val="en-US"/>
      </w:rPr>
      <w:t xml:space="preserve">Document </w:t>
    </w:r>
    <w:proofErr w:type="gramStart"/>
    <w:r w:rsidRPr="2F36232E">
      <w:rPr>
        <w:color w:val="000000" w:themeColor="text1"/>
        <w:sz w:val="18"/>
        <w:szCs w:val="18"/>
        <w:lang w:val="en-US"/>
      </w:rPr>
      <w:t>Title  /</w:t>
    </w:r>
    <w:proofErr w:type="gramEnd"/>
    <w:r w:rsidRPr="2F36232E">
      <w:rPr>
        <w:color w:val="000000" w:themeColor="text1"/>
        <w:sz w:val="18"/>
        <w:szCs w:val="18"/>
        <w:lang w:val="en-US"/>
      </w:rPr>
      <w:t xml:space="preserve">  Month Day Year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940C2"/>
    <w:multiLevelType w:val="multilevel"/>
    <w:tmpl w:val="4B86B1EE"/>
    <w:lvl w:ilvl="0">
      <w:start w:val="1"/>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A594753"/>
    <w:multiLevelType w:val="multilevel"/>
    <w:tmpl w:val="52281C42"/>
    <w:lvl w:ilvl="0">
      <w:start w:val="1"/>
      <w:numFmt w:val="bullet"/>
      <w:pStyle w:val="2ndLeve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2A6E6F5A"/>
    <w:multiLevelType w:val="multilevel"/>
    <w:tmpl w:val="22D0EE00"/>
    <w:lvl w:ilvl="0">
      <w:start w:val="1"/>
      <w:numFmt w:val="bullet"/>
      <w:pStyle w:val="3rdLeve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6CE302A"/>
    <w:multiLevelType w:val="multilevel"/>
    <w:tmpl w:val="07C2DD4A"/>
    <w:lvl w:ilvl="0">
      <w:start w:val="1"/>
      <w:numFmt w:val="bullet"/>
      <w:pStyle w:val="1stLeve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8ED0138"/>
    <w:multiLevelType w:val="multilevel"/>
    <w:tmpl w:val="C6A2CD2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6F974AE1"/>
    <w:multiLevelType w:val="multilevel"/>
    <w:tmpl w:val="AA82A8C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960406041">
    <w:abstractNumId w:val="1"/>
  </w:num>
  <w:num w:numId="2" w16cid:durableId="568542923">
    <w:abstractNumId w:val="3"/>
  </w:num>
  <w:num w:numId="3" w16cid:durableId="1394280411">
    <w:abstractNumId w:val="2"/>
  </w:num>
  <w:num w:numId="4" w16cid:durableId="2054693030">
    <w:abstractNumId w:val="5"/>
  </w:num>
  <w:num w:numId="5" w16cid:durableId="1944682140">
    <w:abstractNumId w:val="0"/>
  </w:num>
  <w:num w:numId="6" w16cid:durableId="9196743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402"/>
    <w:rsid w:val="00083E7A"/>
    <w:rsid w:val="000B4671"/>
    <w:rsid w:val="000B7B07"/>
    <w:rsid w:val="000E51AD"/>
    <w:rsid w:val="0012232B"/>
    <w:rsid w:val="0012734F"/>
    <w:rsid w:val="00135F15"/>
    <w:rsid w:val="00145162"/>
    <w:rsid w:val="001D21EC"/>
    <w:rsid w:val="00212759"/>
    <w:rsid w:val="00241D28"/>
    <w:rsid w:val="00254ECA"/>
    <w:rsid w:val="00256B47"/>
    <w:rsid w:val="002E58EC"/>
    <w:rsid w:val="00385DDA"/>
    <w:rsid w:val="003D5691"/>
    <w:rsid w:val="004D49AC"/>
    <w:rsid w:val="00507168"/>
    <w:rsid w:val="00662649"/>
    <w:rsid w:val="006F4CC3"/>
    <w:rsid w:val="007103B8"/>
    <w:rsid w:val="0071622E"/>
    <w:rsid w:val="00742E6A"/>
    <w:rsid w:val="00764C42"/>
    <w:rsid w:val="00796E27"/>
    <w:rsid w:val="007972C6"/>
    <w:rsid w:val="00881372"/>
    <w:rsid w:val="008B5DE7"/>
    <w:rsid w:val="009246DA"/>
    <w:rsid w:val="00932B39"/>
    <w:rsid w:val="00A0254E"/>
    <w:rsid w:val="00A74108"/>
    <w:rsid w:val="00A82DE8"/>
    <w:rsid w:val="00AC3616"/>
    <w:rsid w:val="00B15216"/>
    <w:rsid w:val="00B70C00"/>
    <w:rsid w:val="00BF6B7B"/>
    <w:rsid w:val="00C514B5"/>
    <w:rsid w:val="00C77A37"/>
    <w:rsid w:val="00CC65F1"/>
    <w:rsid w:val="00CD354A"/>
    <w:rsid w:val="00D40D44"/>
    <w:rsid w:val="00D5362E"/>
    <w:rsid w:val="00D73F71"/>
    <w:rsid w:val="00D777E7"/>
    <w:rsid w:val="00D8145D"/>
    <w:rsid w:val="00DA5AE4"/>
    <w:rsid w:val="00DF5361"/>
    <w:rsid w:val="00E05EEB"/>
    <w:rsid w:val="00E1039C"/>
    <w:rsid w:val="00E165FD"/>
    <w:rsid w:val="00E32402"/>
    <w:rsid w:val="00E53F35"/>
    <w:rsid w:val="00EF6841"/>
    <w:rsid w:val="00F256D4"/>
    <w:rsid w:val="00F862E4"/>
    <w:rsid w:val="2F36232E"/>
    <w:rsid w:val="7F0FE3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DB7A67"/>
  <w15:docId w15:val="{3CEB143C-B131-4900-B9F1-C4BF395B9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after="166"/>
      <w:outlineLvl w:val="0"/>
    </w:pPr>
    <w:rPr>
      <w:b/>
      <w:color w:val="030078"/>
      <w:sz w:val="46"/>
      <w:szCs w:val="46"/>
    </w:rPr>
  </w:style>
  <w:style w:type="paragraph" w:styleId="Heading2">
    <w:name w:val="heading 2"/>
    <w:basedOn w:val="Normal"/>
    <w:next w:val="Normal"/>
    <w:link w:val="Heading2Char"/>
    <w:uiPriority w:val="9"/>
    <w:unhideWhenUsed/>
    <w:qFormat/>
    <w:pPr>
      <w:outlineLvl w:val="1"/>
    </w:pPr>
    <w:rPr>
      <w:color w:val="1A204C"/>
      <w:sz w:val="24"/>
      <w:szCs w:val="24"/>
    </w:rPr>
  </w:style>
  <w:style w:type="paragraph" w:styleId="Heading3">
    <w:name w:val="heading 3"/>
    <w:basedOn w:val="Normal"/>
    <w:next w:val="Normal"/>
    <w:link w:val="Heading3Char"/>
    <w:uiPriority w:val="9"/>
    <w:semiHidden/>
    <w:unhideWhenUsed/>
    <w:qFormat/>
    <w:pPr>
      <w:keepNext/>
      <w:spacing w:before="144" w:after="50"/>
      <w:jc w:val="left"/>
      <w:outlineLvl w:val="2"/>
    </w:pPr>
    <w:rPr>
      <w:b/>
      <w:sz w:val="22"/>
      <w:szCs w:val="22"/>
    </w:rPr>
  </w:style>
  <w:style w:type="paragraph" w:styleId="Heading4">
    <w:name w:val="heading 4"/>
    <w:basedOn w:val="Normal"/>
    <w:next w:val="Normal"/>
    <w:link w:val="Heading4Char"/>
    <w:uiPriority w:val="9"/>
    <w:semiHidden/>
    <w:unhideWhenUsed/>
    <w:qFormat/>
    <w:pPr>
      <w:keepNext/>
      <w:keepLines/>
      <w:spacing w:before="80" w:after="40"/>
      <w:outlineLvl w:val="3"/>
    </w:pPr>
    <w:rPr>
      <w:b/>
      <w:i/>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182F73"/>
    </w:rPr>
  </w:style>
  <w:style w:type="paragraph" w:styleId="Heading6">
    <w:name w:val="heading 6"/>
    <w:basedOn w:val="Normal"/>
    <w:next w:val="Normal"/>
    <w:link w:val="Heading6Char"/>
    <w:uiPriority w:val="9"/>
    <w:semiHidden/>
    <w:unhideWhenUsed/>
    <w:qFormat/>
    <w:pPr>
      <w:keepNext/>
      <w:keepLines/>
      <w:spacing w:before="40"/>
      <w:outlineLvl w:val="5"/>
    </w:pPr>
    <w:rPr>
      <w:i/>
      <w:color w:val="595959"/>
    </w:rPr>
  </w:style>
  <w:style w:type="paragraph" w:styleId="Heading7">
    <w:name w:val="heading 7"/>
    <w:basedOn w:val="Normal"/>
    <w:next w:val="Normal"/>
    <w:link w:val="Heading7Char"/>
    <w:uiPriority w:val="9"/>
    <w:semiHidden/>
    <w:unhideWhenUsed/>
    <w:qFormat/>
    <w:rsid w:val="0005039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039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039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jc w:val="left"/>
    </w:pPr>
    <w:rPr>
      <w:b/>
      <w:color w:val="030078"/>
      <w:sz w:val="66"/>
      <w:szCs w:val="66"/>
    </w:rPr>
  </w:style>
  <w:style w:type="table" w:customStyle="1" w:styleId="TableNormal00">
    <w:name w:val="TableNormal0"/>
    <w:tblPr>
      <w:tblCellMar>
        <w:top w:w="100" w:type="dxa"/>
        <w:left w:w="100" w:type="dxa"/>
        <w:bottom w:w="100" w:type="dxa"/>
        <w:right w:w="100" w:type="dxa"/>
      </w:tblCellMar>
    </w:tblPr>
  </w:style>
  <w:style w:type="table" w:styleId="TableGrid">
    <w:name w:val="Table Grid"/>
    <w:basedOn w:val="TableNormal"/>
    <w:uiPriority w:val="59"/>
    <w:rsid w:val="00F0598B"/>
    <w:rPr>
      <w:color w:val="000000" w:themeColor="text1"/>
      <w:sz w:val="18"/>
      <w:szCs w:val="22"/>
    </w:rPr>
    <w:tblPr>
      <w:tblStyleRowBandSize w:val="1"/>
      <w:tblBorders>
        <w:top w:val="single" w:sz="4" w:space="0" w:color="808080" w:themeColor="background1" w:themeShade="80"/>
        <w:left w:val="single" w:sz="4" w:space="0" w:color="808080" w:themeColor="background1" w:themeShade="80"/>
        <w:bottom w:val="single" w:sz="18" w:space="0" w:color="21409A" w:themeColor="accent1"/>
        <w:right w:val="single" w:sz="4" w:space="0" w:color="808080" w:themeColor="background1" w:themeShade="80"/>
        <w:insideH w:val="single" w:sz="4" w:space="0" w:color="808080" w:themeColor="background1" w:themeShade="80"/>
        <w:insideV w:val="single" w:sz="4" w:space="0" w:color="808080" w:themeColor="background1" w:themeShade="80"/>
      </w:tblBorders>
      <w:tblCellMar>
        <w:top w:w="115" w:type="dxa"/>
        <w:left w:w="115" w:type="dxa"/>
        <w:bottom w:w="115" w:type="dxa"/>
        <w:right w:w="115" w:type="dxa"/>
      </w:tblCellMar>
    </w:tblPr>
    <w:tcPr>
      <w:shd w:val="clear" w:color="auto" w:fill="FFFFFF" w:themeFill="background1"/>
      <w:tcMar>
        <w:top w:w="29" w:type="dxa"/>
        <w:left w:w="115" w:type="dxa"/>
        <w:bottom w:w="29" w:type="dxa"/>
        <w:right w:w="115" w:type="dxa"/>
      </w:tcMar>
      <w:vAlign w:val="center"/>
    </w:tcPr>
    <w:tblStylePr w:type="firstRow">
      <w:pPr>
        <w:jc w:val="left"/>
      </w:pPr>
      <w:rPr>
        <w:rFonts w:asciiTheme="minorHAnsi" w:hAnsiTheme="minorHAnsi"/>
        <w:color w:val="FFFFFF" w:themeColor="background1"/>
        <w:sz w:val="20"/>
      </w:rPr>
      <w:tblPr/>
      <w:tcPr>
        <w:shd w:val="clear" w:color="auto" w:fill="21409A" w:themeFill="accent1"/>
      </w:tcPr>
    </w:tblStylePr>
    <w:tblStylePr w:type="lastRow">
      <w:tblPr/>
      <w:tcPr>
        <w:shd w:val="clear" w:color="auto" w:fill="FFFFFF" w:themeFill="background1"/>
      </w:tcPr>
    </w:tblStylePr>
    <w:tblStylePr w:type="band1Horz">
      <w:tblPr/>
      <w:tcPr>
        <w:shd w:val="clear" w:color="auto" w:fill="C9D4F3" w:themeFill="accent1" w:themeFillTint="33"/>
      </w:tcPr>
    </w:tblStylePr>
  </w:style>
  <w:style w:type="table" w:customStyle="1" w:styleId="LMD">
    <w:name w:val="LMD"/>
    <w:basedOn w:val="TableNormal"/>
    <w:next w:val="ListTable4-Accent5"/>
    <w:uiPriority w:val="49"/>
    <w:rsid w:val="00D5210D"/>
    <w:tblPr>
      <w:tblStyleRowBandSize w:val="1"/>
      <w:tblStyleCol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vAlign w:val="center"/>
    </w:tcPr>
    <w:tblStylePr w:type="firstRow">
      <w:rPr>
        <w:rFonts w:ascii="Montserrat" w:hAnsi="Montserrat"/>
        <w:b/>
        <w:bCs/>
        <w:color w:val="FFFFFF" w:themeColor="background1"/>
        <w:sz w:val="22"/>
      </w:rPr>
      <w:tblPr/>
      <w:tcPr>
        <w:shd w:val="clear" w:color="auto" w:fill="595959"/>
      </w:tcPr>
    </w:tblStylePr>
    <w:tblStylePr w:type="lastRow">
      <w:rPr>
        <w:b/>
        <w:bCs/>
      </w:rPr>
      <w:tblPr/>
      <w:tcPr>
        <w:shd w:val="clear" w:color="auto" w:fill="BFBFBF" w:themeFill="background1" w:themeFillShade="BF"/>
      </w:tcPr>
    </w:tblStylePr>
    <w:tblStylePr w:type="firstCol">
      <w:rPr>
        <w:b/>
        <w:bCs/>
      </w:rPr>
    </w:tblStylePr>
    <w:tblStylePr w:type="lastCol">
      <w:rPr>
        <w:b/>
        <w:bCs/>
      </w:rPr>
    </w:tblStylePr>
    <w:tblStylePr w:type="band2Vert">
      <w:tblPr/>
      <w:tcPr>
        <w:tcMar>
          <w:top w:w="101" w:type="dxa"/>
          <w:left w:w="101" w:type="dxa"/>
          <w:bottom w:w="101" w:type="dxa"/>
          <w:right w:w="101" w:type="dxa"/>
        </w:tcMar>
        <w:vAlign w:val="center"/>
      </w:tcPr>
    </w:tblStylePr>
    <w:tblStylePr w:type="band1Horz">
      <w:tblPr/>
      <w:tcPr>
        <w:shd w:val="clear" w:color="auto" w:fill="F2F2F2" w:themeFill="background1" w:themeFillShade="F2"/>
      </w:tcPr>
    </w:tblStylePr>
  </w:style>
  <w:style w:type="table" w:styleId="ListTable4-Accent5">
    <w:name w:val="List Table 4 Accent 5"/>
    <w:basedOn w:val="TableNormal"/>
    <w:uiPriority w:val="49"/>
    <w:rsid w:val="009C06DB"/>
    <w:tblPr>
      <w:tblStyleRowBandSize w:val="1"/>
      <w:tblStyleColBandSize w:val="1"/>
      <w:tblBorders>
        <w:top w:val="single" w:sz="4" w:space="0" w:color="FBE5AE" w:themeColor="accent5" w:themeTint="99"/>
        <w:left w:val="single" w:sz="4" w:space="0" w:color="FBE5AE" w:themeColor="accent5" w:themeTint="99"/>
        <w:bottom w:val="single" w:sz="4" w:space="0" w:color="FBE5AE" w:themeColor="accent5" w:themeTint="99"/>
        <w:right w:val="single" w:sz="4" w:space="0" w:color="FBE5AE" w:themeColor="accent5" w:themeTint="99"/>
        <w:insideH w:val="single" w:sz="4" w:space="0" w:color="FBE5AE" w:themeColor="accent5" w:themeTint="99"/>
      </w:tblBorders>
    </w:tblPr>
    <w:tblStylePr w:type="firstRow">
      <w:rPr>
        <w:b/>
        <w:bCs/>
        <w:color w:val="FFFFFF" w:themeColor="background1"/>
      </w:rPr>
      <w:tblPr/>
      <w:tcPr>
        <w:tcBorders>
          <w:top w:val="single" w:sz="4" w:space="0" w:color="F9D57A" w:themeColor="accent5"/>
          <w:left w:val="single" w:sz="4" w:space="0" w:color="F9D57A" w:themeColor="accent5"/>
          <w:bottom w:val="single" w:sz="4" w:space="0" w:color="F9D57A" w:themeColor="accent5"/>
          <w:right w:val="single" w:sz="4" w:space="0" w:color="F9D57A" w:themeColor="accent5"/>
          <w:insideH w:val="nil"/>
        </w:tcBorders>
        <w:shd w:val="clear" w:color="auto" w:fill="F9D57A" w:themeFill="accent5"/>
      </w:tcPr>
    </w:tblStylePr>
    <w:tblStylePr w:type="lastRow">
      <w:rPr>
        <w:b/>
        <w:bCs/>
      </w:rPr>
      <w:tblPr/>
      <w:tcPr>
        <w:tcBorders>
          <w:top w:val="double" w:sz="4" w:space="0" w:color="FBE5AE" w:themeColor="accent5" w:themeTint="99"/>
        </w:tcBorders>
      </w:tcPr>
    </w:tblStylePr>
    <w:tblStylePr w:type="firstCol">
      <w:rPr>
        <w:b/>
        <w:bCs/>
      </w:rPr>
    </w:tblStylePr>
    <w:tblStylePr w:type="lastCol">
      <w:rPr>
        <w:b/>
        <w:bCs/>
      </w:rPr>
    </w:tblStylePr>
    <w:tblStylePr w:type="band1Vert">
      <w:tblPr/>
      <w:tcPr>
        <w:shd w:val="clear" w:color="auto" w:fill="FDF6E4" w:themeFill="accent5" w:themeFillTint="33"/>
      </w:tcPr>
    </w:tblStylePr>
    <w:tblStylePr w:type="band1Horz">
      <w:tblPr/>
      <w:tcPr>
        <w:shd w:val="clear" w:color="auto" w:fill="FDF6E4" w:themeFill="accent5" w:themeFillTint="33"/>
      </w:tcPr>
    </w:tblStylePr>
  </w:style>
  <w:style w:type="table" w:customStyle="1" w:styleId="Style1">
    <w:name w:val="Style1"/>
    <w:basedOn w:val="TableNormal"/>
    <w:uiPriority w:val="99"/>
    <w:rsid w:val="00547C25"/>
    <w:rPr>
      <w:rFonts w:eastAsia="Times New Roman" w:cs="Times New Roman"/>
      <w:color w:val="000000" w:themeColor="text1"/>
    </w:rPr>
    <w:tblPr>
      <w:tblStyleRowBandSize w:val="1"/>
      <w:tblBorders>
        <w:top w:val="single" w:sz="4" w:space="0" w:color="5FF15F" w:themeColor="accent3" w:themeTint="66"/>
        <w:left w:val="single" w:sz="4" w:space="0" w:color="5FF15F" w:themeColor="accent3" w:themeTint="66"/>
        <w:bottom w:val="single" w:sz="4" w:space="0" w:color="5FF15F" w:themeColor="accent3" w:themeTint="66"/>
        <w:right w:val="single" w:sz="4" w:space="0" w:color="5FF15F" w:themeColor="accent3" w:themeTint="66"/>
        <w:insideH w:val="single" w:sz="4" w:space="0" w:color="5FF15F" w:themeColor="accent3" w:themeTint="66"/>
        <w:insideV w:val="single" w:sz="4" w:space="0" w:color="5FF15F" w:themeColor="accent3" w:themeTint="66"/>
      </w:tblBorders>
    </w:tblPr>
    <w:tblStylePr w:type="firstRow">
      <w:rPr>
        <w:rFonts w:asciiTheme="minorHAnsi" w:hAnsiTheme="minorHAnsi"/>
        <w:b/>
        <w:color w:val="FFFFFF" w:themeColor="background1"/>
        <w:sz w:val="20"/>
      </w:rPr>
      <w:tblPr/>
      <w:tcPr>
        <w:tcBorders>
          <w:top w:val="nil"/>
          <w:left w:val="nil"/>
          <w:bottom w:val="nil"/>
          <w:right w:val="nil"/>
          <w:insideH w:val="single" w:sz="4" w:space="0" w:color="D9DFEA" w:themeColor="background2"/>
          <w:insideV w:val="single" w:sz="4" w:space="0" w:color="D9DFEA" w:themeColor="background2"/>
        </w:tcBorders>
        <w:shd w:val="clear" w:color="auto" w:fill="1A204C" w:themeFill="text2"/>
      </w:tcPr>
    </w:tblStylePr>
    <w:tblStylePr w:type="lastRow">
      <w:tblPr/>
      <w:tcPr>
        <w:shd w:val="clear" w:color="auto" w:fill="C2C6EA" w:themeFill="text2" w:themeFillTint="33"/>
      </w:tcPr>
    </w:tblStylePr>
    <w:tblStylePr w:type="lastCol">
      <w:tblPr/>
      <w:tcPr>
        <w:tcBorders>
          <w:bottom w:val="single" w:sz="4" w:space="0" w:color="5FF15F" w:themeColor="accent3" w:themeTint="66"/>
        </w:tcBorders>
      </w:tcPr>
    </w:tblStylePr>
    <w:tblStylePr w:type="band1Horz">
      <w:rPr>
        <w:rFonts w:asciiTheme="minorHAnsi" w:hAnsiTheme="minorHAnsi"/>
        <w:sz w:val="20"/>
      </w:rPr>
      <w:tblPr/>
      <w:tcPr>
        <w:tcBorders>
          <w:left w:val="nil"/>
          <w:bottom w:val="nil"/>
          <w:right w:val="nil"/>
        </w:tcBorders>
        <w:shd w:val="clear" w:color="auto" w:fill="FFFFFF" w:themeFill="background1"/>
      </w:tcPr>
    </w:tblStylePr>
    <w:tblStylePr w:type="band2Horz">
      <w:rPr>
        <w:rFonts w:asciiTheme="minorHAnsi" w:hAnsiTheme="minorHAnsi"/>
        <w:sz w:val="20"/>
      </w:rPr>
      <w:tblPr/>
      <w:tcPr>
        <w:tcBorders>
          <w:left w:val="nil"/>
          <w:right w:val="nil"/>
        </w:tcBorders>
        <w:shd w:val="clear" w:color="auto" w:fill="C2C6EA" w:themeFill="text2" w:themeFillTint="33"/>
      </w:tcPr>
    </w:tblStylePr>
  </w:style>
  <w:style w:type="character" w:customStyle="1" w:styleId="Heading1Char">
    <w:name w:val="Heading 1 Char"/>
    <w:basedOn w:val="DefaultParagraphFont"/>
    <w:link w:val="Heading1"/>
    <w:uiPriority w:val="9"/>
    <w:rsid w:val="00EA4539"/>
    <w:rPr>
      <w:rFonts w:ascii="Arial" w:hAnsi="Arial" w:cs="Arial"/>
      <w:b/>
      <w:bCs/>
      <w:color w:val="030078"/>
      <w:spacing w:val="-10"/>
      <w:w w:val="110"/>
      <w:kern w:val="0"/>
      <w:sz w:val="46"/>
      <w:szCs w:val="46"/>
    </w:rPr>
  </w:style>
  <w:style w:type="character" w:customStyle="1" w:styleId="Heading2Char">
    <w:name w:val="Heading 2 Char"/>
    <w:basedOn w:val="DefaultParagraphFont"/>
    <w:link w:val="Heading2"/>
    <w:uiPriority w:val="99"/>
    <w:rsid w:val="00344E05"/>
    <w:rPr>
      <w:rFonts w:ascii="Arial" w:hAnsi="Arial" w:cs="Arial"/>
      <w:color w:val="1A204C" w:themeColor="text2"/>
      <w:kern w:val="0"/>
    </w:rPr>
  </w:style>
  <w:style w:type="character" w:customStyle="1" w:styleId="Heading3Char">
    <w:name w:val="Heading 3 Char"/>
    <w:basedOn w:val="DefaultParagraphFont"/>
    <w:link w:val="Heading3"/>
    <w:uiPriority w:val="9"/>
    <w:rsid w:val="00213CA2"/>
    <w:rPr>
      <w:rFonts w:ascii="Arial" w:hAnsi="Arial" w:cs="Arial"/>
      <w:b/>
      <w:bCs/>
      <w:color w:val="000000"/>
      <w:kern w:val="0"/>
      <w:sz w:val="22"/>
      <w:szCs w:val="22"/>
    </w:rPr>
  </w:style>
  <w:style w:type="character" w:customStyle="1" w:styleId="Heading4Char">
    <w:name w:val="Heading 4 Char"/>
    <w:basedOn w:val="DefaultParagraphFont"/>
    <w:link w:val="Heading4"/>
    <w:uiPriority w:val="9"/>
    <w:rsid w:val="0037086B"/>
    <w:rPr>
      <w:rFonts w:eastAsiaTheme="majorEastAsia" w:cstheme="majorBidi"/>
      <w:b/>
      <w:bCs/>
      <w:i/>
      <w:iCs/>
      <w:color w:val="000000" w:themeColor="text1"/>
      <w:kern w:val="0"/>
      <w:sz w:val="20"/>
      <w:szCs w:val="20"/>
    </w:rPr>
  </w:style>
  <w:style w:type="character" w:customStyle="1" w:styleId="Heading5Char">
    <w:name w:val="Heading 5 Char"/>
    <w:basedOn w:val="DefaultParagraphFont"/>
    <w:link w:val="Heading5"/>
    <w:uiPriority w:val="9"/>
    <w:rsid w:val="00050395"/>
    <w:rPr>
      <w:rFonts w:eastAsiaTheme="majorEastAsia" w:cstheme="majorBidi"/>
      <w:color w:val="182F73" w:themeColor="accent1" w:themeShade="BF"/>
    </w:rPr>
  </w:style>
  <w:style w:type="character" w:customStyle="1" w:styleId="Heading6Char">
    <w:name w:val="Heading 6 Char"/>
    <w:basedOn w:val="DefaultParagraphFont"/>
    <w:link w:val="Heading6"/>
    <w:uiPriority w:val="9"/>
    <w:semiHidden/>
    <w:rsid w:val="000503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03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03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0395"/>
    <w:rPr>
      <w:rFonts w:eastAsiaTheme="majorEastAsia" w:cstheme="majorBidi"/>
      <w:color w:val="272727" w:themeColor="text1" w:themeTint="D8"/>
    </w:rPr>
  </w:style>
  <w:style w:type="character" w:customStyle="1" w:styleId="TitleChar">
    <w:name w:val="Title Char"/>
    <w:basedOn w:val="DefaultParagraphFont"/>
    <w:link w:val="Title"/>
    <w:uiPriority w:val="99"/>
    <w:rsid w:val="005752FB"/>
    <w:rPr>
      <w:rFonts w:ascii="Arial" w:hAnsi="Arial" w:cs="Arial"/>
      <w:b/>
      <w:bCs/>
      <w:color w:val="030078"/>
      <w:spacing w:val="-10"/>
      <w:w w:val="110"/>
      <w:kern w:val="0"/>
      <w:sz w:val="66"/>
      <w:szCs w:val="66"/>
    </w:rPr>
  </w:style>
  <w:style w:type="character" w:customStyle="1" w:styleId="SubtitleChar">
    <w:name w:val="Subtitle Char"/>
    <w:basedOn w:val="DefaultParagraphFont"/>
    <w:link w:val="Subtitle"/>
    <w:uiPriority w:val="11"/>
    <w:rsid w:val="00050395"/>
    <w:rPr>
      <w:rFonts w:ascii="Arial" w:hAnsi="Arial" w:cs="Arial"/>
      <w:b/>
      <w:bCs/>
      <w:color w:val="08599C"/>
      <w:kern w:val="0"/>
      <w:sz w:val="30"/>
      <w:szCs w:val="30"/>
    </w:rPr>
  </w:style>
  <w:style w:type="paragraph" w:styleId="Quote">
    <w:name w:val="Quote"/>
    <w:basedOn w:val="Normal"/>
    <w:next w:val="Normal"/>
    <w:link w:val="QuoteChar"/>
    <w:uiPriority w:val="29"/>
    <w:qFormat/>
    <w:rsid w:val="00446B87"/>
    <w:pPr>
      <w:spacing w:before="160" w:after="160" w:line="380" w:lineRule="atLeast"/>
      <w:jc w:val="center"/>
    </w:pPr>
    <w:rPr>
      <w:color w:val="21409A" w:themeColor="accent1"/>
      <w:sz w:val="30"/>
      <w:szCs w:val="30"/>
    </w:rPr>
  </w:style>
  <w:style w:type="character" w:customStyle="1" w:styleId="QuoteChar">
    <w:name w:val="Quote Char"/>
    <w:basedOn w:val="DefaultParagraphFont"/>
    <w:link w:val="Quote"/>
    <w:uiPriority w:val="29"/>
    <w:rsid w:val="00446B87"/>
    <w:rPr>
      <w:rFonts w:cstheme="minorHAnsi"/>
      <w:color w:val="21409A" w:themeColor="accent1"/>
      <w:kern w:val="0"/>
      <w:sz w:val="30"/>
      <w:szCs w:val="30"/>
    </w:rPr>
  </w:style>
  <w:style w:type="paragraph" w:styleId="ListParagraph">
    <w:name w:val="List Paragraph"/>
    <w:basedOn w:val="Normal"/>
    <w:uiPriority w:val="34"/>
    <w:qFormat/>
    <w:rsid w:val="00050395"/>
    <w:pPr>
      <w:ind w:left="720"/>
      <w:contextualSpacing/>
    </w:pPr>
  </w:style>
  <w:style w:type="character" w:styleId="IntenseEmphasis">
    <w:name w:val="Intense Emphasis"/>
    <w:basedOn w:val="DefaultParagraphFont"/>
    <w:uiPriority w:val="21"/>
    <w:qFormat/>
    <w:rsid w:val="00050395"/>
    <w:rPr>
      <w:i/>
      <w:iCs/>
      <w:color w:val="182F73" w:themeColor="accent1" w:themeShade="BF"/>
    </w:rPr>
  </w:style>
  <w:style w:type="paragraph" w:styleId="IntenseQuote">
    <w:name w:val="Intense Quote"/>
    <w:basedOn w:val="Normal"/>
    <w:next w:val="Normal"/>
    <w:link w:val="IntenseQuoteChar"/>
    <w:uiPriority w:val="30"/>
    <w:qFormat/>
    <w:rsid w:val="00050395"/>
    <w:pPr>
      <w:pBdr>
        <w:top w:val="single" w:sz="4" w:space="10" w:color="182F73" w:themeColor="accent1" w:themeShade="BF"/>
        <w:bottom w:val="single" w:sz="4" w:space="10" w:color="182F73" w:themeColor="accent1" w:themeShade="BF"/>
      </w:pBdr>
      <w:spacing w:before="360" w:after="360"/>
      <w:ind w:left="864" w:right="864"/>
      <w:jc w:val="center"/>
    </w:pPr>
    <w:rPr>
      <w:i/>
      <w:iCs/>
      <w:color w:val="182F73" w:themeColor="accent1" w:themeShade="BF"/>
    </w:rPr>
  </w:style>
  <w:style w:type="character" w:customStyle="1" w:styleId="IntenseQuoteChar">
    <w:name w:val="Intense Quote Char"/>
    <w:basedOn w:val="DefaultParagraphFont"/>
    <w:link w:val="IntenseQuote"/>
    <w:uiPriority w:val="30"/>
    <w:rsid w:val="00050395"/>
    <w:rPr>
      <w:i/>
      <w:iCs/>
      <w:color w:val="182F73" w:themeColor="accent1" w:themeShade="BF"/>
    </w:rPr>
  </w:style>
  <w:style w:type="character" w:styleId="IntenseReference">
    <w:name w:val="Intense Reference"/>
    <w:basedOn w:val="DefaultParagraphFont"/>
    <w:uiPriority w:val="32"/>
    <w:qFormat/>
    <w:rsid w:val="00050395"/>
    <w:rPr>
      <w:b/>
      <w:bCs/>
      <w:smallCaps/>
      <w:color w:val="182F73" w:themeColor="accent1" w:themeShade="BF"/>
      <w:spacing w:val="5"/>
    </w:rPr>
  </w:style>
  <w:style w:type="paragraph" w:styleId="Header">
    <w:name w:val="header"/>
    <w:basedOn w:val="Normal"/>
    <w:link w:val="HeaderChar"/>
    <w:uiPriority w:val="99"/>
    <w:unhideWhenUsed/>
    <w:rsid w:val="0037086B"/>
    <w:pPr>
      <w:tabs>
        <w:tab w:val="center" w:pos="4680"/>
        <w:tab w:val="right" w:pos="9360"/>
      </w:tabs>
    </w:pPr>
    <w:rPr>
      <w:sz w:val="18"/>
    </w:rPr>
  </w:style>
  <w:style w:type="character" w:customStyle="1" w:styleId="HeaderChar">
    <w:name w:val="Header Char"/>
    <w:basedOn w:val="DefaultParagraphFont"/>
    <w:link w:val="Header"/>
    <w:uiPriority w:val="99"/>
    <w:rsid w:val="0037086B"/>
    <w:rPr>
      <w:rFonts w:cstheme="minorHAnsi"/>
      <w:color w:val="000000" w:themeColor="text1"/>
      <w:kern w:val="0"/>
      <w:sz w:val="18"/>
      <w:szCs w:val="20"/>
    </w:rPr>
  </w:style>
  <w:style w:type="paragraph" w:styleId="Footer">
    <w:name w:val="footer"/>
    <w:basedOn w:val="Normal"/>
    <w:link w:val="FooterChar"/>
    <w:uiPriority w:val="99"/>
    <w:unhideWhenUsed/>
    <w:rsid w:val="008C48DB"/>
    <w:pPr>
      <w:tabs>
        <w:tab w:val="center" w:pos="4680"/>
        <w:tab w:val="right" w:pos="9360"/>
      </w:tabs>
    </w:pPr>
    <w:rPr>
      <w:sz w:val="18"/>
      <w:szCs w:val="18"/>
    </w:rPr>
  </w:style>
  <w:style w:type="character" w:customStyle="1" w:styleId="FooterChar">
    <w:name w:val="Footer Char"/>
    <w:basedOn w:val="DefaultParagraphFont"/>
    <w:link w:val="Footer"/>
    <w:uiPriority w:val="99"/>
    <w:rsid w:val="008C48DB"/>
    <w:rPr>
      <w:rFonts w:cstheme="minorHAnsi"/>
      <w:color w:val="000000" w:themeColor="text1"/>
      <w:kern w:val="0"/>
      <w:sz w:val="18"/>
      <w:szCs w:val="18"/>
    </w:rPr>
  </w:style>
  <w:style w:type="paragraph" w:customStyle="1" w:styleId="BasicParagraph">
    <w:name w:val="[Basic Paragraph]"/>
    <w:basedOn w:val="Normal"/>
    <w:uiPriority w:val="99"/>
    <w:rsid w:val="00050395"/>
    <w:pPr>
      <w:spacing w:line="288" w:lineRule="auto"/>
    </w:pPr>
    <w:rPr>
      <w:rFonts w:ascii="Minion Pro" w:hAnsi="Minion Pro" w:cs="Minion Pro"/>
      <w:color w:val="000000"/>
    </w:rPr>
  </w:style>
  <w:style w:type="paragraph" w:styleId="BodyText">
    <w:name w:val="Body Text"/>
    <w:basedOn w:val="Normal"/>
    <w:link w:val="BodyTextChar"/>
    <w:uiPriority w:val="99"/>
    <w:rsid w:val="007A1246"/>
    <w:rPr>
      <w:rFonts w:ascii="Figtree" w:hAnsi="Figtree" w:cs="Figtree"/>
      <w:color w:val="000000"/>
    </w:rPr>
  </w:style>
  <w:style w:type="character" w:customStyle="1" w:styleId="BodyTextChar">
    <w:name w:val="Body Text Char"/>
    <w:basedOn w:val="DefaultParagraphFont"/>
    <w:link w:val="BodyText"/>
    <w:uiPriority w:val="99"/>
    <w:rsid w:val="007A1246"/>
    <w:rPr>
      <w:rFonts w:ascii="Figtree" w:hAnsi="Figtree" w:cs="Figtree"/>
      <w:color w:val="000000"/>
      <w:kern w:val="0"/>
      <w:sz w:val="20"/>
      <w:szCs w:val="20"/>
    </w:rPr>
  </w:style>
  <w:style w:type="character" w:styleId="PageNumber">
    <w:name w:val="page number"/>
    <w:basedOn w:val="DefaultParagraphFont"/>
    <w:uiPriority w:val="99"/>
    <w:semiHidden/>
    <w:unhideWhenUsed/>
    <w:rsid w:val="005752FB"/>
  </w:style>
  <w:style w:type="paragraph" w:customStyle="1" w:styleId="H2">
    <w:name w:val="H2"/>
    <w:basedOn w:val="Normal"/>
    <w:uiPriority w:val="99"/>
    <w:rsid w:val="00344E05"/>
    <w:pPr>
      <w:keepNext/>
      <w:spacing w:before="144" w:after="50"/>
      <w:jc w:val="left"/>
    </w:pPr>
    <w:rPr>
      <w:rFonts w:ascii="Figtree" w:hAnsi="Figtree" w:cs="Figtree"/>
      <w:b/>
      <w:bCs/>
      <w:sz w:val="22"/>
      <w:szCs w:val="22"/>
    </w:rPr>
  </w:style>
  <w:style w:type="paragraph" w:customStyle="1" w:styleId="1stLevelBullet">
    <w:name w:val="1st Level Bullet"/>
    <w:qFormat/>
    <w:rsid w:val="00EA4539"/>
    <w:pPr>
      <w:numPr>
        <w:numId w:val="2"/>
      </w:numPr>
      <w:spacing w:after="120" w:line="260" w:lineRule="exact"/>
    </w:pPr>
    <w:rPr>
      <w:rFonts w:eastAsia="Times" w:cstheme="minorHAnsi"/>
    </w:rPr>
  </w:style>
  <w:style w:type="paragraph" w:customStyle="1" w:styleId="2ndLevelBullet">
    <w:name w:val="2nd Level Bullet"/>
    <w:link w:val="2ndLevelBulletChar"/>
    <w:qFormat/>
    <w:rsid w:val="00EA4539"/>
    <w:pPr>
      <w:numPr>
        <w:numId w:val="1"/>
      </w:numPr>
      <w:spacing w:after="120" w:line="260" w:lineRule="exact"/>
    </w:pPr>
    <w:rPr>
      <w:rFonts w:eastAsia="Times" w:cstheme="minorHAnsi"/>
      <w:color w:val="000000" w:themeColor="text1"/>
    </w:rPr>
  </w:style>
  <w:style w:type="character" w:customStyle="1" w:styleId="2ndLevelBulletChar">
    <w:name w:val="2nd Level Bullet Char"/>
    <w:basedOn w:val="DefaultParagraphFont"/>
    <w:link w:val="2ndLevelBullet"/>
    <w:rsid w:val="00EA4539"/>
    <w:rPr>
      <w:rFonts w:eastAsia="Times" w:cstheme="minorHAnsi"/>
      <w:color w:val="000000" w:themeColor="text1"/>
      <w:kern w:val="0"/>
      <w:sz w:val="20"/>
      <w:szCs w:val="20"/>
    </w:rPr>
  </w:style>
  <w:style w:type="paragraph" w:customStyle="1" w:styleId="3rdLevelBullet">
    <w:name w:val="3rd Level Bullet"/>
    <w:qFormat/>
    <w:rsid w:val="00EA4539"/>
    <w:pPr>
      <w:numPr>
        <w:numId w:val="3"/>
      </w:numPr>
      <w:spacing w:after="120" w:line="260" w:lineRule="exact"/>
      <w:ind w:left="1066" w:hanging="274"/>
    </w:pPr>
    <w:rPr>
      <w:rFonts w:eastAsia="Times" w:cstheme="minorHAnsi"/>
    </w:rPr>
  </w:style>
  <w:style w:type="numbering" w:customStyle="1" w:styleId="CurrentList1">
    <w:name w:val="Current List1"/>
    <w:uiPriority w:val="99"/>
    <w:rsid w:val="00B70F7C"/>
  </w:style>
  <w:style w:type="character" w:styleId="Hyperlink">
    <w:name w:val="Hyperlink"/>
    <w:basedOn w:val="DefaultParagraphFont"/>
    <w:uiPriority w:val="99"/>
    <w:unhideWhenUsed/>
    <w:rsid w:val="0037086B"/>
    <w:rPr>
      <w:color w:val="085A9B" w:themeColor="hyperlink"/>
      <w:u w:val="single"/>
    </w:rPr>
  </w:style>
  <w:style w:type="paragraph" w:customStyle="1" w:styleId="TableHeading">
    <w:name w:val="Table Heading"/>
    <w:basedOn w:val="Normal"/>
    <w:qFormat/>
    <w:rsid w:val="00205F93"/>
    <w:pPr>
      <w:spacing w:line="240" w:lineRule="exact"/>
    </w:pPr>
    <w:rPr>
      <w:rFonts w:eastAsia="Calibri" w:cs="Calibri"/>
      <w:b/>
      <w:bCs/>
      <w:color w:val="FFFFFF" w:themeColor="background1"/>
      <w:szCs w:val="18"/>
    </w:rPr>
  </w:style>
  <w:style w:type="paragraph" w:customStyle="1" w:styleId="Tablebody">
    <w:name w:val="Table body"/>
    <w:basedOn w:val="Normal"/>
    <w:qFormat/>
    <w:rsid w:val="00205F93"/>
    <w:pPr>
      <w:widowControl w:val="0"/>
      <w:pBdr>
        <w:top w:val="nil"/>
        <w:left w:val="nil"/>
        <w:bottom w:val="nil"/>
        <w:right w:val="nil"/>
        <w:between w:val="nil"/>
      </w:pBdr>
      <w:spacing w:line="240" w:lineRule="exact"/>
    </w:pPr>
    <w:rPr>
      <w:rFonts w:eastAsia="Calibri" w:cs="Calibri"/>
      <w:sz w:val="18"/>
      <w:szCs w:val="18"/>
    </w:rPr>
  </w:style>
  <w:style w:type="table" w:styleId="TableGridLight">
    <w:name w:val="Grid Table Light"/>
    <w:basedOn w:val="TableNormal"/>
    <w:uiPriority w:val="40"/>
    <w:rsid w:val="00205F93"/>
    <w:rPr>
      <w:sz w:val="22"/>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BCDFFB" w:themeFill="accent2" w:themeFillTint="33"/>
      <w:vAlign w:val="center"/>
    </w:tcPr>
    <w:tblStylePr w:type="firstRow">
      <w:rPr>
        <w:color w:val="FFFFFF" w:themeColor="background1"/>
      </w:rPr>
      <w:tblPr/>
      <w:tcPr>
        <w:tcBorders>
          <w:bottom w:val="nil"/>
        </w:tcBorders>
        <w:shd w:val="clear" w:color="auto" w:fill="21409A" w:themeFill="accent1"/>
      </w:tcPr>
    </w:tblStylePr>
    <w:tblStylePr w:type="band1Horz">
      <w:tblPr/>
      <w:tcPr>
        <w:shd w:val="clear" w:color="auto" w:fill="BCDFFB" w:themeFill="accent2" w:themeFillTint="33"/>
      </w:tcPr>
    </w:tblStylePr>
    <w:tblStylePr w:type="band2Horz">
      <w:rPr>
        <w:color w:val="000000" w:themeColor="text1"/>
      </w:rPr>
      <w:tblPr/>
      <w:tcPr>
        <w:shd w:val="clear" w:color="auto" w:fill="FFFFFF" w:themeFill="background1"/>
      </w:tcPr>
    </w:tblStylePr>
  </w:style>
  <w:style w:type="paragraph" w:customStyle="1" w:styleId="Callout">
    <w:name w:val="Callout"/>
    <w:basedOn w:val="Normal"/>
    <w:qFormat/>
    <w:rsid w:val="00C523C5"/>
    <w:pPr>
      <w:spacing w:line="360" w:lineRule="atLeast"/>
      <w:jc w:val="left"/>
    </w:pPr>
    <w:rPr>
      <w:color w:val="21409A" w:themeColor="accent1"/>
      <w:sz w:val="24"/>
      <w:szCs w:val="24"/>
    </w:rPr>
  </w:style>
  <w:style w:type="paragraph" w:styleId="TOC1">
    <w:name w:val="toc 1"/>
    <w:basedOn w:val="Normal"/>
    <w:next w:val="Normal"/>
    <w:autoRedefine/>
    <w:uiPriority w:val="39"/>
    <w:unhideWhenUsed/>
    <w:rsid w:val="00167815"/>
    <w:pPr>
      <w:spacing w:after="100"/>
    </w:pPr>
  </w:style>
  <w:style w:type="paragraph" w:styleId="TableofFigures">
    <w:name w:val="table of figures"/>
    <w:aliases w:val="List of Tables"/>
    <w:basedOn w:val="Normal"/>
    <w:next w:val="Normal"/>
    <w:uiPriority w:val="99"/>
    <w:rsid w:val="00167815"/>
    <w:pPr>
      <w:widowControl w:val="0"/>
      <w:tabs>
        <w:tab w:val="right" w:leader="dot" w:pos="9270"/>
      </w:tabs>
      <w:spacing w:before="160" w:after="40" w:line="260" w:lineRule="exact"/>
      <w:ind w:left="360" w:hanging="360"/>
      <w:jc w:val="left"/>
      <w:outlineLvl w:val="0"/>
    </w:pPr>
    <w:rPr>
      <w:rFonts w:eastAsia="Times"/>
      <w:kern w:val="28"/>
    </w:rPr>
  </w:style>
  <w:style w:type="paragraph" w:customStyle="1" w:styleId="OPBullet01">
    <w:name w:val="OP_Bullet_01"/>
    <w:qFormat/>
    <w:rsid w:val="00167815"/>
    <w:pPr>
      <w:tabs>
        <w:tab w:val="num" w:pos="720"/>
      </w:tabs>
      <w:spacing w:after="120" w:line="250" w:lineRule="exact"/>
      <w:ind w:left="504" w:hanging="288"/>
    </w:pPr>
    <w:rPr>
      <w:rFonts w:ascii="Times New Roman" w:eastAsia="Times" w:hAnsi="Times New Roman" w:cs="Times New Roman"/>
      <w:sz w:val="21"/>
    </w:rPr>
  </w:style>
  <w:style w:type="paragraph" w:customStyle="1" w:styleId="FigureCaption">
    <w:name w:val="Figure Caption"/>
    <w:basedOn w:val="Normal"/>
    <w:next w:val="Normal"/>
    <w:qFormat/>
    <w:rsid w:val="00167815"/>
    <w:pPr>
      <w:spacing w:before="120" w:after="120" w:line="240" w:lineRule="exact"/>
      <w:jc w:val="center"/>
    </w:pPr>
    <w:rPr>
      <w:rFonts w:eastAsia="Times New Roman" w:cs="Times New Roman"/>
      <w:color w:val="21409A" w:themeColor="accent1"/>
      <w:sz w:val="18"/>
    </w:rPr>
  </w:style>
  <w:style w:type="character" w:styleId="CommentReference">
    <w:name w:val="annotation reference"/>
    <w:basedOn w:val="DefaultParagraphFont"/>
    <w:uiPriority w:val="99"/>
    <w:semiHidden/>
    <w:unhideWhenUsed/>
    <w:rsid w:val="00792BCD"/>
    <w:rPr>
      <w:sz w:val="16"/>
      <w:szCs w:val="16"/>
    </w:rPr>
  </w:style>
  <w:style w:type="paragraph" w:styleId="CommentText">
    <w:name w:val="annotation text"/>
    <w:basedOn w:val="Normal"/>
    <w:link w:val="CommentTextChar"/>
    <w:uiPriority w:val="99"/>
    <w:unhideWhenUsed/>
    <w:rsid w:val="00792BCD"/>
    <w:pPr>
      <w:spacing w:after="200"/>
      <w:jc w:val="left"/>
    </w:pPr>
    <w:rPr>
      <w:rFonts w:ascii="Calibri" w:eastAsia="Calibri" w:hAnsi="Calibri" w:cs="Times New Roman"/>
    </w:rPr>
  </w:style>
  <w:style w:type="character" w:customStyle="1" w:styleId="CommentTextChar">
    <w:name w:val="Comment Text Char"/>
    <w:basedOn w:val="DefaultParagraphFont"/>
    <w:link w:val="CommentText"/>
    <w:uiPriority w:val="99"/>
    <w:rsid w:val="00792BCD"/>
    <w:rPr>
      <w:rFonts w:ascii="Calibri" w:eastAsia="Calibri" w:hAnsi="Calibri" w:cs="Times New Roman"/>
      <w:kern w:val="0"/>
      <w:sz w:val="20"/>
      <w:szCs w:val="20"/>
    </w:rPr>
  </w:style>
  <w:style w:type="paragraph" w:styleId="Revision">
    <w:name w:val="Revision"/>
    <w:hidden/>
    <w:uiPriority w:val="99"/>
    <w:semiHidden/>
    <w:rsid w:val="00225771"/>
    <w:rPr>
      <w:rFonts w:cstheme="minorHAnsi"/>
      <w:color w:val="000000" w:themeColor="text1"/>
    </w:rPr>
  </w:style>
  <w:style w:type="paragraph" w:styleId="CommentSubject">
    <w:name w:val="annotation subject"/>
    <w:basedOn w:val="CommentText"/>
    <w:next w:val="CommentText"/>
    <w:link w:val="CommentSubjectChar"/>
    <w:uiPriority w:val="99"/>
    <w:semiHidden/>
    <w:unhideWhenUsed/>
    <w:rsid w:val="00E47364"/>
    <w:pPr>
      <w:suppressAutoHyphens/>
      <w:autoSpaceDE w:val="0"/>
      <w:autoSpaceDN w:val="0"/>
      <w:adjustRightInd w:val="0"/>
      <w:spacing w:after="0"/>
      <w:jc w:val="both"/>
      <w:textAlignment w:val="center"/>
    </w:pPr>
    <w:rPr>
      <w:rFonts w:asciiTheme="minorHAnsi" w:eastAsiaTheme="minorHAnsi" w:hAnsiTheme="minorHAnsi" w:cstheme="minorHAnsi"/>
      <w:b/>
      <w:bCs/>
      <w:color w:val="000000" w:themeColor="text1"/>
    </w:rPr>
  </w:style>
  <w:style w:type="character" w:customStyle="1" w:styleId="CommentSubjectChar">
    <w:name w:val="Comment Subject Char"/>
    <w:basedOn w:val="CommentTextChar"/>
    <w:link w:val="CommentSubject"/>
    <w:uiPriority w:val="99"/>
    <w:semiHidden/>
    <w:rsid w:val="00E47364"/>
    <w:rPr>
      <w:rFonts w:ascii="Calibri" w:eastAsia="Calibri" w:hAnsi="Calibri" w:cstheme="minorHAnsi"/>
      <w:b/>
      <w:bCs/>
      <w:color w:val="000000" w:themeColor="text1"/>
      <w:kern w:val="0"/>
      <w:sz w:val="20"/>
      <w:szCs w:val="20"/>
    </w:rPr>
  </w:style>
  <w:style w:type="paragraph" w:styleId="BalloonText">
    <w:name w:val="Balloon Text"/>
    <w:basedOn w:val="Normal"/>
    <w:link w:val="BalloonTextChar"/>
    <w:uiPriority w:val="99"/>
    <w:semiHidden/>
    <w:unhideWhenUsed/>
    <w:rsid w:val="000D522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5220"/>
    <w:rPr>
      <w:rFonts w:ascii="Segoe UI" w:hAnsi="Segoe UI" w:cs="Segoe UI"/>
      <w:color w:val="000000" w:themeColor="text1"/>
      <w:kern w:val="0"/>
      <w:sz w:val="18"/>
      <w:szCs w:val="18"/>
    </w:rPr>
  </w:style>
  <w:style w:type="paragraph" w:styleId="Subtitle">
    <w:name w:val="Subtitle"/>
    <w:basedOn w:val="Normal"/>
    <w:next w:val="Normal"/>
    <w:link w:val="SubtitleChar"/>
    <w:uiPriority w:val="11"/>
    <w:qFormat/>
    <w:pPr>
      <w:spacing w:line="288" w:lineRule="auto"/>
    </w:pPr>
    <w:rPr>
      <w:b/>
      <w:color w:val="08599C"/>
      <w:sz w:val="30"/>
      <w:szCs w:val="30"/>
    </w:rPr>
  </w:style>
  <w:style w:type="character" w:styleId="UnresolvedMention">
    <w:name w:val="Unresolved Mention"/>
    <w:basedOn w:val="DefaultParagraphFont"/>
    <w:uiPriority w:val="99"/>
    <w:semiHidden/>
    <w:unhideWhenUsed/>
    <w:rsid w:val="000B4671"/>
    <w:rPr>
      <w:color w:val="605E5C"/>
      <w:shd w:val="clear" w:color="auto" w:fill="E1DFDD"/>
    </w:rPr>
  </w:style>
  <w:style w:type="paragraph" w:customStyle="1" w:styleId="CMEI-right-aligned-text">
    <w:name w:val="CMEI-right-aligned-text"/>
    <w:basedOn w:val="Normal"/>
    <w:qFormat/>
    <w:rsid w:val="003D5691"/>
    <w:pPr>
      <w:keepNext/>
      <w:autoSpaceDE w:val="0"/>
      <w:autoSpaceDN w:val="0"/>
      <w:adjustRightInd w:val="0"/>
      <w:spacing w:before="120" w:after="120" w:line="240" w:lineRule="exact"/>
      <w:jc w:val="right"/>
    </w:pPr>
    <w:rPr>
      <w:rFonts w:eastAsia="Times" w:cs="Times New Roman"/>
      <w:bCs/>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energy.gov/cmei/femp/femp-assistance-request-porta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OE-Theme-2025">
  <a:themeElements>
    <a:clrScheme name="EERE-DOE-2025">
      <a:dk1>
        <a:srgbClr val="000000"/>
      </a:dk1>
      <a:lt1>
        <a:srgbClr val="FFFFFF"/>
      </a:lt1>
      <a:dk2>
        <a:srgbClr val="1A204C"/>
      </a:dk2>
      <a:lt2>
        <a:srgbClr val="D9DFEA"/>
      </a:lt2>
      <a:accent1>
        <a:srgbClr val="21409A"/>
      </a:accent1>
      <a:accent2>
        <a:srgbClr val="085A9B"/>
      </a:accent2>
      <a:accent3>
        <a:srgbClr val="064606"/>
      </a:accent3>
      <a:accent4>
        <a:srgbClr val="1D772A"/>
      </a:accent4>
      <a:accent5>
        <a:srgbClr val="F9D57A"/>
      </a:accent5>
      <a:accent6>
        <a:srgbClr val="FAA449"/>
      </a:accent6>
      <a:hlink>
        <a:srgbClr val="085A9B"/>
      </a:hlink>
      <a:folHlink>
        <a:srgbClr val="085A9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lgiBVAbCfMGpHTBv0fOlDNN6Kg==">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</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4c53f4f-2910-4f9f-94e4-5084d2491822">
      <Terms xmlns="http://schemas.microsoft.com/office/infopath/2007/PartnerControls"/>
    </lcf76f155ced4ddcb4097134ff3c332f>
    <Image xmlns="44c53f4f-2910-4f9f-94e4-5084d249182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A23182A3FE66C04093CEEDF2A87E6EEA" ma:contentTypeVersion="13" ma:contentTypeDescription="Create a new document." ma:contentTypeScope="" ma:versionID="0ace89983c5c464edf65df83bbfd885a">
  <xsd:schema xmlns:xsd="http://www.w3.org/2001/XMLSchema" xmlns:xs="http://www.w3.org/2001/XMLSchema" xmlns:p="http://schemas.microsoft.com/office/2006/metadata/properties" xmlns:ns2="44c53f4f-2910-4f9f-94e4-5084d2491822" targetNamespace="http://schemas.microsoft.com/office/2006/metadata/properties" ma:root="true" ma:fieldsID="51f10c54e135a668ecad564196d4752e" ns2:_="">
    <xsd:import namespace="44c53f4f-2910-4f9f-94e4-5084d24918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c53f4f-2910-4f9f-94e4-5084d24918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6d46bd7-4a58-4bc0-a217-7245e6e7041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Image" ma:index="20" nillable="true" ma:displayName="Image" ma:format="Thumbnail" ma:internalName="Imag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99F09AC-BA98-469B-A1D6-63F3942E3DB0}">
  <ds:schemaRefs>
    <ds:schemaRef ds:uri="http://schemas.microsoft.com/office/2006/metadata/properties"/>
    <ds:schemaRef ds:uri="http://schemas.microsoft.com/office/infopath/2007/PartnerControls"/>
    <ds:schemaRef ds:uri="44c53f4f-2910-4f9f-94e4-5084d2491822"/>
  </ds:schemaRefs>
</ds:datastoreItem>
</file>

<file path=customXml/itemProps3.xml><?xml version="1.0" encoding="utf-8"?>
<ds:datastoreItem xmlns:ds="http://schemas.openxmlformats.org/officeDocument/2006/customXml" ds:itemID="{DBD16915-5D2C-4692-8F05-6F817A2039D0}">
  <ds:schemaRefs>
    <ds:schemaRef ds:uri="http://schemas.microsoft.com/sharepoint/v3/contenttype/forms"/>
  </ds:schemaRefs>
</ds:datastoreItem>
</file>

<file path=customXml/itemProps4.xml><?xml version="1.0" encoding="utf-8"?>
<ds:datastoreItem xmlns:ds="http://schemas.openxmlformats.org/officeDocument/2006/customXml" ds:itemID="{743FFDFA-743B-4BA3-AB99-8950C5519728}">
  <ds:schemaRefs>
    <ds:schemaRef ds:uri="http://schemas.openxmlformats.org/officeDocument/2006/bibliography"/>
  </ds:schemaRefs>
</ds:datastoreItem>
</file>

<file path=customXml/itemProps5.xml><?xml version="1.0" encoding="utf-8"?>
<ds:datastoreItem xmlns:ds="http://schemas.openxmlformats.org/officeDocument/2006/customXml" ds:itemID="{F9AEE953-72A7-4EA1-8830-6DFCC28F3C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c53f4f-2910-4f9f-94e4-5084d2491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5965d95-ecc0-4720-b759-1f33c42ed7da}" enabled="1" method="Standard" siteId="{a0f29d7e-28cd-4f54-8442-7885aee7c080}"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697</Words>
  <Characters>3973</Characters>
  <Application>Microsoft Office Word</Application>
  <DocSecurity>0</DocSecurity>
  <Lines>33</Lines>
  <Paragraphs>9</Paragraphs>
  <ScaleCrop>false</ScaleCrop>
  <Company>DOE Federal Energy Management Program</Company>
  <LinksUpToDate>false</LinksUpToDate>
  <CharactersWithSpaces>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FEMP Technical Assistance Scope of Work: Demand Flexibility Analysis</dc:title>
  <dc:subject>This Scope of Work is meant to be used as an example. It may be further customized based on initial discussions with the requesting agency/facility.</dc:subject>
  <dc:creator>Gingrich, Jeffrey</dc:creator>
  <cp:lastModifiedBy>Nelson, Kimberly</cp:lastModifiedBy>
  <cp:revision>27</cp:revision>
  <cp:lastPrinted>2025-09-05T18:40:00Z</cp:lastPrinted>
  <dcterms:created xsi:type="dcterms:W3CDTF">2025-09-08T17:14:00Z</dcterms:created>
  <dcterms:modified xsi:type="dcterms:W3CDTF">2026-09-21T18:05:00Z</dcterms:modified>
  <cp:contentStatus>September 2025</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0x010100A23182A3FE66C04093CEEDF2A87E6EEA</vt:lpwstr>
  </property>
  <property fmtid="{D5CDD505-2E9C-101B-9397-08002B2CF9AE}" pid="3" name="MediaServiceImageTags">
    <vt:lpwstr/>
  </property>
</Properties>
</file>