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76A1" w14:textId="77777777" w:rsidR="00356DCF" w:rsidRPr="0032730B" w:rsidRDefault="00356DCF" w:rsidP="00356DC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473F33A" w14:textId="77777777" w:rsidR="00356DCF" w:rsidRPr="0032730B" w:rsidRDefault="00356DCF" w:rsidP="00356D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Review Checklist for Subscriptions and </w:t>
      </w:r>
      <w:r w:rsidRPr="0053218D">
        <w:rPr>
          <w:rFonts w:ascii="Times New Roman" w:hAnsi="Times New Roman" w:cs="Times New Roman"/>
          <w:b/>
          <w:bCs/>
          <w:sz w:val="32"/>
          <w:szCs w:val="32"/>
        </w:rPr>
        <w:t>Commercial Supplier License Agreements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(“Agreements”)</w:t>
      </w:r>
    </w:p>
    <w:p w14:paraId="5F46D1E8" w14:textId="77777777" w:rsidR="00356DCF" w:rsidRPr="0032730B" w:rsidRDefault="00356DCF" w:rsidP="00356D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EFA951" w14:textId="1A430146" w:rsidR="00356DCF" w:rsidRPr="00356DCF" w:rsidRDefault="00356DCF" w:rsidP="00356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DCF">
        <w:rPr>
          <w:rFonts w:ascii="Times New Roman" w:hAnsi="Times New Roman" w:cs="Times New Roman"/>
          <w:bCs/>
          <w:sz w:val="24"/>
          <w:szCs w:val="24"/>
        </w:rPr>
        <w:t xml:space="preserve">DISCLAIMER:  EVERY AGREEMENT IS UNIQUE SO THE </w:t>
      </w:r>
      <w:r w:rsidR="00E266AE">
        <w:rPr>
          <w:rFonts w:ascii="Times New Roman" w:hAnsi="Times New Roman" w:cs="Times New Roman"/>
          <w:bCs/>
          <w:sz w:val="24"/>
          <w:szCs w:val="24"/>
        </w:rPr>
        <w:t>CONTRACTING OFFICER</w:t>
      </w:r>
      <w:r w:rsidR="00E266AE" w:rsidRPr="00356D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6DCF">
        <w:rPr>
          <w:rFonts w:ascii="Times New Roman" w:hAnsi="Times New Roman" w:cs="Times New Roman"/>
          <w:bCs/>
          <w:sz w:val="24"/>
          <w:szCs w:val="24"/>
        </w:rPr>
        <w:t>AND/OR CONTRACT SPECIALIST MUST CAREFULLY READ ALL AGREEMENT PROVISIONS/CLAUSES.  THIS CHECKLIST IS INTENDED FOR COMMERCIAL AGREEMENTS WHERE DOE IS RECEIVING THIRD PARTY DATA COMPILED BY VENDORS OR AGREEMENTS FOR COMMERCIAL OFF-THE-SHELF (COTS) SOFTWARE.  THIS CHECKLIST MAY NOT BE APPROPRIATE FOR AN AGREEMENT THAT IS FOR NON-COMMERCIAL PRODUCTS/SERVICES, OR FOR PRODUCTS/SERVICES THAT HAVE BEEN CUSTOMIZED FOR DOE USE.</w:t>
      </w:r>
    </w:p>
    <w:p w14:paraId="173F61D1" w14:textId="77777777" w:rsidR="00356DCF" w:rsidRDefault="00356DCF" w:rsidP="00356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74"/>
        <w:gridCol w:w="866"/>
        <w:gridCol w:w="7920"/>
      </w:tblGrid>
      <w:tr w:rsidR="00356DCF" w14:paraId="3E5AB7F2" w14:textId="77777777" w:rsidTr="008C7D68">
        <w:trPr>
          <w:trHeight w:val="485"/>
          <w:tblHeader/>
        </w:trPr>
        <w:tc>
          <w:tcPr>
            <w:tcW w:w="574" w:type="dxa"/>
            <w:tcBorders>
              <w:top w:val="nil"/>
              <w:left w:val="nil"/>
            </w:tcBorders>
          </w:tcPr>
          <w:p w14:paraId="75985D26" w14:textId="77777777" w:rsidR="00356DCF" w:rsidRDefault="00356DCF" w:rsidP="008C7D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47D459" w:themeFill="accent3" w:themeFillTint="99"/>
            <w:vAlign w:val="center"/>
          </w:tcPr>
          <w:p w14:paraId="713A6CEB" w14:textId="77777777" w:rsidR="00356DCF" w:rsidRPr="00A83DB5" w:rsidRDefault="00356DCF" w:rsidP="008C7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920" w:type="dxa"/>
            <w:shd w:val="clear" w:color="auto" w:fill="47D459" w:themeFill="accent3" w:themeFillTint="99"/>
            <w:vAlign w:val="center"/>
          </w:tcPr>
          <w:p w14:paraId="697165C9" w14:textId="77777777" w:rsidR="00356DCF" w:rsidRPr="00A83DB5" w:rsidRDefault="00356DCF" w:rsidP="008C7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356DCF" w14:paraId="3B4DFDFF" w14:textId="77777777" w:rsidTr="008C7D68">
        <w:tc>
          <w:tcPr>
            <w:tcW w:w="574" w:type="dxa"/>
            <w:vAlign w:val="center"/>
          </w:tcPr>
          <w:p w14:paraId="394F9648" w14:textId="77777777" w:rsidR="00356DCF" w:rsidRPr="007A4020" w:rsidRDefault="00356DCF" w:rsidP="008C7D6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A402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866" w:type="dxa"/>
          </w:tcPr>
          <w:p w14:paraId="3D451A0E" w14:textId="77777777" w:rsidR="00356DCF" w:rsidRDefault="00356DCF" w:rsidP="008C7D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20" w:type="dxa"/>
          </w:tcPr>
          <w:p w14:paraId="1F055305" w14:textId="77777777" w:rsidR="00356DCF" w:rsidRPr="00C77621" w:rsidRDefault="00356DCF" w:rsidP="008C7D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>The Program office review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Agreement to ensure that:  </w:t>
            </w:r>
          </w:p>
          <w:p w14:paraId="2A4EA8AE" w14:textId="77777777" w:rsidR="00356DCF" w:rsidRPr="00C77621" w:rsidRDefault="00356DCF" w:rsidP="00356DCF">
            <w:pPr>
              <w:numPr>
                <w:ilvl w:val="1"/>
                <w:numId w:val="5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>The services provided under the Agreement adequately meet the Program’s needs; and</w:t>
            </w:r>
          </w:p>
          <w:p w14:paraId="26A9E817" w14:textId="44FC4DC2" w:rsidR="00356DCF" w:rsidRDefault="00356DCF" w:rsidP="00356DCF">
            <w:pPr>
              <w:numPr>
                <w:ilvl w:val="1"/>
                <w:numId w:val="5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Program understands the restrictions contained in the Agreement (particularly any 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restrictions as to the number of users and any restrictions on use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(forwarding, copying, </w:t>
            </w:r>
            <w:proofErr w:type="gramStart"/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>etc.)</w:t>
            </w:r>
            <w:proofErr w:type="gramEnd"/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If the Program has any issues, those should be 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specifically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identified by the Program and addressed by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 w:rsidRPr="00C776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397BC4" w14:textId="77777777" w:rsidR="00356DCF" w:rsidRPr="00C77621" w:rsidRDefault="00356DCF" w:rsidP="008C7D68">
            <w:pPr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DCF" w14:paraId="76ACD5FA" w14:textId="77777777" w:rsidTr="008C7D68">
        <w:tc>
          <w:tcPr>
            <w:tcW w:w="574" w:type="dxa"/>
            <w:vAlign w:val="center"/>
          </w:tcPr>
          <w:p w14:paraId="3A15F9C7" w14:textId="77777777" w:rsidR="00356DCF" w:rsidRPr="007A4020" w:rsidRDefault="00356DCF" w:rsidP="008C7D6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68D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866" w:type="dxa"/>
          </w:tcPr>
          <w:p w14:paraId="781C0E79" w14:textId="77777777" w:rsidR="00356DCF" w:rsidRDefault="00356DCF" w:rsidP="008C7D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20" w:type="dxa"/>
          </w:tcPr>
          <w:p w14:paraId="67642739" w14:textId="3ABDA364" w:rsidR="00356DCF" w:rsidRPr="00EE5471" w:rsidRDefault="00356DCF" w:rsidP="008C7D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Federal Acquisition Regulation (FAR) 52.212-4, </w:t>
            </w:r>
            <w:r w:rsidR="00E266AE" w:rsidRPr="00E266AE">
              <w:rPr>
                <w:rFonts w:ascii="Times New Roman" w:hAnsi="Times New Roman" w:cs="Times New Roman"/>
                <w:bCs/>
                <w:sz w:val="24"/>
                <w:szCs w:val="24"/>
              </w:rPr>
              <w:t>Terms and Conditions—Commercial Products and Commercial Services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4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must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govern the contract between the Government and the vendor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841ABDF" w14:textId="4836FBEF" w:rsidR="00356DCF" w:rsidRPr="00EE5471" w:rsidRDefault="00356DCF" w:rsidP="00356DCF">
            <w:pPr>
              <w:numPr>
                <w:ilvl w:val="1"/>
                <w:numId w:val="6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may incorporate t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Agreement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into the Contract 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>as an attachment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>and clearly mark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Agreement 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such. 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 not required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sign the Agreement; however,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whether 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signs the Agreement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not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E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9E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should</w:t>
            </w:r>
            <w:r w:rsidRPr="009E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specifically add language (underneath the signature block) stating:  “</w:t>
            </w:r>
            <w:r w:rsidRPr="009E47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This document is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Attachment No.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X 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to Contract No.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Y</w:t>
            </w:r>
            <w:r w:rsidRPr="00EE547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 In the event of any conflict between the Contract and this Attachment, the terms and conditions of the Contract shall prevail</w:t>
            </w:r>
            <w:r w:rsidRPr="009E4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.”  </w:t>
            </w:r>
          </w:p>
          <w:p w14:paraId="5A6B4EA5" w14:textId="038380A9" w:rsidR="00356DCF" w:rsidRDefault="00356DCF" w:rsidP="00356DCF">
            <w:pPr>
              <w:numPr>
                <w:ilvl w:val="1"/>
                <w:numId w:val="6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If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does not incorporate the Agreement into the Contract as an attachment, but does reference or otherwise use the Agreement,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should still include the statement in paragraph a of this item that the Contract prevails over the Agreement. </w:t>
            </w:r>
          </w:p>
          <w:p w14:paraId="61B4F877" w14:textId="77777777" w:rsidR="00356DCF" w:rsidRDefault="00356DCF" w:rsidP="008C7D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6DCF" w14:paraId="3FA68019" w14:textId="77777777" w:rsidTr="008C7D68">
        <w:tc>
          <w:tcPr>
            <w:tcW w:w="574" w:type="dxa"/>
            <w:vAlign w:val="center"/>
          </w:tcPr>
          <w:p w14:paraId="5F99D579" w14:textId="77777777" w:rsidR="00356DCF" w:rsidRPr="007A4020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68D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sym w:font="Wingdings" w:char="F0FC"/>
            </w:r>
          </w:p>
        </w:tc>
        <w:tc>
          <w:tcPr>
            <w:tcW w:w="866" w:type="dxa"/>
          </w:tcPr>
          <w:p w14:paraId="2B9F7453" w14:textId="77777777" w:rsidR="00356DCF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920" w:type="dxa"/>
          </w:tcPr>
          <w:p w14:paraId="3808E6B7" w14:textId="17948A63" w:rsidR="00356DCF" w:rsidRDefault="00356DCF" w:rsidP="00E266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Agreement and, to the extent that the provisions conflict with federal law or FAR 52.212-4, strike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 those provisions.  The most typical provisions that may </w:t>
            </w:r>
            <w:proofErr w:type="gramStart"/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>be in conflict with</w:t>
            </w:r>
            <w:proofErr w:type="gramEnd"/>
            <w:r w:rsidRPr="00D61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federal law or FAR 52.212-4 are:</w:t>
            </w:r>
          </w:p>
          <w:p w14:paraId="4887CB41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Payment/late payments/interest (governed by the Prompt Payment Act and 5 C.F.R. Part 1315; 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52.212-4(g) and (</w:t>
            </w:r>
            <w:proofErr w:type="spellStart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)). </w:t>
            </w:r>
          </w:p>
          <w:p w14:paraId="1C8D4F1D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Automatic renewal (governed by the Anti-Deficiency Act, and contrary to exercise of options clauses).</w:t>
            </w:r>
          </w:p>
          <w:p w14:paraId="7420BE7C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Termination provisions (including clauses about vendor ability to unilaterally terminate the contract for nonpayment or any limitation on the government right to terminate the Agreement for convenience) (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52.212-4(l) and (m)). </w:t>
            </w:r>
          </w:p>
          <w:p w14:paraId="273888AB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Nonrefundability</w:t>
            </w:r>
            <w:proofErr w:type="spellEnd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fees (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52.212-4(l)).</w:t>
            </w:r>
          </w:p>
          <w:p w14:paraId="3EDFD812" w14:textId="50A379A6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Indemnification/Limitation of Liability/Hold Harmless/Attorney’s Fees clauses (governed by the Anti-Deficiency Act; 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also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52.212-4(h) and (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)).</w:t>
            </w:r>
          </w:p>
          <w:p w14:paraId="2C70FD1D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Publicity/endorsement/use of logo/marketing:  DOE cannot endorse private entities; further the DOE logo cannot be used without permission from DOE (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CFR Part 1002; contact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local counsel or, for procurements under the authority of Headquarters Procurement Operations, 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Assistant General Counsel for General Law (GC-56) if an issue arises).  </w:t>
            </w:r>
          </w:p>
          <w:p w14:paraId="05AAFB75" w14:textId="0F34905D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Warranties/Limitation of Liability/Disclaimers:  At a minimum, strike out disclaimers of implied warranty of merchantability and fitness for a particular purpose (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12.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105(b)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FAR 52.212-4(o)).       </w:t>
            </w:r>
          </w:p>
          <w:p w14:paraId="0B7D7AA5" w14:textId="17AA9615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Governing law/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urisdiction (strike any provision stating the law of a foreign nation or a state apply, or that we agree to jurisdiction of a state court; disputes are governed by the Contract Disputes Act and FAR 52.233-1, Disputes; 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)).</w:t>
            </w:r>
          </w:p>
          <w:p w14:paraId="67D6B5D3" w14:textId="3B2667ED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Arbitration/dispute resolution provisions (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)). </w:t>
            </w:r>
          </w:p>
          <w:p w14:paraId="330A4E19" w14:textId="4F212115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Availability of injunctive or equitable relief (</w:t>
            </w:r>
            <w:r w:rsidRPr="00C644A3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)). </w:t>
            </w:r>
          </w:p>
          <w:p w14:paraId="2D62E4E2" w14:textId="1C823F68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Designation of program person with authority to act (because only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can change the contract; issue of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warrant authority</w:t>
            </w:r>
            <w:proofErr w:type="gramEnd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/prevent unauthorized direction to contractor).</w:t>
            </w:r>
          </w:p>
          <w:p w14:paraId="45F376BC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Suspension (including ability of vendor to stop providing service if government fails to pay invoice)/stop work order/cost related to suspension (governed by Disputes clause). </w:t>
            </w:r>
          </w:p>
          <w:p w14:paraId="281EF2D3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Limitation on when lawsuit can be brought by the government against the vendor (governed by Disputes clause).</w:t>
            </w:r>
          </w:p>
          <w:p w14:paraId="46564B0A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Irreparable injury incurred by the vendor </w:t>
            </w:r>
            <w:proofErr w:type="gramStart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as a result of</w:t>
            </w:r>
            <w:proofErr w:type="gramEnd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breach of Agreement by the government (governed by Disputes clause).</w:t>
            </w:r>
          </w:p>
          <w:p w14:paraId="778995EC" w14:textId="77777777" w:rsidR="00356DCF" w:rsidRPr="005032E0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Government liability for attorney’s fees incurred by the vendor in enforcement of the Agreement (governed by Disputes clause).</w:t>
            </w:r>
          </w:p>
          <w:p w14:paraId="74497006" w14:textId="7777777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Designation of a </w:t>
            </w:r>
            <w:proofErr w:type="gramStart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third party</w:t>
            </w:r>
            <w:proofErr w:type="gramEnd"/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beneficiary by the vendor (Legal issue; creates legal rights for an entity not a party to the contract). </w:t>
            </w:r>
          </w:p>
          <w:p w14:paraId="405B8898" w14:textId="047BE107" w:rsidR="00356DCF" w:rsidRPr="00D73B22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Assignment of the Agreement (governed by the Assignment of Claims Act, </w:t>
            </w:r>
            <w:r w:rsidRPr="00740EC5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)). </w:t>
            </w:r>
          </w:p>
          <w:p w14:paraId="5648BDCF" w14:textId="72975FB4" w:rsidR="00356DCF" w:rsidRPr="00E266AE" w:rsidRDefault="00356DCF" w:rsidP="00E266AE">
            <w:pPr>
              <w:numPr>
                <w:ilvl w:val="0"/>
                <w:numId w:val="7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Liability of the government for taxes (</w:t>
            </w:r>
            <w:r w:rsidRPr="00740EC5">
              <w:rPr>
                <w:rFonts w:ascii="Times New Roman" w:hAnsi="Times New Roman" w:cs="Times New Roman"/>
                <w:bCs/>
                <w:sz w:val="24"/>
                <w:szCs w:val="24"/>
              </w:rPr>
              <w:t>see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 52.212-4(k)).</w:t>
            </w:r>
          </w:p>
        </w:tc>
      </w:tr>
      <w:tr w:rsidR="00356DCF" w14:paraId="07B7A9C0" w14:textId="77777777" w:rsidTr="008C7D68">
        <w:tc>
          <w:tcPr>
            <w:tcW w:w="574" w:type="dxa"/>
            <w:vAlign w:val="center"/>
          </w:tcPr>
          <w:p w14:paraId="718D0703" w14:textId="77777777" w:rsidR="00356DCF" w:rsidRPr="007A4020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68D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sym w:font="Wingdings" w:char="F0FC"/>
            </w:r>
          </w:p>
        </w:tc>
        <w:tc>
          <w:tcPr>
            <w:tcW w:w="866" w:type="dxa"/>
          </w:tcPr>
          <w:p w14:paraId="4A52E651" w14:textId="77777777" w:rsidR="00356DCF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920" w:type="dxa"/>
          </w:tcPr>
          <w:p w14:paraId="695A7E60" w14:textId="782D26CB" w:rsidR="00356DCF" w:rsidRPr="00D73B22" w:rsidRDefault="00356DCF" w:rsidP="00E266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review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terms and conditions of the Agreement and make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appropriate revisions, such as: </w:t>
            </w:r>
          </w:p>
          <w:p w14:paraId="4FAF179E" w14:textId="77777777" w:rsidR="00356DCF" w:rsidRPr="00D73B22" w:rsidRDefault="00356DCF" w:rsidP="00E266AE">
            <w:pPr>
              <w:numPr>
                <w:ilvl w:val="1"/>
                <w:numId w:val="8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>If a specific program is designated, add “U.S. Department of Energy.”</w:t>
            </w:r>
          </w:p>
          <w:p w14:paraId="6385310D" w14:textId="24498F54" w:rsidR="00356DCF" w:rsidRPr="00E266AE" w:rsidRDefault="00356DCF" w:rsidP="00E266AE">
            <w:pPr>
              <w:numPr>
                <w:ilvl w:val="1"/>
                <w:numId w:val="8"/>
              </w:numPr>
              <w:spacing w:after="0" w:line="240" w:lineRule="auto"/>
              <w:ind w:left="5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the extent any authorized users are specifically designated, make sure that DOE contractors are included (as appropriate). </w:t>
            </w:r>
          </w:p>
        </w:tc>
      </w:tr>
      <w:tr w:rsidR="00356DCF" w14:paraId="5D43531B" w14:textId="77777777" w:rsidTr="008C7D68">
        <w:tc>
          <w:tcPr>
            <w:tcW w:w="574" w:type="dxa"/>
            <w:vAlign w:val="center"/>
          </w:tcPr>
          <w:p w14:paraId="2BF7DF0D" w14:textId="77777777" w:rsidR="00356DCF" w:rsidRPr="007A4020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68D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866" w:type="dxa"/>
          </w:tcPr>
          <w:p w14:paraId="5F34C751" w14:textId="77777777" w:rsidR="00356DCF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920" w:type="dxa"/>
          </w:tcPr>
          <w:p w14:paraId="5DB754F6" w14:textId="350C5532" w:rsidR="00356DCF" w:rsidRDefault="00356DCF" w:rsidP="00E266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requests review by local patent counsel or, for procurements under the authority of Headquarters Procurement Operations, the 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>Assistant General Counsel for Technology Transfer and Intellectual Property (GC-62) for intellectual property issues.</w:t>
            </w:r>
          </w:p>
        </w:tc>
      </w:tr>
      <w:tr w:rsidR="00356DCF" w14:paraId="7E881039" w14:textId="77777777" w:rsidTr="008C7D68">
        <w:tc>
          <w:tcPr>
            <w:tcW w:w="574" w:type="dxa"/>
            <w:vAlign w:val="center"/>
          </w:tcPr>
          <w:p w14:paraId="7AD828AB" w14:textId="77777777" w:rsidR="00356DCF" w:rsidRPr="007A4020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68D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866" w:type="dxa"/>
          </w:tcPr>
          <w:p w14:paraId="519D1D9C" w14:textId="77777777" w:rsidR="00356DCF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920" w:type="dxa"/>
          </w:tcPr>
          <w:p w14:paraId="0C9656AE" w14:textId="352D242D" w:rsidR="00356DCF" w:rsidRDefault="00356DCF" w:rsidP="00E266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If any 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issues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remain 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cannot be resolved by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after reviewing the Agreement using this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>heck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may request assistance from their local counsel.  For procurements under the authority of Headquarters Procurement Operations, the local counsel is the </w:t>
            </w:r>
            <w:r w:rsidRPr="00CB5D2C">
              <w:rPr>
                <w:rFonts w:ascii="Times New Roman" w:hAnsi="Times New Roman" w:cs="Times New Roman"/>
                <w:bCs/>
                <w:sz w:val="24"/>
                <w:szCs w:val="24"/>
              </w:rPr>
              <w:t>Assistant General Counsel for Procurement and Financial Assistance (GC-61)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56DCF" w14:paraId="51DDCB89" w14:textId="77777777" w:rsidTr="008C7D68">
        <w:tc>
          <w:tcPr>
            <w:tcW w:w="574" w:type="dxa"/>
            <w:vAlign w:val="center"/>
          </w:tcPr>
          <w:p w14:paraId="44E351B1" w14:textId="77777777" w:rsidR="00356DCF" w:rsidRPr="007A4020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068D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sym w:font="Wingdings" w:char="F0FC"/>
            </w:r>
          </w:p>
        </w:tc>
        <w:tc>
          <w:tcPr>
            <w:tcW w:w="866" w:type="dxa"/>
          </w:tcPr>
          <w:p w14:paraId="5FC1DE39" w14:textId="77777777" w:rsidR="00356DCF" w:rsidRDefault="00356DCF" w:rsidP="00E266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920" w:type="dxa"/>
          </w:tcPr>
          <w:p w14:paraId="12048137" w14:textId="1FD190FD" w:rsidR="00356DCF" w:rsidRDefault="00356DCF" w:rsidP="00E266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After the Program and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>have performed</w:t>
            </w:r>
            <w:proofErr w:type="gramEnd"/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steps 1-4, and consulted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legal counsel </w:t>
            </w:r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needed,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returns the </w:t>
            </w:r>
            <w:r w:rsidRPr="005032E0">
              <w:rPr>
                <w:rFonts w:ascii="Times New Roman" w:hAnsi="Times New Roman" w:cs="Times New Roman"/>
                <w:bCs/>
                <w:sz w:val="24"/>
                <w:szCs w:val="24"/>
              </w:rPr>
              <w:t>revised Agreement to the vendor, along with the related Contract documents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If the vendor does not accept a change(s) in the revised Agreement, the 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contracting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266AE">
              <w:rPr>
                <w:rFonts w:ascii="Times New Roman" w:hAnsi="Times New Roman" w:cs="Times New Roman"/>
                <w:bCs/>
                <w:sz w:val="24"/>
                <w:szCs w:val="24"/>
              </w:rPr>
              <w:t>contract specialist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should consult with GC-61, GC-62, or local counsel as appropriate.</w:t>
            </w:r>
          </w:p>
        </w:tc>
      </w:tr>
    </w:tbl>
    <w:p w14:paraId="44D61538" w14:textId="77777777" w:rsidR="00356DCF" w:rsidRDefault="00356DCF" w:rsidP="00356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F8E600" w14:textId="77777777" w:rsidR="00356DCF" w:rsidRDefault="00356DCF" w:rsidP="00356D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CB67E8" w14:textId="52C25872" w:rsidR="00E34D93" w:rsidRPr="009635EC" w:rsidRDefault="00E34D93" w:rsidP="00356DCF">
      <w:pPr>
        <w:widowControl w:val="0"/>
        <w:autoSpaceDE w:val="0"/>
        <w:autoSpaceDN w:val="0"/>
        <w:spacing w:after="0" w:line="240" w:lineRule="auto"/>
        <w:jc w:val="center"/>
        <w:outlineLvl w:val="8"/>
      </w:pPr>
    </w:p>
    <w:sectPr w:rsidR="00E34D93" w:rsidRPr="009635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7757625F" w:rsidR="008F7173" w:rsidRPr="008F7173" w:rsidRDefault="008F7173" w:rsidP="00356DCF">
    <w:pPr>
      <w:pStyle w:val="Header"/>
      <w:tabs>
        <w:tab w:val="clear" w:pos="4680"/>
        <w:tab w:val="left" w:pos="4320"/>
      </w:tabs>
      <w:jc w:val="right"/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356DCF">
      <w:rPr>
        <w:rFonts w:ascii="Times New Roman" w:hAnsi="Times New Roman" w:cs="Times New Roman"/>
      </w:rPr>
      <w:t>12.107</w:t>
    </w:r>
    <w:r w:rsidRPr="008F7173">
      <w:rPr>
        <w:rFonts w:ascii="Times New Roman" w:hAnsi="Times New Roman" w:cs="Times New Roman"/>
      </w:rPr>
      <w:tab/>
    </w:r>
    <w:r w:rsidR="00356DCF">
      <w:rPr>
        <w:rFonts w:ascii="Times New Roman" w:hAnsi="Times New Roman" w:cs="Times New Roman"/>
      </w:rPr>
      <w:tab/>
    </w:r>
    <w:r w:rsidR="00356DCF" w:rsidRPr="00356DCF">
      <w:rPr>
        <w:rFonts w:ascii="Times New Roman" w:hAnsi="Times New Roman" w:cs="Times New Roman"/>
      </w:rPr>
      <w:t>Review Checklist for Subscriptions and Commercial Supplier License Agreements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9A3"/>
    <w:multiLevelType w:val="hybridMultilevel"/>
    <w:tmpl w:val="AAA8A4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D61C2C"/>
    <w:multiLevelType w:val="hybridMultilevel"/>
    <w:tmpl w:val="146A68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F51FB"/>
    <w:multiLevelType w:val="hybridMultilevel"/>
    <w:tmpl w:val="D72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9CE8B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3D05"/>
    <w:multiLevelType w:val="hybridMultilevel"/>
    <w:tmpl w:val="D72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9CE8B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num w:numId="1" w16cid:durableId="261693471">
    <w:abstractNumId w:val="6"/>
  </w:num>
  <w:num w:numId="2" w16cid:durableId="1459881896">
    <w:abstractNumId w:val="7"/>
  </w:num>
  <w:num w:numId="3" w16cid:durableId="1208831512">
    <w:abstractNumId w:val="5"/>
  </w:num>
  <w:num w:numId="4" w16cid:durableId="1840584695">
    <w:abstractNumId w:val="1"/>
  </w:num>
  <w:num w:numId="5" w16cid:durableId="1744914438">
    <w:abstractNumId w:val="4"/>
  </w:num>
  <w:num w:numId="6" w16cid:durableId="1901398798">
    <w:abstractNumId w:val="0"/>
  </w:num>
  <w:num w:numId="7" w16cid:durableId="1627008876">
    <w:abstractNumId w:val="2"/>
  </w:num>
  <w:num w:numId="8" w16cid:durableId="1799302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267246"/>
    <w:rsid w:val="002F552E"/>
    <w:rsid w:val="00356DCF"/>
    <w:rsid w:val="004946C3"/>
    <w:rsid w:val="004B495A"/>
    <w:rsid w:val="004F012E"/>
    <w:rsid w:val="00694508"/>
    <w:rsid w:val="008F7173"/>
    <w:rsid w:val="00941597"/>
    <w:rsid w:val="009635EC"/>
    <w:rsid w:val="009B1A44"/>
    <w:rsid w:val="00B16BEE"/>
    <w:rsid w:val="00BF31DF"/>
    <w:rsid w:val="00C1634C"/>
    <w:rsid w:val="00C95F0F"/>
    <w:rsid w:val="00DB2E00"/>
    <w:rsid w:val="00E266AE"/>
    <w:rsid w:val="00E34D9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table" w:styleId="TableGrid">
    <w:name w:val="Table Grid"/>
    <w:basedOn w:val="TableNormal"/>
    <w:uiPriority w:val="59"/>
    <w:rsid w:val="00356D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E4D3-17CA-41DE-8CBB-70A52F3E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984</Words>
  <Characters>5543</Characters>
  <Application>Microsoft Office Word</Application>
  <DocSecurity>0</DocSecurity>
  <Lines>138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7</cp:revision>
  <dcterms:created xsi:type="dcterms:W3CDTF">2025-12-04T20:14:00Z</dcterms:created>
  <dcterms:modified xsi:type="dcterms:W3CDTF">2026-02-13T20:14:00Z</dcterms:modified>
</cp:coreProperties>
</file>