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48" w:rsidRPr="00231369" w:rsidRDefault="00D92148" w:rsidP="00D92148">
      <w:pPr>
        <w:rPr>
          <w:b/>
        </w:rPr>
      </w:pPr>
      <w:r w:rsidRPr="00231369">
        <w:rPr>
          <w:b/>
        </w:rPr>
        <w:t>Q1. What is the Lab Impact Initiative?</w:t>
      </w:r>
    </w:p>
    <w:p w:rsidR="00D92148" w:rsidRDefault="00D92148" w:rsidP="00D92148">
      <w:r>
        <w:t>A1. The Lab Impact Initiative within the DOE Office of Energy Efficiency and Renewable Energy (EERE) is a coordinated strategy with the goal of significantly increasing the industrial impact of DOE National Laboratories on the U.S. clean energy sector. As a part of that strategy, EERE recently launched a new $2.3 million pilot called Lab-Corps using FY14 funds that aims to better train and empower DOE National Laboratory researchers to successfully transition their discoveries into high-impact, real world technologies</w:t>
      </w:r>
      <w:r w:rsidR="008C7C87">
        <w:t xml:space="preserve"> that support EERE’s mission and the American economy</w:t>
      </w:r>
      <w:r>
        <w:t xml:space="preserve">. This year, EERE </w:t>
      </w:r>
      <w:r w:rsidR="00FD4E3C">
        <w:t>has focused on</w:t>
      </w:r>
      <w:r>
        <w:t xml:space="preserve"> developing two additional pilots to enable the DOE National Laboratories to provide technical assistance and opportunities for small businesses</w:t>
      </w:r>
      <w:r w:rsidR="000A2187">
        <w:t xml:space="preserve"> (Small Business Vouchers pilot)</w:t>
      </w:r>
      <w:r>
        <w:t xml:space="preserve">, and </w:t>
      </w:r>
      <w:r w:rsidR="000A2187">
        <w:t xml:space="preserve">the Technologist-in-Residence pilot, which aims </w:t>
      </w:r>
      <w:r>
        <w:t xml:space="preserve">to </w:t>
      </w:r>
      <w:r w:rsidR="000A2187">
        <w:t xml:space="preserve">pair up technologists within </w:t>
      </w:r>
      <w:r>
        <w:t>DOE national labs and larger industry partner</w:t>
      </w:r>
      <w:r w:rsidR="000A2187">
        <w:t>s to build the foundation for long-term collaborations in advanced manufacturing.</w:t>
      </w:r>
    </w:p>
    <w:p w:rsidR="00D92148" w:rsidRDefault="00D92148" w:rsidP="00D92148"/>
    <w:p w:rsidR="00D92148" w:rsidRPr="00231369" w:rsidRDefault="00D92148" w:rsidP="00D92148">
      <w:pPr>
        <w:rPr>
          <w:b/>
        </w:rPr>
      </w:pPr>
      <w:r w:rsidRPr="00231369">
        <w:rPr>
          <w:b/>
        </w:rPr>
        <w:t>Q2. What is the Small Business Vouchers (SBV) pilot</w:t>
      </w:r>
      <w:r w:rsidR="00FD4E3C">
        <w:rPr>
          <w:b/>
        </w:rPr>
        <w:t xml:space="preserve"> and the selected pilot laboratories</w:t>
      </w:r>
      <w:r w:rsidRPr="00231369">
        <w:rPr>
          <w:b/>
        </w:rPr>
        <w:t>?</w:t>
      </w:r>
    </w:p>
    <w:p w:rsidR="00D92148" w:rsidRDefault="00D92148" w:rsidP="00D92148">
      <w:r>
        <w:t xml:space="preserve">A2. The Small Business vouchers pilot is a new mechanism to fund DOE National Laboratories to provide technical assistance and collaborative R&amp;D opportunities for small businesses. </w:t>
      </w:r>
      <w:r w:rsidR="008F6A75">
        <w:t>Its main objective is</w:t>
      </w:r>
      <w:r>
        <w:t xml:space="preserve"> to make the DOE National Laboratories more accessible to small businesses by improving awareness and making available unique laboratory capabilities to solve </w:t>
      </w:r>
      <w:r w:rsidR="004F1EFB">
        <w:t xml:space="preserve">technical and </w:t>
      </w:r>
      <w:r>
        <w:t>commercialization challenges. DOE funding will be sent to 5 DOE National Laboratories</w:t>
      </w:r>
      <w:r w:rsidR="00FD4E3C">
        <w:t>: Oak Ridge National Laboratory, Pacific Northwest National Laboratory, National Renewable Energy Laboratory, Lawrence Berkeley National Laboratory and Sandia National Laboratories who were</w:t>
      </w:r>
      <w:r>
        <w:t xml:space="preserve"> chosen to participate in the pilot to make vouchers available to competitively selected small businesses working to develop clean energy technologies</w:t>
      </w:r>
      <w:r w:rsidR="00461686">
        <w:t>.</w:t>
      </w:r>
    </w:p>
    <w:p w:rsidR="00D92148" w:rsidRDefault="00D92148" w:rsidP="00D92148"/>
    <w:p w:rsidR="00D92148" w:rsidRPr="00231369" w:rsidRDefault="00D92148" w:rsidP="00D92148">
      <w:pPr>
        <w:rPr>
          <w:b/>
        </w:rPr>
      </w:pPr>
      <w:r w:rsidRPr="00231369">
        <w:rPr>
          <w:b/>
        </w:rPr>
        <w:t>Q3. How much funding is available for the SBV pilot, and how many vouchers will be made available?</w:t>
      </w:r>
    </w:p>
    <w:p w:rsidR="00D92148" w:rsidRDefault="00D92148" w:rsidP="00D92148">
      <w:r>
        <w:t>A3. Approximately $20 million will be available for the SBV pilot. Each voucher will range from $50-$300K, depending on the type of work the selected small business requests the DOE National Laboratories to do. At an average of $175K per voucher, approximately 100 vouchers will be made during the pilot.</w:t>
      </w:r>
    </w:p>
    <w:p w:rsidR="00D92148" w:rsidRDefault="00D92148" w:rsidP="00D92148"/>
    <w:p w:rsidR="00D92148" w:rsidRPr="00231369" w:rsidRDefault="00D92148" w:rsidP="00D92148">
      <w:pPr>
        <w:rPr>
          <w:b/>
        </w:rPr>
      </w:pPr>
      <w:r w:rsidRPr="00231369">
        <w:rPr>
          <w:b/>
        </w:rPr>
        <w:t>Q4. Will cost share be required?</w:t>
      </w:r>
    </w:p>
    <w:p w:rsidR="00D92148" w:rsidRDefault="00D92148" w:rsidP="00D92148">
      <w:r>
        <w:t xml:space="preserve">A4. Yes, a minimum 20% cost share (cash or in-kind) will be required from </w:t>
      </w:r>
      <w:r w:rsidR="00461686">
        <w:t xml:space="preserve">all </w:t>
      </w:r>
      <w:r>
        <w:t>participating small businesses.</w:t>
      </w:r>
    </w:p>
    <w:p w:rsidR="004B2F63" w:rsidRDefault="004B2F63"/>
    <w:p w:rsidR="0086586A" w:rsidRPr="00231369" w:rsidRDefault="0086586A">
      <w:pPr>
        <w:rPr>
          <w:b/>
        </w:rPr>
      </w:pPr>
      <w:r w:rsidRPr="00231369">
        <w:rPr>
          <w:b/>
        </w:rPr>
        <w:t>Q5. How is SBV different from SBIR?</w:t>
      </w:r>
    </w:p>
    <w:p w:rsidR="00DE38EC" w:rsidRDefault="0086586A" w:rsidP="00DE38EC">
      <w:r>
        <w:t xml:space="preserve">A5. </w:t>
      </w:r>
      <w:r w:rsidR="009A00A5">
        <w:t xml:space="preserve"> </w:t>
      </w:r>
      <w:r w:rsidR="000759AF">
        <w:t>S</w:t>
      </w:r>
      <w:r w:rsidR="009A00A5">
        <w:t xml:space="preserve">everal key differences </w:t>
      </w:r>
      <w:r w:rsidR="000759AF">
        <w:t xml:space="preserve">distinguish SBV from SBIR and other </w:t>
      </w:r>
      <w:r w:rsidR="00B53D93">
        <w:t>programs related to small business R&amp;D.</w:t>
      </w:r>
      <w:r w:rsidR="008C7C87">
        <w:t xml:space="preserve">  Under the SBV pilot, selected participating small businesses will not receive any direct</w:t>
      </w:r>
      <w:r w:rsidR="00CA2ACF">
        <w:t xml:space="preserve"> funding from </w:t>
      </w:r>
      <w:r w:rsidR="00F23FB1">
        <w:t xml:space="preserve">DOE, </w:t>
      </w:r>
      <w:r w:rsidR="00673820">
        <w:t>which is different from the SBIR program</w:t>
      </w:r>
      <w:r w:rsidR="00F23FB1">
        <w:t xml:space="preserve">.  Rather, participating small businesses will be able to redeem awarded vouchers for access to </w:t>
      </w:r>
      <w:r w:rsidR="00557E8F">
        <w:t>unique capabilities</w:t>
      </w:r>
      <w:r w:rsidR="00F23FB1">
        <w:t xml:space="preserve"> provided by DOE national labs</w:t>
      </w:r>
      <w:r w:rsidR="00673820">
        <w:t>, which will be funded by EERE through SBV to work with participating small businesses</w:t>
      </w:r>
      <w:r w:rsidR="00F23FB1">
        <w:t xml:space="preserve">.  A central component of the </w:t>
      </w:r>
      <w:r w:rsidR="00673820">
        <w:t xml:space="preserve">SBV pilot is to facilitate small businesses access to DOE national lab resources and capabilities.  The majority of SBIR recipients do not work directly with national labs.  See below for additional </w:t>
      </w:r>
      <w:r w:rsidR="00D93289">
        <w:t>information about the differences between the SBV pilot and SBIR.</w:t>
      </w:r>
    </w:p>
    <w:tbl>
      <w:tblPr>
        <w:tblStyle w:val="TableGrid"/>
        <w:tblpPr w:leftFromText="180" w:rightFromText="180" w:vertAnchor="text" w:horzAnchor="margin" w:tblpY="402"/>
        <w:tblW w:w="0" w:type="auto"/>
        <w:tblLayout w:type="fixed"/>
        <w:tblLook w:val="04A0" w:firstRow="1" w:lastRow="0" w:firstColumn="1" w:lastColumn="0" w:noHBand="0" w:noVBand="1"/>
      </w:tblPr>
      <w:tblGrid>
        <w:gridCol w:w="3168"/>
        <w:gridCol w:w="4680"/>
        <w:gridCol w:w="6570"/>
      </w:tblGrid>
      <w:tr w:rsidR="00DA56A8" w:rsidRPr="005F7A26" w:rsidTr="00FD4E3C">
        <w:tc>
          <w:tcPr>
            <w:tcW w:w="3168" w:type="dxa"/>
          </w:tcPr>
          <w:p w:rsidR="00DA56A8" w:rsidRPr="005F7A26" w:rsidRDefault="00DA56A8" w:rsidP="00DA56A8">
            <w:pPr>
              <w:rPr>
                <w:sz w:val="18"/>
              </w:rPr>
            </w:pPr>
          </w:p>
        </w:tc>
        <w:tc>
          <w:tcPr>
            <w:tcW w:w="4680" w:type="dxa"/>
          </w:tcPr>
          <w:p w:rsidR="00DA56A8" w:rsidRPr="005F7A26" w:rsidRDefault="00DA56A8" w:rsidP="00DA56A8">
            <w:pPr>
              <w:rPr>
                <w:b/>
                <w:sz w:val="18"/>
              </w:rPr>
            </w:pPr>
            <w:r w:rsidRPr="005F7A26">
              <w:rPr>
                <w:b/>
                <w:sz w:val="18"/>
              </w:rPr>
              <w:t>DOE SBIR/STTR Program</w:t>
            </w:r>
          </w:p>
        </w:tc>
        <w:tc>
          <w:tcPr>
            <w:tcW w:w="6570" w:type="dxa"/>
          </w:tcPr>
          <w:p w:rsidR="00DA56A8" w:rsidRPr="005F7A26" w:rsidRDefault="00DA56A8" w:rsidP="00DA56A8">
            <w:pPr>
              <w:rPr>
                <w:b/>
                <w:sz w:val="18"/>
              </w:rPr>
            </w:pPr>
            <w:r w:rsidRPr="005F7A26">
              <w:rPr>
                <w:b/>
                <w:sz w:val="18"/>
              </w:rPr>
              <w:t>Small Business Voucher Pilot</w:t>
            </w:r>
          </w:p>
        </w:tc>
      </w:tr>
      <w:tr w:rsidR="00DA56A8" w:rsidRPr="005F7A26" w:rsidTr="00FD4E3C">
        <w:tc>
          <w:tcPr>
            <w:tcW w:w="3168" w:type="dxa"/>
          </w:tcPr>
          <w:p w:rsidR="00DA56A8" w:rsidRPr="005F7A26" w:rsidRDefault="00DA56A8" w:rsidP="00DA56A8">
            <w:pPr>
              <w:rPr>
                <w:b/>
                <w:sz w:val="18"/>
              </w:rPr>
            </w:pPr>
            <w:r w:rsidRPr="005F7A26">
              <w:rPr>
                <w:b/>
                <w:sz w:val="18"/>
              </w:rPr>
              <w:t>Purpose</w:t>
            </w:r>
          </w:p>
        </w:tc>
        <w:tc>
          <w:tcPr>
            <w:tcW w:w="4680" w:type="dxa"/>
          </w:tcPr>
          <w:p w:rsidR="00DA56A8" w:rsidRPr="005F7A26" w:rsidRDefault="003C26E9" w:rsidP="003C26E9">
            <w:pPr>
              <w:rPr>
                <w:sz w:val="18"/>
              </w:rPr>
            </w:pPr>
            <w:r>
              <w:rPr>
                <w:sz w:val="18"/>
              </w:rPr>
              <w:t>Advance</w:t>
            </w:r>
            <w:r w:rsidR="00DA56A8" w:rsidRPr="005F7A26">
              <w:rPr>
                <w:sz w:val="18"/>
              </w:rPr>
              <w:t xml:space="preserve"> </w:t>
            </w:r>
            <w:r>
              <w:rPr>
                <w:sz w:val="18"/>
              </w:rPr>
              <w:t>small business technologies</w:t>
            </w:r>
          </w:p>
        </w:tc>
        <w:tc>
          <w:tcPr>
            <w:tcW w:w="6570" w:type="dxa"/>
          </w:tcPr>
          <w:p w:rsidR="00DA56A8" w:rsidRPr="005F7A26" w:rsidRDefault="008F6A75" w:rsidP="00DA56A8">
            <w:pPr>
              <w:rPr>
                <w:sz w:val="18"/>
              </w:rPr>
            </w:pPr>
            <w:r>
              <w:rPr>
                <w:sz w:val="18"/>
              </w:rPr>
              <w:t>Solve critical small business technical b</w:t>
            </w:r>
            <w:r w:rsidR="00DA56A8" w:rsidRPr="005F7A26">
              <w:rPr>
                <w:sz w:val="18"/>
              </w:rPr>
              <w:t>arriers</w:t>
            </w:r>
            <w:r>
              <w:rPr>
                <w:sz w:val="18"/>
              </w:rPr>
              <w:t xml:space="preserve"> through lab partnerships</w:t>
            </w:r>
          </w:p>
        </w:tc>
      </w:tr>
      <w:tr w:rsidR="00DA56A8" w:rsidRPr="005F7A26" w:rsidTr="00FD4E3C">
        <w:tc>
          <w:tcPr>
            <w:tcW w:w="3168" w:type="dxa"/>
          </w:tcPr>
          <w:p w:rsidR="00DA56A8" w:rsidRPr="005F7A26" w:rsidRDefault="00DA56A8" w:rsidP="000656A8">
            <w:pPr>
              <w:rPr>
                <w:b/>
                <w:sz w:val="18"/>
              </w:rPr>
            </w:pPr>
            <w:r w:rsidRPr="005F7A26">
              <w:rPr>
                <w:b/>
                <w:sz w:val="18"/>
              </w:rPr>
              <w:t xml:space="preserve">Selection and Project Management </w:t>
            </w:r>
          </w:p>
        </w:tc>
        <w:tc>
          <w:tcPr>
            <w:tcW w:w="4680" w:type="dxa"/>
          </w:tcPr>
          <w:p w:rsidR="00DA56A8" w:rsidRPr="005F7A26" w:rsidRDefault="00DA56A8" w:rsidP="00DA56A8">
            <w:pPr>
              <w:rPr>
                <w:sz w:val="18"/>
              </w:rPr>
            </w:pPr>
            <w:r w:rsidRPr="005F7A26">
              <w:rPr>
                <w:sz w:val="18"/>
              </w:rPr>
              <w:t>DOE (Chicago Site Office)</w:t>
            </w:r>
          </w:p>
        </w:tc>
        <w:tc>
          <w:tcPr>
            <w:tcW w:w="6570" w:type="dxa"/>
          </w:tcPr>
          <w:p w:rsidR="00DA56A8" w:rsidRPr="005F7A26" w:rsidRDefault="003C26E9" w:rsidP="00DA56A8">
            <w:pPr>
              <w:rPr>
                <w:sz w:val="18"/>
              </w:rPr>
            </w:pPr>
            <w:r>
              <w:rPr>
                <w:sz w:val="18"/>
              </w:rPr>
              <w:t>National l</w:t>
            </w:r>
            <w:r w:rsidR="00DA56A8" w:rsidRPr="005F7A26">
              <w:rPr>
                <w:sz w:val="18"/>
              </w:rPr>
              <w:t>abs for selection and DOE for project management</w:t>
            </w:r>
          </w:p>
        </w:tc>
      </w:tr>
      <w:tr w:rsidR="00DA56A8" w:rsidRPr="005F7A26" w:rsidTr="00FD4E3C">
        <w:tc>
          <w:tcPr>
            <w:tcW w:w="3168" w:type="dxa"/>
          </w:tcPr>
          <w:p w:rsidR="00DA56A8" w:rsidRPr="005F7A26" w:rsidRDefault="00DA56A8" w:rsidP="00DA56A8">
            <w:pPr>
              <w:rPr>
                <w:b/>
                <w:sz w:val="18"/>
              </w:rPr>
            </w:pPr>
            <w:r w:rsidRPr="005F7A26">
              <w:rPr>
                <w:b/>
                <w:sz w:val="18"/>
              </w:rPr>
              <w:t>Topics</w:t>
            </w:r>
          </w:p>
        </w:tc>
        <w:tc>
          <w:tcPr>
            <w:tcW w:w="4680" w:type="dxa"/>
          </w:tcPr>
          <w:p w:rsidR="00DA56A8" w:rsidRPr="005F7A26" w:rsidRDefault="00E7277B" w:rsidP="003C26E9">
            <w:pPr>
              <w:rPr>
                <w:sz w:val="18"/>
              </w:rPr>
            </w:pPr>
            <w:r>
              <w:rPr>
                <w:sz w:val="18"/>
              </w:rPr>
              <w:t>Research area are p</w:t>
            </w:r>
            <w:r w:rsidR="00DA56A8" w:rsidRPr="005F7A26">
              <w:rPr>
                <w:sz w:val="18"/>
              </w:rPr>
              <w:t>re-determined by DOE</w:t>
            </w:r>
          </w:p>
        </w:tc>
        <w:tc>
          <w:tcPr>
            <w:tcW w:w="6570" w:type="dxa"/>
          </w:tcPr>
          <w:p w:rsidR="00DA56A8" w:rsidRPr="005F7A26" w:rsidRDefault="00DA56A8" w:rsidP="003C26E9">
            <w:pPr>
              <w:rPr>
                <w:sz w:val="18"/>
              </w:rPr>
            </w:pPr>
            <w:r w:rsidRPr="005F7A26">
              <w:rPr>
                <w:sz w:val="18"/>
              </w:rPr>
              <w:t>Subprogram areas are  pre-determined</w:t>
            </w:r>
            <w:r w:rsidR="00E7277B">
              <w:rPr>
                <w:sz w:val="18"/>
              </w:rPr>
              <w:t xml:space="preserve"> based on funding availability for pilot</w:t>
            </w:r>
          </w:p>
        </w:tc>
      </w:tr>
      <w:tr w:rsidR="00DA56A8" w:rsidRPr="005F7A26" w:rsidTr="00FD4E3C">
        <w:tc>
          <w:tcPr>
            <w:tcW w:w="3168" w:type="dxa"/>
          </w:tcPr>
          <w:p w:rsidR="00DA56A8" w:rsidRPr="005F7A26" w:rsidRDefault="00DA56A8" w:rsidP="00DA56A8">
            <w:pPr>
              <w:rPr>
                <w:b/>
                <w:sz w:val="18"/>
              </w:rPr>
            </w:pPr>
            <w:r w:rsidRPr="005F7A26">
              <w:rPr>
                <w:b/>
                <w:sz w:val="18"/>
              </w:rPr>
              <w:t>Timing of Announcement</w:t>
            </w:r>
          </w:p>
        </w:tc>
        <w:tc>
          <w:tcPr>
            <w:tcW w:w="4680" w:type="dxa"/>
          </w:tcPr>
          <w:p w:rsidR="00DA56A8" w:rsidRPr="005F7A26" w:rsidRDefault="000656A8" w:rsidP="00DA56A8">
            <w:pPr>
              <w:rPr>
                <w:sz w:val="18"/>
              </w:rPr>
            </w:pPr>
            <w:r>
              <w:rPr>
                <w:sz w:val="18"/>
              </w:rPr>
              <w:t xml:space="preserve">Q4 and Q1 </w:t>
            </w:r>
            <w:r w:rsidR="00DA56A8" w:rsidRPr="005F7A26">
              <w:rPr>
                <w:sz w:val="18"/>
              </w:rPr>
              <w:t>for Phase I</w:t>
            </w:r>
            <w:r w:rsidR="00E7277B">
              <w:rPr>
                <w:sz w:val="18"/>
              </w:rPr>
              <w:t xml:space="preserve"> every fiscal year</w:t>
            </w:r>
          </w:p>
        </w:tc>
        <w:tc>
          <w:tcPr>
            <w:tcW w:w="6570" w:type="dxa"/>
          </w:tcPr>
          <w:p w:rsidR="00DA56A8" w:rsidRPr="005F7A26" w:rsidRDefault="00DA56A8" w:rsidP="000656A8">
            <w:pPr>
              <w:rPr>
                <w:sz w:val="18"/>
              </w:rPr>
            </w:pPr>
            <w:r w:rsidRPr="005F7A26">
              <w:rPr>
                <w:sz w:val="18"/>
              </w:rPr>
              <w:t xml:space="preserve">Three </w:t>
            </w:r>
            <w:r>
              <w:rPr>
                <w:sz w:val="18"/>
              </w:rPr>
              <w:t>cycles</w:t>
            </w:r>
            <w:r w:rsidR="00E7277B">
              <w:rPr>
                <w:sz w:val="18"/>
              </w:rPr>
              <w:t xml:space="preserve"> for pilot</w:t>
            </w:r>
            <w:r w:rsidR="003C26E9">
              <w:rPr>
                <w:sz w:val="18"/>
              </w:rPr>
              <w:t xml:space="preserve"> anticipated:</w:t>
            </w:r>
            <w:r w:rsidRPr="005F7A26">
              <w:rPr>
                <w:sz w:val="18"/>
              </w:rPr>
              <w:t xml:space="preserve"> FY15 </w:t>
            </w:r>
            <w:r>
              <w:rPr>
                <w:sz w:val="18"/>
              </w:rPr>
              <w:t>Q4</w:t>
            </w:r>
            <w:r w:rsidRPr="005F7A26">
              <w:rPr>
                <w:sz w:val="18"/>
              </w:rPr>
              <w:t>, FY16 Q1, and FY16 Q2</w:t>
            </w:r>
          </w:p>
        </w:tc>
      </w:tr>
      <w:tr w:rsidR="00DA56A8" w:rsidRPr="005F7A26" w:rsidTr="00FD4E3C">
        <w:tc>
          <w:tcPr>
            <w:tcW w:w="3168" w:type="dxa"/>
          </w:tcPr>
          <w:p w:rsidR="00DA56A8" w:rsidRPr="005F7A26" w:rsidRDefault="00DA56A8" w:rsidP="00DA56A8">
            <w:pPr>
              <w:rPr>
                <w:b/>
                <w:sz w:val="18"/>
              </w:rPr>
            </w:pPr>
            <w:r w:rsidRPr="005F7A26">
              <w:rPr>
                <w:b/>
                <w:sz w:val="18"/>
              </w:rPr>
              <w:t>Total Funding Available</w:t>
            </w:r>
          </w:p>
        </w:tc>
        <w:tc>
          <w:tcPr>
            <w:tcW w:w="4680" w:type="dxa"/>
          </w:tcPr>
          <w:p w:rsidR="00DA56A8" w:rsidRPr="005F7A26" w:rsidRDefault="00DA56A8" w:rsidP="00DA56A8">
            <w:pPr>
              <w:rPr>
                <w:sz w:val="18"/>
              </w:rPr>
            </w:pPr>
            <w:r w:rsidRPr="005F7A26">
              <w:rPr>
                <w:sz w:val="18"/>
              </w:rPr>
              <w:t>$189M (Fiscal Year 14; 370 awards)</w:t>
            </w:r>
          </w:p>
        </w:tc>
        <w:tc>
          <w:tcPr>
            <w:tcW w:w="6570" w:type="dxa"/>
          </w:tcPr>
          <w:p w:rsidR="00DA56A8" w:rsidRPr="005F7A26" w:rsidRDefault="00DA56A8" w:rsidP="000656A8">
            <w:pPr>
              <w:rPr>
                <w:sz w:val="18"/>
              </w:rPr>
            </w:pPr>
            <w:r>
              <w:rPr>
                <w:sz w:val="18"/>
              </w:rPr>
              <w:t>$</w:t>
            </w:r>
            <w:r w:rsidRPr="005F7A26">
              <w:rPr>
                <w:sz w:val="18"/>
              </w:rPr>
              <w:t>20M</w:t>
            </w:r>
            <w:r w:rsidR="003C26E9">
              <w:rPr>
                <w:sz w:val="18"/>
              </w:rPr>
              <w:t xml:space="preserve"> (Fiscal Y</w:t>
            </w:r>
            <w:r>
              <w:rPr>
                <w:sz w:val="18"/>
              </w:rPr>
              <w:t>ear</w:t>
            </w:r>
            <w:r w:rsidR="003C26E9">
              <w:rPr>
                <w:sz w:val="18"/>
              </w:rPr>
              <w:t>s</w:t>
            </w:r>
            <w:r>
              <w:rPr>
                <w:sz w:val="18"/>
              </w:rPr>
              <w:t xml:space="preserve"> 15 and 16; ~ 100 vouchers)</w:t>
            </w:r>
          </w:p>
        </w:tc>
      </w:tr>
      <w:tr w:rsidR="00DA56A8" w:rsidRPr="005F7A26" w:rsidTr="00FD4E3C">
        <w:trPr>
          <w:trHeight w:val="233"/>
        </w:trPr>
        <w:tc>
          <w:tcPr>
            <w:tcW w:w="3168" w:type="dxa"/>
          </w:tcPr>
          <w:p w:rsidR="00DA56A8" w:rsidRPr="005F7A26" w:rsidRDefault="00DA56A8" w:rsidP="00DA56A8">
            <w:pPr>
              <w:rPr>
                <w:b/>
                <w:sz w:val="18"/>
              </w:rPr>
            </w:pPr>
            <w:r w:rsidRPr="005F7A26">
              <w:rPr>
                <w:b/>
                <w:sz w:val="18"/>
              </w:rPr>
              <w:t>Size of Award</w:t>
            </w:r>
          </w:p>
        </w:tc>
        <w:tc>
          <w:tcPr>
            <w:tcW w:w="4680" w:type="dxa"/>
          </w:tcPr>
          <w:p w:rsidR="00DA56A8" w:rsidRPr="005F7A26" w:rsidRDefault="00DA56A8" w:rsidP="00DA56A8">
            <w:pPr>
              <w:rPr>
                <w:sz w:val="18"/>
              </w:rPr>
            </w:pPr>
            <w:r w:rsidRPr="005F7A26">
              <w:rPr>
                <w:sz w:val="18"/>
              </w:rPr>
              <w:t>Phase I: $150K</w:t>
            </w:r>
            <w:r>
              <w:rPr>
                <w:sz w:val="18"/>
              </w:rPr>
              <w:t xml:space="preserve"> </w:t>
            </w:r>
            <w:r w:rsidR="008F6A75">
              <w:rPr>
                <w:sz w:val="18"/>
              </w:rPr>
              <w:t xml:space="preserve">per award </w:t>
            </w:r>
            <w:r>
              <w:rPr>
                <w:sz w:val="18"/>
              </w:rPr>
              <w:t xml:space="preserve">and </w:t>
            </w:r>
            <w:r w:rsidRPr="005F7A26">
              <w:rPr>
                <w:sz w:val="18"/>
              </w:rPr>
              <w:t>Phase II: $1000K</w:t>
            </w:r>
            <w:r w:rsidR="008F6A75">
              <w:rPr>
                <w:sz w:val="18"/>
              </w:rPr>
              <w:t xml:space="preserve"> per award</w:t>
            </w:r>
          </w:p>
        </w:tc>
        <w:tc>
          <w:tcPr>
            <w:tcW w:w="6570" w:type="dxa"/>
          </w:tcPr>
          <w:p w:rsidR="00DA56A8" w:rsidRPr="005F7A26" w:rsidRDefault="00DA56A8" w:rsidP="00DA56A8">
            <w:pPr>
              <w:rPr>
                <w:sz w:val="18"/>
              </w:rPr>
            </w:pPr>
            <w:r w:rsidRPr="005F7A26">
              <w:rPr>
                <w:sz w:val="18"/>
              </w:rPr>
              <w:t>Up to $300K</w:t>
            </w:r>
            <w:r w:rsidR="008F6A75">
              <w:rPr>
                <w:sz w:val="18"/>
              </w:rPr>
              <w:t xml:space="preserve"> per voucher</w:t>
            </w:r>
          </w:p>
        </w:tc>
      </w:tr>
      <w:tr w:rsidR="00DA56A8" w:rsidRPr="005F7A26" w:rsidTr="00FD4E3C">
        <w:tc>
          <w:tcPr>
            <w:tcW w:w="3168" w:type="dxa"/>
          </w:tcPr>
          <w:p w:rsidR="00DA56A8" w:rsidRPr="005F7A26" w:rsidRDefault="00DA56A8" w:rsidP="00DA56A8">
            <w:pPr>
              <w:rPr>
                <w:b/>
                <w:sz w:val="18"/>
              </w:rPr>
            </w:pPr>
            <w:r w:rsidRPr="005F7A26">
              <w:rPr>
                <w:b/>
                <w:sz w:val="18"/>
              </w:rPr>
              <w:t>Engagement</w:t>
            </w:r>
          </w:p>
        </w:tc>
        <w:tc>
          <w:tcPr>
            <w:tcW w:w="4680" w:type="dxa"/>
          </w:tcPr>
          <w:p w:rsidR="00DA56A8" w:rsidRPr="005F7A26" w:rsidRDefault="00DA56A8" w:rsidP="00DA56A8">
            <w:pPr>
              <w:rPr>
                <w:sz w:val="18"/>
              </w:rPr>
            </w:pPr>
            <w:r w:rsidRPr="005F7A26">
              <w:rPr>
                <w:sz w:val="18"/>
              </w:rPr>
              <w:t>DOE</w:t>
            </w:r>
            <w:r w:rsidR="008F6A75">
              <w:rPr>
                <w:sz w:val="18"/>
              </w:rPr>
              <w:t xml:space="preserve"> Funding Opportunity A</w:t>
            </w:r>
            <w:r w:rsidRPr="005F7A26">
              <w:rPr>
                <w:sz w:val="18"/>
              </w:rPr>
              <w:t>nnouncement</w:t>
            </w:r>
            <w:r>
              <w:rPr>
                <w:sz w:val="18"/>
              </w:rPr>
              <w:t>s</w:t>
            </w:r>
          </w:p>
        </w:tc>
        <w:tc>
          <w:tcPr>
            <w:tcW w:w="6570" w:type="dxa"/>
          </w:tcPr>
          <w:p w:rsidR="00DA56A8" w:rsidRPr="005F7A26" w:rsidRDefault="00DA56A8" w:rsidP="00FD4E3C">
            <w:pPr>
              <w:rPr>
                <w:sz w:val="18"/>
              </w:rPr>
            </w:pPr>
            <w:r w:rsidRPr="005F7A26">
              <w:rPr>
                <w:sz w:val="18"/>
              </w:rPr>
              <w:t>Lab actively</w:t>
            </w:r>
            <w:r>
              <w:rPr>
                <w:sz w:val="18"/>
              </w:rPr>
              <w:t xml:space="preserve"> </w:t>
            </w:r>
            <w:r w:rsidRPr="005F7A26">
              <w:rPr>
                <w:sz w:val="18"/>
              </w:rPr>
              <w:t xml:space="preserve">conducting outreach </w:t>
            </w:r>
            <w:r w:rsidR="00FD4E3C">
              <w:rPr>
                <w:sz w:val="18"/>
              </w:rPr>
              <w:t xml:space="preserve">about their capabilities </w:t>
            </w:r>
            <w:r w:rsidRPr="005F7A26">
              <w:rPr>
                <w:sz w:val="18"/>
              </w:rPr>
              <w:t xml:space="preserve">throughout </w:t>
            </w:r>
            <w:r w:rsidR="00FD4E3C">
              <w:rPr>
                <w:sz w:val="18"/>
              </w:rPr>
              <w:t xml:space="preserve">pilot </w:t>
            </w:r>
          </w:p>
        </w:tc>
      </w:tr>
    </w:tbl>
    <w:p w:rsidR="00D93289" w:rsidRDefault="00D93289" w:rsidP="00DE38EC"/>
    <w:p w:rsidR="003C26E9" w:rsidRDefault="003C26E9" w:rsidP="00DE38EC">
      <w:pPr>
        <w:contextualSpacing/>
      </w:pPr>
    </w:p>
    <w:p w:rsidR="002D02BD" w:rsidRDefault="00A40AA2" w:rsidP="002D02BD">
      <w:pPr>
        <w:pStyle w:val="PlainText"/>
        <w:rPr>
          <w:b/>
        </w:rPr>
      </w:pPr>
      <w:r>
        <w:rPr>
          <w:b/>
        </w:rPr>
        <w:lastRenderedPageBreak/>
        <w:t>Q6</w:t>
      </w:r>
      <w:r w:rsidR="002D02BD" w:rsidRPr="002D02BD">
        <w:rPr>
          <w:b/>
        </w:rPr>
        <w:t>.</w:t>
      </w:r>
      <w:r w:rsidR="002D02BD">
        <w:rPr>
          <w:b/>
        </w:rPr>
        <w:t xml:space="preserve"> What funds are you using?</w:t>
      </w:r>
    </w:p>
    <w:p w:rsidR="002D02BD" w:rsidRDefault="00A40AA2" w:rsidP="002D02BD">
      <w:pPr>
        <w:pStyle w:val="PlainText"/>
      </w:pPr>
      <w:r>
        <w:t>A6</w:t>
      </w:r>
      <w:r w:rsidR="002D02BD" w:rsidRPr="002D02BD">
        <w:t xml:space="preserve">. </w:t>
      </w:r>
      <w:r w:rsidR="002D02BD">
        <w:t xml:space="preserve"> The Small Business Vouchers pilot will draw upon fiscal year 2015 appropriations for EERE programs, with anticipation that the fiscal year 2016 activities can be covered with the fiscal year 2015 funds.</w:t>
      </w:r>
    </w:p>
    <w:p w:rsidR="002D02BD" w:rsidRPr="002D02BD" w:rsidRDefault="002D02BD" w:rsidP="002D02BD">
      <w:pPr>
        <w:pStyle w:val="PlainText"/>
      </w:pPr>
    </w:p>
    <w:p w:rsidR="002D02BD" w:rsidRDefault="00A40AA2" w:rsidP="002D02BD">
      <w:r>
        <w:rPr>
          <w:b/>
        </w:rPr>
        <w:t>Q7</w:t>
      </w:r>
      <w:r w:rsidR="002D02BD" w:rsidRPr="002D02BD">
        <w:rPr>
          <w:b/>
        </w:rPr>
        <w:t>. Why haven't we heard about this before?</w:t>
      </w:r>
    </w:p>
    <w:p w:rsidR="0086586A" w:rsidRDefault="00A40AA2" w:rsidP="002D02BD">
      <w:r>
        <w:t>A7</w:t>
      </w:r>
      <w:bookmarkStart w:id="0" w:name="_GoBack"/>
      <w:bookmarkEnd w:id="0"/>
      <w:r w:rsidR="002D02BD">
        <w:t xml:space="preserve">. The Small Business Vouchers pilot utilizes existing </w:t>
      </w:r>
      <w:r w:rsidR="00FA14CF">
        <w:t xml:space="preserve">laboratory </w:t>
      </w:r>
      <w:r w:rsidR="002D02BD">
        <w:t xml:space="preserve">M&amp;O contract </w:t>
      </w:r>
      <w:r w:rsidR="00FA14CF">
        <w:t xml:space="preserve">with the Department, </w:t>
      </w:r>
      <w:r w:rsidR="002D02BD">
        <w:t xml:space="preserve">and </w:t>
      </w:r>
      <w:r w:rsidR="00FA14CF">
        <w:t xml:space="preserve">the </w:t>
      </w:r>
      <w:r w:rsidR="002D02BD">
        <w:t xml:space="preserve">Annual Operating Plans </w:t>
      </w:r>
      <w:r w:rsidR="00FA14CF">
        <w:t xml:space="preserve">(AOPs) </w:t>
      </w:r>
      <w:r w:rsidR="002D02BD">
        <w:t>to fund laboratories to work with small businesses. The Energy Department has always support individual laboratories working with small businesses using the regular Annual Operating Plan mechanism</w:t>
      </w:r>
      <w:r w:rsidR="00FA14CF">
        <w:t xml:space="preserve"> where the joint work typically takes form as a</w:t>
      </w:r>
      <w:r w:rsidR="002D02BD">
        <w:t xml:space="preserve"> Cooperative Research and Development Agree</w:t>
      </w:r>
      <w:r w:rsidR="00FA14CF">
        <w:t>ment</w:t>
      </w:r>
      <w:r w:rsidR="002D02BD">
        <w:t xml:space="preserve"> (or CRADA)</w:t>
      </w:r>
      <w:r w:rsidR="00FA14CF">
        <w:t xml:space="preserve">. The Small Business Vouchers pilot </w:t>
      </w:r>
      <w:r w:rsidR="002D02BD">
        <w:t>organizes and coordinates these existing efforts</w:t>
      </w:r>
      <w:r w:rsidR="00FA14CF">
        <w:t xml:space="preserve"> within EERE using the same AOP and CRADA relationships. Thus, EERE does not consider this pilot a “new start”. The </w:t>
      </w:r>
      <w:r w:rsidR="001029DF">
        <w:t>main benefits of the pilot framework are</w:t>
      </w:r>
      <w:r w:rsidR="00FA14CF">
        <w:t xml:space="preserve"> the ability for the labs and DOE</w:t>
      </w:r>
      <w:r w:rsidR="001029DF">
        <w:t>-EERE</w:t>
      </w:r>
      <w:r w:rsidR="00FA14CF">
        <w:t xml:space="preserve"> to realize </w:t>
      </w:r>
      <w:r w:rsidR="002D02BD">
        <w:t>process</w:t>
      </w:r>
      <w:r w:rsidR="001029DF">
        <w:t xml:space="preserve"> </w:t>
      </w:r>
      <w:r w:rsidR="00FA14CF">
        <w:t>improvement</w:t>
      </w:r>
      <w:r w:rsidR="001029DF">
        <w:t xml:space="preserve">s (e.g. </w:t>
      </w:r>
      <w:proofErr w:type="spellStart"/>
      <w:r w:rsidR="001029DF">
        <w:t>interlab</w:t>
      </w:r>
      <w:proofErr w:type="spellEnd"/>
      <w:r w:rsidR="001029DF">
        <w:t xml:space="preserve"> partnerships, improvement in the business transaction timelines) </w:t>
      </w:r>
      <w:r w:rsidR="00FA14CF">
        <w:t xml:space="preserve">that enhance these </w:t>
      </w:r>
      <w:r w:rsidR="001029DF">
        <w:t xml:space="preserve">lab-small business </w:t>
      </w:r>
      <w:r w:rsidR="00FA14CF">
        <w:t xml:space="preserve">partnerships, and </w:t>
      </w:r>
      <w:r w:rsidR="001029DF">
        <w:t xml:space="preserve">the coordinated dissemination of information on laboratory capabilities that will encourage </w:t>
      </w:r>
      <w:r w:rsidR="00FA14CF">
        <w:t>new lab-small business partnerships to form.</w:t>
      </w:r>
    </w:p>
    <w:sectPr w:rsidR="0086586A" w:rsidSect="00BA13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48"/>
    <w:rsid w:val="000656A8"/>
    <w:rsid w:val="000759AF"/>
    <w:rsid w:val="000A2187"/>
    <w:rsid w:val="000C1D2A"/>
    <w:rsid w:val="001029DF"/>
    <w:rsid w:val="00141011"/>
    <w:rsid w:val="00231369"/>
    <w:rsid w:val="00260147"/>
    <w:rsid w:val="002D02BD"/>
    <w:rsid w:val="00373B9A"/>
    <w:rsid w:val="003C26E9"/>
    <w:rsid w:val="00461686"/>
    <w:rsid w:val="004B2F63"/>
    <w:rsid w:val="004F1EFB"/>
    <w:rsid w:val="00557E8F"/>
    <w:rsid w:val="00673820"/>
    <w:rsid w:val="00725DFD"/>
    <w:rsid w:val="0086586A"/>
    <w:rsid w:val="008C7C87"/>
    <w:rsid w:val="008F6A75"/>
    <w:rsid w:val="009A00A5"/>
    <w:rsid w:val="009D430A"/>
    <w:rsid w:val="00A40AA2"/>
    <w:rsid w:val="00B53D93"/>
    <w:rsid w:val="00BA136D"/>
    <w:rsid w:val="00BC5438"/>
    <w:rsid w:val="00CA2ACF"/>
    <w:rsid w:val="00D92148"/>
    <w:rsid w:val="00D93289"/>
    <w:rsid w:val="00DA56A8"/>
    <w:rsid w:val="00DE38EC"/>
    <w:rsid w:val="00E7277B"/>
    <w:rsid w:val="00F23FB1"/>
    <w:rsid w:val="00FA14CF"/>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1EFB"/>
    <w:rPr>
      <w:sz w:val="16"/>
      <w:szCs w:val="16"/>
    </w:rPr>
  </w:style>
  <w:style w:type="paragraph" w:styleId="CommentText">
    <w:name w:val="annotation text"/>
    <w:basedOn w:val="Normal"/>
    <w:link w:val="CommentTextChar"/>
    <w:uiPriority w:val="99"/>
    <w:semiHidden/>
    <w:unhideWhenUsed/>
    <w:rsid w:val="004F1EFB"/>
    <w:rPr>
      <w:sz w:val="20"/>
      <w:szCs w:val="20"/>
    </w:rPr>
  </w:style>
  <w:style w:type="character" w:customStyle="1" w:styleId="CommentTextChar">
    <w:name w:val="Comment Text Char"/>
    <w:basedOn w:val="DefaultParagraphFont"/>
    <w:link w:val="CommentText"/>
    <w:uiPriority w:val="99"/>
    <w:semiHidden/>
    <w:rsid w:val="004F1EF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EFB"/>
    <w:rPr>
      <w:b/>
      <w:bCs/>
    </w:rPr>
  </w:style>
  <w:style w:type="character" w:customStyle="1" w:styleId="CommentSubjectChar">
    <w:name w:val="Comment Subject Char"/>
    <w:basedOn w:val="CommentTextChar"/>
    <w:link w:val="CommentSubject"/>
    <w:uiPriority w:val="99"/>
    <w:semiHidden/>
    <w:rsid w:val="004F1EFB"/>
    <w:rPr>
      <w:rFonts w:ascii="Calibri" w:hAnsi="Calibri" w:cs="Times New Roman"/>
      <w:b/>
      <w:bCs/>
      <w:sz w:val="20"/>
      <w:szCs w:val="20"/>
    </w:rPr>
  </w:style>
  <w:style w:type="paragraph" w:styleId="BalloonText">
    <w:name w:val="Balloon Text"/>
    <w:basedOn w:val="Normal"/>
    <w:link w:val="BalloonTextChar"/>
    <w:uiPriority w:val="99"/>
    <w:semiHidden/>
    <w:unhideWhenUsed/>
    <w:rsid w:val="004F1EFB"/>
    <w:rPr>
      <w:rFonts w:ascii="Tahoma" w:hAnsi="Tahoma" w:cs="Tahoma"/>
      <w:sz w:val="16"/>
      <w:szCs w:val="16"/>
    </w:rPr>
  </w:style>
  <w:style w:type="character" w:customStyle="1" w:styleId="BalloonTextChar">
    <w:name w:val="Balloon Text Char"/>
    <w:basedOn w:val="DefaultParagraphFont"/>
    <w:link w:val="BalloonText"/>
    <w:uiPriority w:val="99"/>
    <w:semiHidden/>
    <w:rsid w:val="004F1EFB"/>
    <w:rPr>
      <w:rFonts w:ascii="Tahoma" w:hAnsi="Tahoma" w:cs="Tahoma"/>
      <w:sz w:val="16"/>
      <w:szCs w:val="16"/>
    </w:rPr>
  </w:style>
  <w:style w:type="paragraph" w:styleId="PlainText">
    <w:name w:val="Plain Text"/>
    <w:basedOn w:val="Normal"/>
    <w:link w:val="PlainTextChar"/>
    <w:uiPriority w:val="99"/>
    <w:semiHidden/>
    <w:unhideWhenUsed/>
    <w:rsid w:val="002D02BD"/>
    <w:rPr>
      <w:rFonts w:cstheme="minorBidi"/>
      <w:szCs w:val="21"/>
    </w:rPr>
  </w:style>
  <w:style w:type="character" w:customStyle="1" w:styleId="PlainTextChar">
    <w:name w:val="Plain Text Char"/>
    <w:basedOn w:val="DefaultParagraphFont"/>
    <w:link w:val="PlainText"/>
    <w:uiPriority w:val="99"/>
    <w:semiHidden/>
    <w:rsid w:val="002D02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1EFB"/>
    <w:rPr>
      <w:sz w:val="16"/>
      <w:szCs w:val="16"/>
    </w:rPr>
  </w:style>
  <w:style w:type="paragraph" w:styleId="CommentText">
    <w:name w:val="annotation text"/>
    <w:basedOn w:val="Normal"/>
    <w:link w:val="CommentTextChar"/>
    <w:uiPriority w:val="99"/>
    <w:semiHidden/>
    <w:unhideWhenUsed/>
    <w:rsid w:val="004F1EFB"/>
    <w:rPr>
      <w:sz w:val="20"/>
      <w:szCs w:val="20"/>
    </w:rPr>
  </w:style>
  <w:style w:type="character" w:customStyle="1" w:styleId="CommentTextChar">
    <w:name w:val="Comment Text Char"/>
    <w:basedOn w:val="DefaultParagraphFont"/>
    <w:link w:val="CommentText"/>
    <w:uiPriority w:val="99"/>
    <w:semiHidden/>
    <w:rsid w:val="004F1EF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EFB"/>
    <w:rPr>
      <w:b/>
      <w:bCs/>
    </w:rPr>
  </w:style>
  <w:style w:type="character" w:customStyle="1" w:styleId="CommentSubjectChar">
    <w:name w:val="Comment Subject Char"/>
    <w:basedOn w:val="CommentTextChar"/>
    <w:link w:val="CommentSubject"/>
    <w:uiPriority w:val="99"/>
    <w:semiHidden/>
    <w:rsid w:val="004F1EFB"/>
    <w:rPr>
      <w:rFonts w:ascii="Calibri" w:hAnsi="Calibri" w:cs="Times New Roman"/>
      <w:b/>
      <w:bCs/>
      <w:sz w:val="20"/>
      <w:szCs w:val="20"/>
    </w:rPr>
  </w:style>
  <w:style w:type="paragraph" w:styleId="BalloonText">
    <w:name w:val="Balloon Text"/>
    <w:basedOn w:val="Normal"/>
    <w:link w:val="BalloonTextChar"/>
    <w:uiPriority w:val="99"/>
    <w:semiHidden/>
    <w:unhideWhenUsed/>
    <w:rsid w:val="004F1EFB"/>
    <w:rPr>
      <w:rFonts w:ascii="Tahoma" w:hAnsi="Tahoma" w:cs="Tahoma"/>
      <w:sz w:val="16"/>
      <w:szCs w:val="16"/>
    </w:rPr>
  </w:style>
  <w:style w:type="character" w:customStyle="1" w:styleId="BalloonTextChar">
    <w:name w:val="Balloon Text Char"/>
    <w:basedOn w:val="DefaultParagraphFont"/>
    <w:link w:val="BalloonText"/>
    <w:uiPriority w:val="99"/>
    <w:semiHidden/>
    <w:rsid w:val="004F1EFB"/>
    <w:rPr>
      <w:rFonts w:ascii="Tahoma" w:hAnsi="Tahoma" w:cs="Tahoma"/>
      <w:sz w:val="16"/>
      <w:szCs w:val="16"/>
    </w:rPr>
  </w:style>
  <w:style w:type="paragraph" w:styleId="PlainText">
    <w:name w:val="Plain Text"/>
    <w:basedOn w:val="Normal"/>
    <w:link w:val="PlainTextChar"/>
    <w:uiPriority w:val="99"/>
    <w:semiHidden/>
    <w:unhideWhenUsed/>
    <w:rsid w:val="002D02BD"/>
    <w:rPr>
      <w:rFonts w:cstheme="minorBidi"/>
      <w:szCs w:val="21"/>
    </w:rPr>
  </w:style>
  <w:style w:type="character" w:customStyle="1" w:styleId="PlainTextChar">
    <w:name w:val="Plain Text Char"/>
    <w:basedOn w:val="DefaultParagraphFont"/>
    <w:link w:val="PlainText"/>
    <w:uiPriority w:val="99"/>
    <w:semiHidden/>
    <w:rsid w:val="002D02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5570">
      <w:bodyDiv w:val="1"/>
      <w:marLeft w:val="0"/>
      <w:marRight w:val="0"/>
      <w:marTop w:val="0"/>
      <w:marBottom w:val="0"/>
      <w:divBdr>
        <w:top w:val="none" w:sz="0" w:space="0" w:color="auto"/>
        <w:left w:val="none" w:sz="0" w:space="0" w:color="auto"/>
        <w:bottom w:val="none" w:sz="0" w:space="0" w:color="auto"/>
        <w:right w:val="none" w:sz="0" w:space="0" w:color="auto"/>
      </w:divBdr>
    </w:div>
    <w:div w:id="16179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 Jill (CONTR)</dc:creator>
  <cp:lastModifiedBy>DOEUSER</cp:lastModifiedBy>
  <cp:revision>3</cp:revision>
  <cp:lastPrinted>2015-07-07T14:41:00Z</cp:lastPrinted>
  <dcterms:created xsi:type="dcterms:W3CDTF">2015-07-14T18:12:00Z</dcterms:created>
  <dcterms:modified xsi:type="dcterms:W3CDTF">2015-07-14T18:13:00Z</dcterms:modified>
</cp:coreProperties>
</file>