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2D2" w:rsidRPr="005A2646" w:rsidRDefault="00FA52D2" w:rsidP="0072219A">
      <w:pPr>
        <w:pStyle w:val="CompanyName"/>
        <w:spacing w:before="240" w:after="240" w:line="240" w:lineRule="auto"/>
        <w:jc w:val="center"/>
        <w:rPr>
          <w:rFonts w:asciiTheme="minorHAnsi" w:hAnsiTheme="minorHAnsi"/>
          <w:b/>
          <w:sz w:val="72"/>
          <w:szCs w:val="72"/>
        </w:rPr>
      </w:pPr>
      <w:r w:rsidRPr="005A2646">
        <w:rPr>
          <w:rFonts w:asciiTheme="minorHAnsi" w:hAnsiTheme="minorHAnsi"/>
          <w:b/>
          <w:noProof/>
          <w:sz w:val="72"/>
          <w:szCs w:val="72"/>
        </w:rPr>
        <w:drawing>
          <wp:inline distT="0" distB="0" distL="0" distR="0" wp14:anchorId="2768F8BA" wp14:editId="011AAD00">
            <wp:extent cx="3954483" cy="3954483"/>
            <wp:effectExtent l="19050" t="0" r="7917" b="0"/>
            <wp:docPr id="1" name="Picture 0" descr="New_DOE_Seal_Color_Hi-Res_042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DOE_Seal_Color_Hi-Res_042808.jpg"/>
                    <pic:cNvPicPr/>
                  </pic:nvPicPr>
                  <pic:blipFill>
                    <a:blip r:embed="rId9" cstate="print"/>
                    <a:stretch>
                      <a:fillRect/>
                    </a:stretch>
                  </pic:blipFill>
                  <pic:spPr>
                    <a:xfrm>
                      <a:off x="0" y="0"/>
                      <a:ext cx="3962839" cy="3962839"/>
                    </a:xfrm>
                    <a:prstGeom prst="rect">
                      <a:avLst/>
                    </a:prstGeom>
                  </pic:spPr>
                </pic:pic>
              </a:graphicData>
            </a:graphic>
          </wp:inline>
        </w:drawing>
      </w:r>
    </w:p>
    <w:p w:rsidR="00FA52D2" w:rsidRPr="005A2646" w:rsidRDefault="00FA52D2" w:rsidP="00FA52D2">
      <w:pPr>
        <w:rPr>
          <w:rFonts w:asciiTheme="minorHAnsi" w:hAnsiTheme="minorHAnsi"/>
        </w:rPr>
      </w:pPr>
    </w:p>
    <w:p w:rsidR="009A0C90" w:rsidRPr="005A2646" w:rsidRDefault="005359A7" w:rsidP="0072219A">
      <w:pPr>
        <w:pStyle w:val="CompanyName"/>
        <w:spacing w:before="240" w:after="240" w:line="240" w:lineRule="auto"/>
        <w:jc w:val="center"/>
        <w:rPr>
          <w:rFonts w:asciiTheme="minorHAnsi" w:hAnsiTheme="minorHAnsi"/>
          <w:b/>
          <w:color w:val="000000" w:themeColor="text1"/>
          <w:sz w:val="72"/>
          <w:szCs w:val="72"/>
        </w:rPr>
      </w:pPr>
      <w:r w:rsidRPr="005A2646">
        <w:rPr>
          <w:rFonts w:asciiTheme="minorHAnsi" w:hAnsiTheme="minorHAnsi"/>
          <w:b/>
          <w:color w:val="000000" w:themeColor="text1"/>
          <w:sz w:val="72"/>
          <w:szCs w:val="72"/>
        </w:rPr>
        <w:t xml:space="preserve">Inherently Governmental and Commercial </w:t>
      </w:r>
    </w:p>
    <w:p w:rsidR="005359A7" w:rsidRPr="005A2646" w:rsidRDefault="005359A7" w:rsidP="0072219A">
      <w:pPr>
        <w:pStyle w:val="CompanyName"/>
        <w:spacing w:before="240" w:after="240" w:line="240" w:lineRule="auto"/>
        <w:jc w:val="center"/>
        <w:rPr>
          <w:rFonts w:asciiTheme="minorHAnsi" w:hAnsiTheme="minorHAnsi"/>
          <w:b/>
          <w:color w:val="000000" w:themeColor="text1"/>
          <w:sz w:val="72"/>
          <w:szCs w:val="72"/>
        </w:rPr>
      </w:pPr>
      <w:r w:rsidRPr="005A2646">
        <w:rPr>
          <w:rFonts w:asciiTheme="minorHAnsi" w:hAnsiTheme="minorHAnsi"/>
          <w:b/>
          <w:color w:val="000000" w:themeColor="text1"/>
          <w:sz w:val="72"/>
          <w:szCs w:val="72"/>
        </w:rPr>
        <w:t>Activities (IGCA) Inventory Guidance</w:t>
      </w:r>
    </w:p>
    <w:p w:rsidR="000D4EF5" w:rsidRPr="005A2646" w:rsidRDefault="000D4EF5" w:rsidP="000D4EF5">
      <w:pPr>
        <w:rPr>
          <w:rFonts w:asciiTheme="minorHAnsi" w:hAnsiTheme="minorHAnsi"/>
          <w:color w:val="000000" w:themeColor="text1"/>
          <w:sz w:val="72"/>
          <w:szCs w:val="72"/>
        </w:rPr>
      </w:pPr>
    </w:p>
    <w:p w:rsidR="0099279D" w:rsidRPr="005A2646" w:rsidRDefault="000D4EF5" w:rsidP="0072219A">
      <w:pPr>
        <w:pStyle w:val="CompanyName"/>
        <w:spacing w:before="100" w:beforeAutospacing="1" w:after="100" w:afterAutospacing="1" w:line="240" w:lineRule="auto"/>
        <w:jc w:val="center"/>
        <w:rPr>
          <w:rFonts w:asciiTheme="minorHAnsi" w:hAnsiTheme="minorHAnsi"/>
          <w:b/>
          <w:color w:val="000000" w:themeColor="text1"/>
          <w:sz w:val="72"/>
          <w:szCs w:val="72"/>
        </w:rPr>
      </w:pPr>
      <w:r w:rsidRPr="005A2646">
        <w:rPr>
          <w:rFonts w:asciiTheme="minorHAnsi" w:hAnsiTheme="minorHAnsi"/>
          <w:b/>
          <w:color w:val="000000" w:themeColor="text1"/>
          <w:sz w:val="72"/>
          <w:szCs w:val="72"/>
        </w:rPr>
        <w:t>201</w:t>
      </w:r>
      <w:r w:rsidR="000A1E65" w:rsidRPr="005A2646">
        <w:rPr>
          <w:rFonts w:asciiTheme="minorHAnsi" w:hAnsiTheme="minorHAnsi"/>
          <w:b/>
          <w:color w:val="000000" w:themeColor="text1"/>
          <w:sz w:val="72"/>
          <w:szCs w:val="72"/>
        </w:rPr>
        <w:t>5</w:t>
      </w:r>
    </w:p>
    <w:sdt>
      <w:sdtPr>
        <w:rPr>
          <w:rFonts w:asciiTheme="minorHAnsi" w:eastAsia="Times New Roman" w:hAnsiTheme="minorHAnsi" w:cs="Times New Roman"/>
          <w:b w:val="0"/>
          <w:bCs w:val="0"/>
          <w:color w:val="auto"/>
          <w:sz w:val="16"/>
          <w:szCs w:val="20"/>
        </w:rPr>
        <w:id w:val="12209466"/>
        <w:docPartObj>
          <w:docPartGallery w:val="Table of Contents"/>
          <w:docPartUnique/>
        </w:docPartObj>
      </w:sdtPr>
      <w:sdtEndPr/>
      <w:sdtContent>
        <w:p w:rsidR="00B66B17" w:rsidRPr="005A2646" w:rsidRDefault="00B66B17" w:rsidP="00AD456C">
          <w:pPr>
            <w:pStyle w:val="TOCHeading"/>
            <w:rPr>
              <w:rFonts w:asciiTheme="minorHAnsi" w:hAnsiTheme="minorHAnsi"/>
            </w:rPr>
          </w:pPr>
          <w:r w:rsidRPr="005A2646">
            <w:rPr>
              <w:rFonts w:asciiTheme="minorHAnsi" w:hAnsiTheme="minorHAnsi"/>
            </w:rPr>
            <w:t>Table of Contents</w:t>
          </w:r>
        </w:p>
        <w:p w:rsidR="00294F2B" w:rsidRDefault="00B95F00">
          <w:pPr>
            <w:pStyle w:val="TOC1"/>
            <w:tabs>
              <w:tab w:val="right" w:leader="dot" w:pos="9350"/>
            </w:tabs>
            <w:rPr>
              <w:rFonts w:eastAsiaTheme="minorEastAsia" w:cstheme="minorBidi"/>
              <w:b w:val="0"/>
              <w:bCs w:val="0"/>
              <w:caps w:val="0"/>
              <w:noProof/>
              <w:sz w:val="22"/>
              <w:szCs w:val="22"/>
            </w:rPr>
          </w:pPr>
          <w:r w:rsidRPr="005A2646">
            <w:rPr>
              <w:b w:val="0"/>
              <w:bCs w:val="0"/>
              <w:caps w:val="0"/>
            </w:rPr>
            <w:fldChar w:fldCharType="begin"/>
          </w:r>
          <w:r w:rsidR="00C27A43" w:rsidRPr="005A2646">
            <w:rPr>
              <w:b w:val="0"/>
              <w:bCs w:val="0"/>
              <w:caps w:val="0"/>
            </w:rPr>
            <w:instrText xml:space="preserve"> TOC \o "1-3" \h \z \u </w:instrText>
          </w:r>
          <w:r w:rsidRPr="005A2646">
            <w:rPr>
              <w:b w:val="0"/>
              <w:bCs w:val="0"/>
              <w:caps w:val="0"/>
            </w:rPr>
            <w:fldChar w:fldCharType="separate"/>
          </w:r>
          <w:hyperlink w:anchor="_Toc416337765" w:history="1">
            <w:r w:rsidR="00294F2B" w:rsidRPr="00CB517B">
              <w:rPr>
                <w:rStyle w:val="Hyperlink"/>
                <w:noProof/>
              </w:rPr>
              <w:t>Summary</w:t>
            </w:r>
            <w:r w:rsidR="00294F2B">
              <w:rPr>
                <w:noProof/>
                <w:webHidden/>
              </w:rPr>
              <w:tab/>
            </w:r>
            <w:r w:rsidR="00294F2B">
              <w:rPr>
                <w:noProof/>
                <w:webHidden/>
              </w:rPr>
              <w:fldChar w:fldCharType="begin"/>
            </w:r>
            <w:r w:rsidR="00294F2B">
              <w:rPr>
                <w:noProof/>
                <w:webHidden/>
              </w:rPr>
              <w:instrText xml:space="preserve"> PAGEREF _Toc416337765 \h </w:instrText>
            </w:r>
            <w:r w:rsidR="00294F2B">
              <w:rPr>
                <w:noProof/>
                <w:webHidden/>
              </w:rPr>
            </w:r>
            <w:r w:rsidR="00294F2B">
              <w:rPr>
                <w:noProof/>
                <w:webHidden/>
              </w:rPr>
              <w:fldChar w:fldCharType="separate"/>
            </w:r>
            <w:r w:rsidR="00294F2B">
              <w:rPr>
                <w:noProof/>
                <w:webHidden/>
              </w:rPr>
              <w:t>iii</w:t>
            </w:r>
            <w:r w:rsidR="00294F2B">
              <w:rPr>
                <w:noProof/>
                <w:webHidden/>
              </w:rPr>
              <w:fldChar w:fldCharType="end"/>
            </w:r>
          </w:hyperlink>
        </w:p>
        <w:p w:rsidR="00294F2B" w:rsidRDefault="00ED0499">
          <w:pPr>
            <w:pStyle w:val="TOC1"/>
            <w:tabs>
              <w:tab w:val="right" w:leader="dot" w:pos="9350"/>
            </w:tabs>
            <w:rPr>
              <w:rFonts w:eastAsiaTheme="minorEastAsia" w:cstheme="minorBidi"/>
              <w:b w:val="0"/>
              <w:bCs w:val="0"/>
              <w:caps w:val="0"/>
              <w:noProof/>
              <w:sz w:val="22"/>
              <w:szCs w:val="22"/>
            </w:rPr>
          </w:pPr>
          <w:hyperlink w:anchor="_Toc416337766" w:history="1">
            <w:r w:rsidR="00294F2B" w:rsidRPr="00CB517B">
              <w:rPr>
                <w:rStyle w:val="Hyperlink"/>
                <w:noProof/>
              </w:rPr>
              <w:t>Guide to Inventory Submission</w:t>
            </w:r>
            <w:r w:rsidR="00294F2B">
              <w:rPr>
                <w:noProof/>
                <w:webHidden/>
              </w:rPr>
              <w:tab/>
            </w:r>
            <w:r w:rsidR="00294F2B">
              <w:rPr>
                <w:noProof/>
                <w:webHidden/>
              </w:rPr>
              <w:fldChar w:fldCharType="begin"/>
            </w:r>
            <w:r w:rsidR="00294F2B">
              <w:rPr>
                <w:noProof/>
                <w:webHidden/>
              </w:rPr>
              <w:instrText xml:space="preserve"> PAGEREF _Toc416337766 \h </w:instrText>
            </w:r>
            <w:r w:rsidR="00294F2B">
              <w:rPr>
                <w:noProof/>
                <w:webHidden/>
              </w:rPr>
            </w:r>
            <w:r w:rsidR="00294F2B">
              <w:rPr>
                <w:noProof/>
                <w:webHidden/>
              </w:rPr>
              <w:fldChar w:fldCharType="separate"/>
            </w:r>
            <w:r w:rsidR="00294F2B">
              <w:rPr>
                <w:noProof/>
                <w:webHidden/>
              </w:rPr>
              <w:t>1</w:t>
            </w:r>
            <w:r w:rsidR="00294F2B">
              <w:rPr>
                <w:noProof/>
                <w:webHidden/>
              </w:rPr>
              <w:fldChar w:fldCharType="end"/>
            </w:r>
          </w:hyperlink>
        </w:p>
        <w:p w:rsidR="00294F2B" w:rsidRDefault="00ED0499">
          <w:pPr>
            <w:pStyle w:val="TOC2"/>
            <w:tabs>
              <w:tab w:val="right" w:leader="dot" w:pos="9350"/>
            </w:tabs>
            <w:rPr>
              <w:rFonts w:eastAsiaTheme="minorEastAsia" w:cstheme="minorBidi"/>
              <w:smallCaps w:val="0"/>
              <w:noProof/>
              <w:sz w:val="22"/>
              <w:szCs w:val="22"/>
            </w:rPr>
          </w:pPr>
          <w:hyperlink w:anchor="_Toc416337767" w:history="1">
            <w:r w:rsidR="00294F2B" w:rsidRPr="00CB517B">
              <w:rPr>
                <w:rStyle w:val="Hyperlink"/>
                <w:b/>
                <w:bCs/>
                <w:noProof/>
              </w:rPr>
              <w:t>DOE Function Codes</w:t>
            </w:r>
            <w:r w:rsidR="00294F2B">
              <w:rPr>
                <w:noProof/>
                <w:webHidden/>
              </w:rPr>
              <w:tab/>
            </w:r>
            <w:r w:rsidR="00294F2B">
              <w:rPr>
                <w:noProof/>
                <w:webHidden/>
              </w:rPr>
              <w:fldChar w:fldCharType="begin"/>
            </w:r>
            <w:r w:rsidR="00294F2B">
              <w:rPr>
                <w:noProof/>
                <w:webHidden/>
              </w:rPr>
              <w:instrText xml:space="preserve"> PAGEREF _Toc416337767 \h </w:instrText>
            </w:r>
            <w:r w:rsidR="00294F2B">
              <w:rPr>
                <w:noProof/>
                <w:webHidden/>
              </w:rPr>
            </w:r>
            <w:r w:rsidR="00294F2B">
              <w:rPr>
                <w:noProof/>
                <w:webHidden/>
              </w:rPr>
              <w:fldChar w:fldCharType="separate"/>
            </w:r>
            <w:r w:rsidR="00294F2B">
              <w:rPr>
                <w:noProof/>
                <w:webHidden/>
              </w:rPr>
              <w:t>1</w:t>
            </w:r>
            <w:r w:rsidR="00294F2B">
              <w:rPr>
                <w:noProof/>
                <w:webHidden/>
              </w:rPr>
              <w:fldChar w:fldCharType="end"/>
            </w:r>
          </w:hyperlink>
        </w:p>
        <w:p w:rsidR="00294F2B" w:rsidRDefault="00ED0499">
          <w:pPr>
            <w:pStyle w:val="TOC3"/>
            <w:tabs>
              <w:tab w:val="right" w:leader="dot" w:pos="9350"/>
            </w:tabs>
            <w:rPr>
              <w:rFonts w:eastAsiaTheme="minorEastAsia" w:cstheme="minorBidi"/>
              <w:i w:val="0"/>
              <w:iCs w:val="0"/>
              <w:noProof/>
              <w:sz w:val="22"/>
              <w:szCs w:val="22"/>
            </w:rPr>
          </w:pPr>
          <w:hyperlink w:anchor="_Toc416337768" w:history="1">
            <w:r w:rsidR="00294F2B" w:rsidRPr="00CB517B">
              <w:rPr>
                <w:rStyle w:val="Hyperlink"/>
                <w:noProof/>
              </w:rPr>
              <w:t>Function Code Taxonomy:</w:t>
            </w:r>
            <w:r w:rsidR="00294F2B">
              <w:rPr>
                <w:noProof/>
                <w:webHidden/>
              </w:rPr>
              <w:tab/>
            </w:r>
            <w:r w:rsidR="00294F2B">
              <w:rPr>
                <w:noProof/>
                <w:webHidden/>
              </w:rPr>
              <w:fldChar w:fldCharType="begin"/>
            </w:r>
            <w:r w:rsidR="00294F2B">
              <w:rPr>
                <w:noProof/>
                <w:webHidden/>
              </w:rPr>
              <w:instrText xml:space="preserve"> PAGEREF _Toc416337768 \h </w:instrText>
            </w:r>
            <w:r w:rsidR="00294F2B">
              <w:rPr>
                <w:noProof/>
                <w:webHidden/>
              </w:rPr>
            </w:r>
            <w:r w:rsidR="00294F2B">
              <w:rPr>
                <w:noProof/>
                <w:webHidden/>
              </w:rPr>
              <w:fldChar w:fldCharType="separate"/>
            </w:r>
            <w:r w:rsidR="00294F2B">
              <w:rPr>
                <w:noProof/>
                <w:webHidden/>
              </w:rPr>
              <w:t>1</w:t>
            </w:r>
            <w:r w:rsidR="00294F2B">
              <w:rPr>
                <w:noProof/>
                <w:webHidden/>
              </w:rPr>
              <w:fldChar w:fldCharType="end"/>
            </w:r>
          </w:hyperlink>
        </w:p>
        <w:p w:rsidR="00294F2B" w:rsidRDefault="00ED0499">
          <w:pPr>
            <w:pStyle w:val="TOC3"/>
            <w:tabs>
              <w:tab w:val="right" w:leader="dot" w:pos="9350"/>
            </w:tabs>
            <w:rPr>
              <w:rFonts w:eastAsiaTheme="minorEastAsia" w:cstheme="minorBidi"/>
              <w:i w:val="0"/>
              <w:iCs w:val="0"/>
              <w:noProof/>
              <w:sz w:val="22"/>
              <w:szCs w:val="22"/>
            </w:rPr>
          </w:pPr>
          <w:hyperlink w:anchor="_Toc416337769" w:history="1">
            <w:r w:rsidR="00294F2B" w:rsidRPr="00CB517B">
              <w:rPr>
                <w:rStyle w:val="Hyperlink"/>
                <w:noProof/>
              </w:rPr>
              <w:t>Coding Management Functions:</w:t>
            </w:r>
            <w:r w:rsidR="00294F2B">
              <w:rPr>
                <w:noProof/>
                <w:webHidden/>
              </w:rPr>
              <w:tab/>
            </w:r>
            <w:r w:rsidR="00294F2B">
              <w:rPr>
                <w:noProof/>
                <w:webHidden/>
              </w:rPr>
              <w:fldChar w:fldCharType="begin"/>
            </w:r>
            <w:r w:rsidR="00294F2B">
              <w:rPr>
                <w:noProof/>
                <w:webHidden/>
              </w:rPr>
              <w:instrText xml:space="preserve"> PAGEREF _Toc416337769 \h </w:instrText>
            </w:r>
            <w:r w:rsidR="00294F2B">
              <w:rPr>
                <w:noProof/>
                <w:webHidden/>
              </w:rPr>
            </w:r>
            <w:r w:rsidR="00294F2B">
              <w:rPr>
                <w:noProof/>
                <w:webHidden/>
              </w:rPr>
              <w:fldChar w:fldCharType="separate"/>
            </w:r>
            <w:r w:rsidR="00294F2B">
              <w:rPr>
                <w:noProof/>
                <w:webHidden/>
              </w:rPr>
              <w:t>1</w:t>
            </w:r>
            <w:r w:rsidR="00294F2B">
              <w:rPr>
                <w:noProof/>
                <w:webHidden/>
              </w:rPr>
              <w:fldChar w:fldCharType="end"/>
            </w:r>
          </w:hyperlink>
        </w:p>
        <w:p w:rsidR="00294F2B" w:rsidRDefault="00ED0499">
          <w:pPr>
            <w:pStyle w:val="TOC2"/>
            <w:tabs>
              <w:tab w:val="right" w:leader="dot" w:pos="9350"/>
            </w:tabs>
            <w:rPr>
              <w:rFonts w:eastAsiaTheme="minorEastAsia" w:cstheme="minorBidi"/>
              <w:smallCaps w:val="0"/>
              <w:noProof/>
              <w:sz w:val="22"/>
              <w:szCs w:val="22"/>
            </w:rPr>
          </w:pPr>
          <w:hyperlink w:anchor="_Toc416337770" w:history="1">
            <w:r w:rsidR="00294F2B" w:rsidRPr="00CB517B">
              <w:rPr>
                <w:rStyle w:val="Hyperlink"/>
                <w:b/>
                <w:bCs/>
                <w:noProof/>
              </w:rPr>
              <w:t>Coding Rules for the IGCA Inventory</w:t>
            </w:r>
            <w:r w:rsidR="00294F2B">
              <w:rPr>
                <w:noProof/>
                <w:webHidden/>
              </w:rPr>
              <w:tab/>
            </w:r>
            <w:r w:rsidR="00294F2B">
              <w:rPr>
                <w:noProof/>
                <w:webHidden/>
              </w:rPr>
              <w:fldChar w:fldCharType="begin"/>
            </w:r>
            <w:r w:rsidR="00294F2B">
              <w:rPr>
                <w:noProof/>
                <w:webHidden/>
              </w:rPr>
              <w:instrText xml:space="preserve"> PAGEREF _Toc416337770 \h </w:instrText>
            </w:r>
            <w:r w:rsidR="00294F2B">
              <w:rPr>
                <w:noProof/>
                <w:webHidden/>
              </w:rPr>
            </w:r>
            <w:r w:rsidR="00294F2B">
              <w:rPr>
                <w:noProof/>
                <w:webHidden/>
              </w:rPr>
              <w:fldChar w:fldCharType="separate"/>
            </w:r>
            <w:r w:rsidR="00294F2B">
              <w:rPr>
                <w:noProof/>
                <w:webHidden/>
              </w:rPr>
              <w:t>2</w:t>
            </w:r>
            <w:r w:rsidR="00294F2B">
              <w:rPr>
                <w:noProof/>
                <w:webHidden/>
              </w:rPr>
              <w:fldChar w:fldCharType="end"/>
            </w:r>
          </w:hyperlink>
        </w:p>
        <w:p w:rsidR="00294F2B" w:rsidRDefault="00ED0499">
          <w:pPr>
            <w:pStyle w:val="TOC2"/>
            <w:tabs>
              <w:tab w:val="right" w:leader="dot" w:pos="9350"/>
            </w:tabs>
            <w:rPr>
              <w:rFonts w:eastAsiaTheme="minorEastAsia" w:cstheme="minorBidi"/>
              <w:smallCaps w:val="0"/>
              <w:noProof/>
              <w:sz w:val="22"/>
              <w:szCs w:val="22"/>
            </w:rPr>
          </w:pPr>
          <w:hyperlink w:anchor="_Toc416337771" w:history="1">
            <w:r w:rsidR="00294F2B" w:rsidRPr="00CB517B">
              <w:rPr>
                <w:rStyle w:val="Hyperlink"/>
                <w:b/>
                <w:bCs/>
                <w:noProof/>
              </w:rPr>
              <w:t>Reason Codes</w:t>
            </w:r>
            <w:r w:rsidR="00294F2B">
              <w:rPr>
                <w:noProof/>
                <w:webHidden/>
              </w:rPr>
              <w:tab/>
            </w:r>
            <w:r w:rsidR="00294F2B">
              <w:rPr>
                <w:noProof/>
                <w:webHidden/>
              </w:rPr>
              <w:fldChar w:fldCharType="begin"/>
            </w:r>
            <w:r w:rsidR="00294F2B">
              <w:rPr>
                <w:noProof/>
                <w:webHidden/>
              </w:rPr>
              <w:instrText xml:space="preserve"> PAGEREF _Toc416337771 \h </w:instrText>
            </w:r>
            <w:r w:rsidR="00294F2B">
              <w:rPr>
                <w:noProof/>
                <w:webHidden/>
              </w:rPr>
            </w:r>
            <w:r w:rsidR="00294F2B">
              <w:rPr>
                <w:noProof/>
                <w:webHidden/>
              </w:rPr>
              <w:fldChar w:fldCharType="separate"/>
            </w:r>
            <w:r w:rsidR="00294F2B">
              <w:rPr>
                <w:noProof/>
                <w:webHidden/>
              </w:rPr>
              <w:t>3</w:t>
            </w:r>
            <w:r w:rsidR="00294F2B">
              <w:rPr>
                <w:noProof/>
                <w:webHidden/>
              </w:rPr>
              <w:fldChar w:fldCharType="end"/>
            </w:r>
          </w:hyperlink>
        </w:p>
        <w:p w:rsidR="00294F2B" w:rsidRDefault="00ED0499">
          <w:pPr>
            <w:pStyle w:val="TOC3"/>
            <w:tabs>
              <w:tab w:val="right" w:leader="dot" w:pos="9350"/>
            </w:tabs>
            <w:rPr>
              <w:rFonts w:eastAsiaTheme="minorEastAsia" w:cstheme="minorBidi"/>
              <w:i w:val="0"/>
              <w:iCs w:val="0"/>
              <w:noProof/>
              <w:sz w:val="22"/>
              <w:szCs w:val="22"/>
            </w:rPr>
          </w:pPr>
          <w:hyperlink w:anchor="_Toc416337772" w:history="1">
            <w:r w:rsidR="00294F2B" w:rsidRPr="00CB517B">
              <w:rPr>
                <w:rStyle w:val="Hyperlink"/>
                <w:noProof/>
              </w:rPr>
              <w:t>Reason Code I Definition</w:t>
            </w:r>
            <w:r w:rsidR="00294F2B">
              <w:rPr>
                <w:noProof/>
                <w:webHidden/>
              </w:rPr>
              <w:tab/>
            </w:r>
            <w:r w:rsidR="00294F2B">
              <w:rPr>
                <w:noProof/>
                <w:webHidden/>
              </w:rPr>
              <w:fldChar w:fldCharType="begin"/>
            </w:r>
            <w:r w:rsidR="00294F2B">
              <w:rPr>
                <w:noProof/>
                <w:webHidden/>
              </w:rPr>
              <w:instrText xml:space="preserve"> PAGEREF _Toc416337772 \h </w:instrText>
            </w:r>
            <w:r w:rsidR="00294F2B">
              <w:rPr>
                <w:noProof/>
                <w:webHidden/>
              </w:rPr>
            </w:r>
            <w:r w:rsidR="00294F2B">
              <w:rPr>
                <w:noProof/>
                <w:webHidden/>
              </w:rPr>
              <w:fldChar w:fldCharType="separate"/>
            </w:r>
            <w:r w:rsidR="00294F2B">
              <w:rPr>
                <w:noProof/>
                <w:webHidden/>
              </w:rPr>
              <w:t>3</w:t>
            </w:r>
            <w:r w:rsidR="00294F2B">
              <w:rPr>
                <w:noProof/>
                <w:webHidden/>
              </w:rPr>
              <w:fldChar w:fldCharType="end"/>
            </w:r>
          </w:hyperlink>
        </w:p>
        <w:p w:rsidR="00294F2B" w:rsidRDefault="00ED0499">
          <w:pPr>
            <w:pStyle w:val="TOC3"/>
            <w:tabs>
              <w:tab w:val="right" w:leader="dot" w:pos="9350"/>
            </w:tabs>
            <w:rPr>
              <w:rFonts w:eastAsiaTheme="minorEastAsia" w:cstheme="minorBidi"/>
              <w:i w:val="0"/>
              <w:iCs w:val="0"/>
              <w:noProof/>
              <w:sz w:val="22"/>
              <w:szCs w:val="22"/>
            </w:rPr>
          </w:pPr>
          <w:hyperlink w:anchor="_Toc416337773" w:history="1">
            <w:r w:rsidR="00294F2B" w:rsidRPr="00CB517B">
              <w:rPr>
                <w:rStyle w:val="Hyperlink"/>
                <w:noProof/>
              </w:rPr>
              <w:t>Reason Code A Definition</w:t>
            </w:r>
            <w:r w:rsidR="00294F2B">
              <w:rPr>
                <w:noProof/>
                <w:webHidden/>
              </w:rPr>
              <w:tab/>
            </w:r>
            <w:r w:rsidR="00294F2B">
              <w:rPr>
                <w:noProof/>
                <w:webHidden/>
              </w:rPr>
              <w:fldChar w:fldCharType="begin"/>
            </w:r>
            <w:r w:rsidR="00294F2B">
              <w:rPr>
                <w:noProof/>
                <w:webHidden/>
              </w:rPr>
              <w:instrText xml:space="preserve"> PAGEREF _Toc416337773 \h </w:instrText>
            </w:r>
            <w:r w:rsidR="00294F2B">
              <w:rPr>
                <w:noProof/>
                <w:webHidden/>
              </w:rPr>
            </w:r>
            <w:r w:rsidR="00294F2B">
              <w:rPr>
                <w:noProof/>
                <w:webHidden/>
              </w:rPr>
              <w:fldChar w:fldCharType="separate"/>
            </w:r>
            <w:r w:rsidR="00294F2B">
              <w:rPr>
                <w:noProof/>
                <w:webHidden/>
              </w:rPr>
              <w:t>3</w:t>
            </w:r>
            <w:r w:rsidR="00294F2B">
              <w:rPr>
                <w:noProof/>
                <w:webHidden/>
              </w:rPr>
              <w:fldChar w:fldCharType="end"/>
            </w:r>
          </w:hyperlink>
        </w:p>
        <w:p w:rsidR="00294F2B" w:rsidRDefault="00ED0499">
          <w:pPr>
            <w:pStyle w:val="TOC3"/>
            <w:tabs>
              <w:tab w:val="right" w:leader="dot" w:pos="9350"/>
            </w:tabs>
            <w:rPr>
              <w:rFonts w:eastAsiaTheme="minorEastAsia" w:cstheme="minorBidi"/>
              <w:i w:val="0"/>
              <w:iCs w:val="0"/>
              <w:noProof/>
              <w:sz w:val="22"/>
              <w:szCs w:val="22"/>
            </w:rPr>
          </w:pPr>
          <w:hyperlink w:anchor="_Toc416337774" w:history="1">
            <w:r w:rsidR="00294F2B" w:rsidRPr="00CB517B">
              <w:rPr>
                <w:rStyle w:val="Hyperlink"/>
                <w:noProof/>
              </w:rPr>
              <w:t>Reason Code B Definition</w:t>
            </w:r>
            <w:r w:rsidR="00294F2B">
              <w:rPr>
                <w:noProof/>
                <w:webHidden/>
              </w:rPr>
              <w:tab/>
            </w:r>
            <w:r w:rsidR="00294F2B">
              <w:rPr>
                <w:noProof/>
                <w:webHidden/>
              </w:rPr>
              <w:fldChar w:fldCharType="begin"/>
            </w:r>
            <w:r w:rsidR="00294F2B">
              <w:rPr>
                <w:noProof/>
                <w:webHidden/>
              </w:rPr>
              <w:instrText xml:space="preserve"> PAGEREF _Toc416337774 \h </w:instrText>
            </w:r>
            <w:r w:rsidR="00294F2B">
              <w:rPr>
                <w:noProof/>
                <w:webHidden/>
              </w:rPr>
            </w:r>
            <w:r w:rsidR="00294F2B">
              <w:rPr>
                <w:noProof/>
                <w:webHidden/>
              </w:rPr>
              <w:fldChar w:fldCharType="separate"/>
            </w:r>
            <w:r w:rsidR="00294F2B">
              <w:rPr>
                <w:noProof/>
                <w:webHidden/>
              </w:rPr>
              <w:t>5</w:t>
            </w:r>
            <w:r w:rsidR="00294F2B">
              <w:rPr>
                <w:noProof/>
                <w:webHidden/>
              </w:rPr>
              <w:fldChar w:fldCharType="end"/>
            </w:r>
          </w:hyperlink>
        </w:p>
        <w:p w:rsidR="00294F2B" w:rsidRDefault="00ED0499">
          <w:pPr>
            <w:pStyle w:val="TOC3"/>
            <w:tabs>
              <w:tab w:val="right" w:leader="dot" w:pos="9350"/>
            </w:tabs>
            <w:rPr>
              <w:rFonts w:eastAsiaTheme="minorEastAsia" w:cstheme="minorBidi"/>
              <w:i w:val="0"/>
              <w:iCs w:val="0"/>
              <w:noProof/>
              <w:sz w:val="22"/>
              <w:szCs w:val="22"/>
            </w:rPr>
          </w:pPr>
          <w:hyperlink w:anchor="_Toc416337775" w:history="1">
            <w:r w:rsidR="00294F2B" w:rsidRPr="00CB517B">
              <w:rPr>
                <w:rStyle w:val="Hyperlink"/>
                <w:noProof/>
              </w:rPr>
              <w:t>Reason Code C Definition</w:t>
            </w:r>
            <w:r w:rsidR="00294F2B">
              <w:rPr>
                <w:noProof/>
                <w:webHidden/>
              </w:rPr>
              <w:tab/>
            </w:r>
            <w:r w:rsidR="00294F2B">
              <w:rPr>
                <w:noProof/>
                <w:webHidden/>
              </w:rPr>
              <w:fldChar w:fldCharType="begin"/>
            </w:r>
            <w:r w:rsidR="00294F2B">
              <w:rPr>
                <w:noProof/>
                <w:webHidden/>
              </w:rPr>
              <w:instrText xml:space="preserve"> PAGEREF _Toc416337775 \h </w:instrText>
            </w:r>
            <w:r w:rsidR="00294F2B">
              <w:rPr>
                <w:noProof/>
                <w:webHidden/>
              </w:rPr>
            </w:r>
            <w:r w:rsidR="00294F2B">
              <w:rPr>
                <w:noProof/>
                <w:webHidden/>
              </w:rPr>
              <w:fldChar w:fldCharType="separate"/>
            </w:r>
            <w:r w:rsidR="00294F2B">
              <w:rPr>
                <w:noProof/>
                <w:webHidden/>
              </w:rPr>
              <w:t>5</w:t>
            </w:r>
            <w:r w:rsidR="00294F2B">
              <w:rPr>
                <w:noProof/>
                <w:webHidden/>
              </w:rPr>
              <w:fldChar w:fldCharType="end"/>
            </w:r>
          </w:hyperlink>
        </w:p>
        <w:p w:rsidR="00294F2B" w:rsidRDefault="00ED0499">
          <w:pPr>
            <w:pStyle w:val="TOC3"/>
            <w:tabs>
              <w:tab w:val="right" w:leader="dot" w:pos="9350"/>
            </w:tabs>
            <w:rPr>
              <w:rFonts w:eastAsiaTheme="minorEastAsia" w:cstheme="minorBidi"/>
              <w:i w:val="0"/>
              <w:iCs w:val="0"/>
              <w:noProof/>
              <w:sz w:val="22"/>
              <w:szCs w:val="22"/>
            </w:rPr>
          </w:pPr>
          <w:hyperlink w:anchor="_Toc416337776" w:history="1">
            <w:r w:rsidR="00294F2B" w:rsidRPr="00CB517B">
              <w:rPr>
                <w:rStyle w:val="Hyperlink"/>
                <w:noProof/>
              </w:rPr>
              <w:t>Reason Code D Definition</w:t>
            </w:r>
            <w:r w:rsidR="00294F2B">
              <w:rPr>
                <w:noProof/>
                <w:webHidden/>
              </w:rPr>
              <w:tab/>
            </w:r>
            <w:r w:rsidR="00294F2B">
              <w:rPr>
                <w:noProof/>
                <w:webHidden/>
              </w:rPr>
              <w:fldChar w:fldCharType="begin"/>
            </w:r>
            <w:r w:rsidR="00294F2B">
              <w:rPr>
                <w:noProof/>
                <w:webHidden/>
              </w:rPr>
              <w:instrText xml:space="preserve"> PAGEREF _Toc416337776 \h </w:instrText>
            </w:r>
            <w:r w:rsidR="00294F2B">
              <w:rPr>
                <w:noProof/>
                <w:webHidden/>
              </w:rPr>
            </w:r>
            <w:r w:rsidR="00294F2B">
              <w:rPr>
                <w:noProof/>
                <w:webHidden/>
              </w:rPr>
              <w:fldChar w:fldCharType="separate"/>
            </w:r>
            <w:r w:rsidR="00294F2B">
              <w:rPr>
                <w:noProof/>
                <w:webHidden/>
              </w:rPr>
              <w:t>5</w:t>
            </w:r>
            <w:r w:rsidR="00294F2B">
              <w:rPr>
                <w:noProof/>
                <w:webHidden/>
              </w:rPr>
              <w:fldChar w:fldCharType="end"/>
            </w:r>
          </w:hyperlink>
        </w:p>
        <w:p w:rsidR="00294F2B" w:rsidRDefault="00ED0499">
          <w:pPr>
            <w:pStyle w:val="TOC3"/>
            <w:tabs>
              <w:tab w:val="right" w:leader="dot" w:pos="9350"/>
            </w:tabs>
            <w:rPr>
              <w:rFonts w:eastAsiaTheme="minorEastAsia" w:cstheme="minorBidi"/>
              <w:i w:val="0"/>
              <w:iCs w:val="0"/>
              <w:noProof/>
              <w:sz w:val="22"/>
              <w:szCs w:val="22"/>
            </w:rPr>
          </w:pPr>
          <w:hyperlink w:anchor="_Toc416337777" w:history="1">
            <w:r w:rsidR="00294F2B" w:rsidRPr="00CB517B">
              <w:rPr>
                <w:rStyle w:val="Hyperlink"/>
                <w:noProof/>
              </w:rPr>
              <w:t>Reason Code E Definition</w:t>
            </w:r>
            <w:r w:rsidR="00294F2B">
              <w:rPr>
                <w:noProof/>
                <w:webHidden/>
              </w:rPr>
              <w:tab/>
            </w:r>
            <w:r w:rsidR="00294F2B">
              <w:rPr>
                <w:noProof/>
                <w:webHidden/>
              </w:rPr>
              <w:fldChar w:fldCharType="begin"/>
            </w:r>
            <w:r w:rsidR="00294F2B">
              <w:rPr>
                <w:noProof/>
                <w:webHidden/>
              </w:rPr>
              <w:instrText xml:space="preserve"> PAGEREF _Toc416337777 \h </w:instrText>
            </w:r>
            <w:r w:rsidR="00294F2B">
              <w:rPr>
                <w:noProof/>
                <w:webHidden/>
              </w:rPr>
            </w:r>
            <w:r w:rsidR="00294F2B">
              <w:rPr>
                <w:noProof/>
                <w:webHidden/>
              </w:rPr>
              <w:fldChar w:fldCharType="separate"/>
            </w:r>
            <w:r w:rsidR="00294F2B">
              <w:rPr>
                <w:noProof/>
                <w:webHidden/>
              </w:rPr>
              <w:t>5</w:t>
            </w:r>
            <w:r w:rsidR="00294F2B">
              <w:rPr>
                <w:noProof/>
                <w:webHidden/>
              </w:rPr>
              <w:fldChar w:fldCharType="end"/>
            </w:r>
          </w:hyperlink>
        </w:p>
        <w:p w:rsidR="00294F2B" w:rsidRDefault="00ED0499">
          <w:pPr>
            <w:pStyle w:val="TOC3"/>
            <w:tabs>
              <w:tab w:val="right" w:leader="dot" w:pos="9350"/>
            </w:tabs>
            <w:rPr>
              <w:rFonts w:eastAsiaTheme="minorEastAsia" w:cstheme="minorBidi"/>
              <w:i w:val="0"/>
              <w:iCs w:val="0"/>
              <w:noProof/>
              <w:sz w:val="22"/>
              <w:szCs w:val="22"/>
            </w:rPr>
          </w:pPr>
          <w:hyperlink w:anchor="_Toc416337778" w:history="1">
            <w:r w:rsidR="00294F2B" w:rsidRPr="00CB517B">
              <w:rPr>
                <w:rStyle w:val="Hyperlink"/>
                <w:noProof/>
              </w:rPr>
              <w:t>Reason Code F Definition</w:t>
            </w:r>
            <w:r w:rsidR="00294F2B">
              <w:rPr>
                <w:noProof/>
                <w:webHidden/>
              </w:rPr>
              <w:tab/>
            </w:r>
            <w:r w:rsidR="00294F2B">
              <w:rPr>
                <w:noProof/>
                <w:webHidden/>
              </w:rPr>
              <w:fldChar w:fldCharType="begin"/>
            </w:r>
            <w:r w:rsidR="00294F2B">
              <w:rPr>
                <w:noProof/>
                <w:webHidden/>
              </w:rPr>
              <w:instrText xml:space="preserve"> PAGEREF _Toc416337778 \h </w:instrText>
            </w:r>
            <w:r w:rsidR="00294F2B">
              <w:rPr>
                <w:noProof/>
                <w:webHidden/>
              </w:rPr>
            </w:r>
            <w:r w:rsidR="00294F2B">
              <w:rPr>
                <w:noProof/>
                <w:webHidden/>
              </w:rPr>
              <w:fldChar w:fldCharType="separate"/>
            </w:r>
            <w:r w:rsidR="00294F2B">
              <w:rPr>
                <w:noProof/>
                <w:webHidden/>
              </w:rPr>
              <w:t>5</w:t>
            </w:r>
            <w:r w:rsidR="00294F2B">
              <w:rPr>
                <w:noProof/>
                <w:webHidden/>
              </w:rPr>
              <w:fldChar w:fldCharType="end"/>
            </w:r>
          </w:hyperlink>
        </w:p>
        <w:p w:rsidR="00294F2B" w:rsidRDefault="00ED0499">
          <w:pPr>
            <w:pStyle w:val="TOC2"/>
            <w:tabs>
              <w:tab w:val="right" w:leader="dot" w:pos="9350"/>
            </w:tabs>
            <w:rPr>
              <w:rFonts w:eastAsiaTheme="minorEastAsia" w:cstheme="minorBidi"/>
              <w:smallCaps w:val="0"/>
              <w:noProof/>
              <w:sz w:val="22"/>
              <w:szCs w:val="22"/>
            </w:rPr>
          </w:pPr>
          <w:hyperlink w:anchor="_Toc416337779" w:history="1">
            <w:r w:rsidR="00294F2B" w:rsidRPr="00CB517B">
              <w:rPr>
                <w:rStyle w:val="Hyperlink"/>
                <w:b/>
                <w:bCs/>
                <w:noProof/>
              </w:rPr>
              <w:t>Critical Functions</w:t>
            </w:r>
            <w:r w:rsidR="00294F2B">
              <w:rPr>
                <w:noProof/>
                <w:webHidden/>
              </w:rPr>
              <w:tab/>
            </w:r>
            <w:r w:rsidR="00294F2B">
              <w:rPr>
                <w:noProof/>
                <w:webHidden/>
              </w:rPr>
              <w:fldChar w:fldCharType="begin"/>
            </w:r>
            <w:r w:rsidR="00294F2B">
              <w:rPr>
                <w:noProof/>
                <w:webHidden/>
              </w:rPr>
              <w:instrText xml:space="preserve"> PAGEREF _Toc416337779 \h </w:instrText>
            </w:r>
            <w:r w:rsidR="00294F2B">
              <w:rPr>
                <w:noProof/>
                <w:webHidden/>
              </w:rPr>
            </w:r>
            <w:r w:rsidR="00294F2B">
              <w:rPr>
                <w:noProof/>
                <w:webHidden/>
              </w:rPr>
              <w:fldChar w:fldCharType="separate"/>
            </w:r>
            <w:r w:rsidR="00294F2B">
              <w:rPr>
                <w:noProof/>
                <w:webHidden/>
              </w:rPr>
              <w:t>5</w:t>
            </w:r>
            <w:r w:rsidR="00294F2B">
              <w:rPr>
                <w:noProof/>
                <w:webHidden/>
              </w:rPr>
              <w:fldChar w:fldCharType="end"/>
            </w:r>
          </w:hyperlink>
        </w:p>
        <w:p w:rsidR="00294F2B" w:rsidRDefault="00ED0499">
          <w:pPr>
            <w:pStyle w:val="TOC1"/>
            <w:tabs>
              <w:tab w:val="right" w:leader="dot" w:pos="9350"/>
            </w:tabs>
            <w:rPr>
              <w:rFonts w:eastAsiaTheme="minorEastAsia" w:cstheme="minorBidi"/>
              <w:b w:val="0"/>
              <w:bCs w:val="0"/>
              <w:caps w:val="0"/>
              <w:noProof/>
              <w:sz w:val="22"/>
              <w:szCs w:val="22"/>
            </w:rPr>
          </w:pPr>
          <w:hyperlink w:anchor="_Toc416337780" w:history="1">
            <w:r w:rsidR="00294F2B" w:rsidRPr="00CB517B">
              <w:rPr>
                <w:rStyle w:val="Hyperlink"/>
                <w:noProof/>
              </w:rPr>
              <w:t>Collection Tool</w:t>
            </w:r>
            <w:r w:rsidR="00294F2B">
              <w:rPr>
                <w:noProof/>
                <w:webHidden/>
              </w:rPr>
              <w:tab/>
            </w:r>
            <w:r w:rsidR="00294F2B">
              <w:rPr>
                <w:noProof/>
                <w:webHidden/>
              </w:rPr>
              <w:fldChar w:fldCharType="begin"/>
            </w:r>
            <w:r w:rsidR="00294F2B">
              <w:rPr>
                <w:noProof/>
                <w:webHidden/>
              </w:rPr>
              <w:instrText xml:space="preserve"> PAGEREF _Toc416337780 \h </w:instrText>
            </w:r>
            <w:r w:rsidR="00294F2B">
              <w:rPr>
                <w:noProof/>
                <w:webHidden/>
              </w:rPr>
            </w:r>
            <w:r w:rsidR="00294F2B">
              <w:rPr>
                <w:noProof/>
                <w:webHidden/>
              </w:rPr>
              <w:fldChar w:fldCharType="separate"/>
            </w:r>
            <w:r w:rsidR="00294F2B">
              <w:rPr>
                <w:noProof/>
                <w:webHidden/>
              </w:rPr>
              <w:t>7</w:t>
            </w:r>
            <w:r w:rsidR="00294F2B">
              <w:rPr>
                <w:noProof/>
                <w:webHidden/>
              </w:rPr>
              <w:fldChar w:fldCharType="end"/>
            </w:r>
          </w:hyperlink>
        </w:p>
        <w:p w:rsidR="00294F2B" w:rsidRDefault="00ED0499">
          <w:pPr>
            <w:pStyle w:val="TOC2"/>
            <w:tabs>
              <w:tab w:val="right" w:leader="dot" w:pos="9350"/>
            </w:tabs>
            <w:rPr>
              <w:rFonts w:eastAsiaTheme="minorEastAsia" w:cstheme="minorBidi"/>
              <w:smallCaps w:val="0"/>
              <w:noProof/>
              <w:sz w:val="22"/>
              <w:szCs w:val="22"/>
            </w:rPr>
          </w:pPr>
          <w:hyperlink w:anchor="_Toc416337781" w:history="1">
            <w:r w:rsidR="00294F2B" w:rsidRPr="00CB517B">
              <w:rPr>
                <w:rStyle w:val="Hyperlink"/>
                <w:b/>
                <w:bCs/>
                <w:noProof/>
              </w:rPr>
              <w:t>Data Spreadsheet</w:t>
            </w:r>
            <w:r w:rsidR="00294F2B">
              <w:rPr>
                <w:noProof/>
                <w:webHidden/>
              </w:rPr>
              <w:tab/>
            </w:r>
            <w:r w:rsidR="00294F2B">
              <w:rPr>
                <w:noProof/>
                <w:webHidden/>
              </w:rPr>
              <w:fldChar w:fldCharType="begin"/>
            </w:r>
            <w:r w:rsidR="00294F2B">
              <w:rPr>
                <w:noProof/>
                <w:webHidden/>
              </w:rPr>
              <w:instrText xml:space="preserve"> PAGEREF _Toc416337781 \h </w:instrText>
            </w:r>
            <w:r w:rsidR="00294F2B">
              <w:rPr>
                <w:noProof/>
                <w:webHidden/>
              </w:rPr>
            </w:r>
            <w:r w:rsidR="00294F2B">
              <w:rPr>
                <w:noProof/>
                <w:webHidden/>
              </w:rPr>
              <w:fldChar w:fldCharType="separate"/>
            </w:r>
            <w:r w:rsidR="00294F2B">
              <w:rPr>
                <w:noProof/>
                <w:webHidden/>
              </w:rPr>
              <w:t>7</w:t>
            </w:r>
            <w:r w:rsidR="00294F2B">
              <w:rPr>
                <w:noProof/>
                <w:webHidden/>
              </w:rPr>
              <w:fldChar w:fldCharType="end"/>
            </w:r>
          </w:hyperlink>
        </w:p>
        <w:p w:rsidR="00294F2B" w:rsidRDefault="00ED0499">
          <w:pPr>
            <w:pStyle w:val="TOC2"/>
            <w:tabs>
              <w:tab w:val="right" w:leader="dot" w:pos="9350"/>
            </w:tabs>
            <w:rPr>
              <w:rFonts w:eastAsiaTheme="minorEastAsia" w:cstheme="minorBidi"/>
              <w:smallCaps w:val="0"/>
              <w:noProof/>
              <w:sz w:val="22"/>
              <w:szCs w:val="22"/>
            </w:rPr>
          </w:pPr>
          <w:hyperlink w:anchor="_Toc416337782" w:history="1">
            <w:r w:rsidR="00294F2B" w:rsidRPr="00CB517B">
              <w:rPr>
                <w:rStyle w:val="Hyperlink"/>
                <w:b/>
                <w:bCs/>
                <w:noProof/>
              </w:rPr>
              <w:t>Data Entry</w:t>
            </w:r>
            <w:r w:rsidR="00294F2B">
              <w:rPr>
                <w:noProof/>
                <w:webHidden/>
              </w:rPr>
              <w:tab/>
            </w:r>
            <w:r w:rsidR="00294F2B">
              <w:rPr>
                <w:noProof/>
                <w:webHidden/>
              </w:rPr>
              <w:fldChar w:fldCharType="begin"/>
            </w:r>
            <w:r w:rsidR="00294F2B">
              <w:rPr>
                <w:noProof/>
                <w:webHidden/>
              </w:rPr>
              <w:instrText xml:space="preserve"> PAGEREF _Toc416337782 \h </w:instrText>
            </w:r>
            <w:r w:rsidR="00294F2B">
              <w:rPr>
                <w:noProof/>
                <w:webHidden/>
              </w:rPr>
            </w:r>
            <w:r w:rsidR="00294F2B">
              <w:rPr>
                <w:noProof/>
                <w:webHidden/>
              </w:rPr>
              <w:fldChar w:fldCharType="separate"/>
            </w:r>
            <w:r w:rsidR="00294F2B">
              <w:rPr>
                <w:noProof/>
                <w:webHidden/>
              </w:rPr>
              <w:t>7</w:t>
            </w:r>
            <w:r w:rsidR="00294F2B">
              <w:rPr>
                <w:noProof/>
                <w:webHidden/>
              </w:rPr>
              <w:fldChar w:fldCharType="end"/>
            </w:r>
          </w:hyperlink>
        </w:p>
        <w:p w:rsidR="00294F2B" w:rsidRDefault="00ED0499">
          <w:pPr>
            <w:pStyle w:val="TOC2"/>
            <w:tabs>
              <w:tab w:val="right" w:leader="dot" w:pos="9350"/>
            </w:tabs>
            <w:rPr>
              <w:rFonts w:eastAsiaTheme="minorEastAsia" w:cstheme="minorBidi"/>
              <w:smallCaps w:val="0"/>
              <w:noProof/>
              <w:sz w:val="22"/>
              <w:szCs w:val="22"/>
            </w:rPr>
          </w:pPr>
          <w:hyperlink w:anchor="_Toc416337783" w:history="1">
            <w:r w:rsidR="00294F2B" w:rsidRPr="00CB517B">
              <w:rPr>
                <w:rStyle w:val="Hyperlink"/>
                <w:b/>
                <w:bCs/>
                <w:noProof/>
              </w:rPr>
              <w:t>Data fields used in the collection tool</w:t>
            </w:r>
            <w:r w:rsidR="00294F2B">
              <w:rPr>
                <w:noProof/>
                <w:webHidden/>
              </w:rPr>
              <w:tab/>
            </w:r>
            <w:r w:rsidR="00294F2B">
              <w:rPr>
                <w:noProof/>
                <w:webHidden/>
              </w:rPr>
              <w:fldChar w:fldCharType="begin"/>
            </w:r>
            <w:r w:rsidR="00294F2B">
              <w:rPr>
                <w:noProof/>
                <w:webHidden/>
              </w:rPr>
              <w:instrText xml:space="preserve"> PAGEREF _Toc416337783 \h </w:instrText>
            </w:r>
            <w:r w:rsidR="00294F2B">
              <w:rPr>
                <w:noProof/>
                <w:webHidden/>
              </w:rPr>
            </w:r>
            <w:r w:rsidR="00294F2B">
              <w:rPr>
                <w:noProof/>
                <w:webHidden/>
              </w:rPr>
              <w:fldChar w:fldCharType="separate"/>
            </w:r>
            <w:r w:rsidR="00294F2B">
              <w:rPr>
                <w:noProof/>
                <w:webHidden/>
              </w:rPr>
              <w:t>7</w:t>
            </w:r>
            <w:r w:rsidR="00294F2B">
              <w:rPr>
                <w:noProof/>
                <w:webHidden/>
              </w:rPr>
              <w:fldChar w:fldCharType="end"/>
            </w:r>
          </w:hyperlink>
        </w:p>
        <w:p w:rsidR="00294F2B" w:rsidRDefault="00ED0499">
          <w:pPr>
            <w:pStyle w:val="TOC1"/>
            <w:tabs>
              <w:tab w:val="right" w:leader="dot" w:pos="9350"/>
            </w:tabs>
            <w:rPr>
              <w:rFonts w:eastAsiaTheme="minorEastAsia" w:cstheme="minorBidi"/>
              <w:b w:val="0"/>
              <w:bCs w:val="0"/>
              <w:caps w:val="0"/>
              <w:noProof/>
              <w:sz w:val="22"/>
              <w:szCs w:val="22"/>
            </w:rPr>
          </w:pPr>
          <w:hyperlink w:anchor="_Toc416337784" w:history="1">
            <w:r w:rsidR="00294F2B" w:rsidRPr="00CB517B">
              <w:rPr>
                <w:rStyle w:val="Hyperlink"/>
                <w:noProof/>
              </w:rPr>
              <w:t>Appendix A - References</w:t>
            </w:r>
            <w:r w:rsidR="00294F2B">
              <w:rPr>
                <w:noProof/>
                <w:webHidden/>
              </w:rPr>
              <w:tab/>
            </w:r>
            <w:r w:rsidR="00294F2B">
              <w:rPr>
                <w:noProof/>
                <w:webHidden/>
              </w:rPr>
              <w:fldChar w:fldCharType="begin"/>
            </w:r>
            <w:r w:rsidR="00294F2B">
              <w:rPr>
                <w:noProof/>
                <w:webHidden/>
              </w:rPr>
              <w:instrText xml:space="preserve"> PAGEREF _Toc416337784 \h </w:instrText>
            </w:r>
            <w:r w:rsidR="00294F2B">
              <w:rPr>
                <w:noProof/>
                <w:webHidden/>
              </w:rPr>
            </w:r>
            <w:r w:rsidR="00294F2B">
              <w:rPr>
                <w:noProof/>
                <w:webHidden/>
              </w:rPr>
              <w:fldChar w:fldCharType="separate"/>
            </w:r>
            <w:r w:rsidR="00294F2B">
              <w:rPr>
                <w:noProof/>
                <w:webHidden/>
              </w:rPr>
              <w:t>10</w:t>
            </w:r>
            <w:r w:rsidR="00294F2B">
              <w:rPr>
                <w:noProof/>
                <w:webHidden/>
              </w:rPr>
              <w:fldChar w:fldCharType="end"/>
            </w:r>
          </w:hyperlink>
        </w:p>
        <w:p w:rsidR="00B66B17" w:rsidRPr="005A2646" w:rsidRDefault="00B95F00">
          <w:pPr>
            <w:rPr>
              <w:rFonts w:asciiTheme="minorHAnsi" w:hAnsiTheme="minorHAnsi"/>
            </w:rPr>
          </w:pPr>
          <w:r w:rsidRPr="005A2646">
            <w:rPr>
              <w:rFonts w:asciiTheme="minorHAnsi" w:hAnsiTheme="minorHAnsi"/>
              <w:b/>
              <w:bCs/>
              <w:caps/>
              <w:sz w:val="20"/>
            </w:rPr>
            <w:fldChar w:fldCharType="end"/>
          </w:r>
        </w:p>
      </w:sdtContent>
    </w:sdt>
    <w:p w:rsidR="00FA52D2" w:rsidRPr="005A2646" w:rsidRDefault="00FA52D2" w:rsidP="0072219A">
      <w:pPr>
        <w:rPr>
          <w:rFonts w:asciiTheme="minorHAnsi" w:hAnsiTheme="minorHAnsi"/>
          <w:sz w:val="28"/>
          <w:szCs w:val="28"/>
        </w:rPr>
      </w:pPr>
    </w:p>
    <w:p w:rsidR="00FA52D2" w:rsidRPr="005A2646" w:rsidRDefault="00FA52D2" w:rsidP="0072219A">
      <w:pPr>
        <w:rPr>
          <w:rFonts w:asciiTheme="minorHAnsi" w:hAnsiTheme="minorHAnsi"/>
          <w:sz w:val="28"/>
          <w:szCs w:val="28"/>
        </w:rPr>
      </w:pPr>
    </w:p>
    <w:p w:rsidR="00FA52D2" w:rsidRPr="005A2646" w:rsidRDefault="00FA52D2" w:rsidP="0072219A">
      <w:pPr>
        <w:rPr>
          <w:rFonts w:asciiTheme="minorHAnsi" w:hAnsiTheme="minorHAnsi"/>
          <w:sz w:val="28"/>
          <w:szCs w:val="28"/>
        </w:rPr>
      </w:pPr>
    </w:p>
    <w:p w:rsidR="00B66B17" w:rsidRPr="005A2646" w:rsidRDefault="00B66B17" w:rsidP="0072219A">
      <w:pPr>
        <w:rPr>
          <w:rFonts w:asciiTheme="minorHAnsi" w:hAnsiTheme="minorHAnsi"/>
          <w:sz w:val="28"/>
          <w:szCs w:val="28"/>
        </w:rPr>
        <w:sectPr w:rsidR="00B66B17" w:rsidRPr="005A2646" w:rsidSect="00B66B17">
          <w:footerReference w:type="default" r:id="rId10"/>
          <w:footerReference w:type="first" r:id="rId11"/>
          <w:pgSz w:w="12240" w:h="15840" w:code="1"/>
          <w:pgMar w:top="1152" w:right="1440" w:bottom="1152" w:left="1440" w:header="720" w:footer="720" w:gutter="0"/>
          <w:pgBorders w:display="firstPage" w:offsetFrom="page">
            <w:top w:val="thinThickSmallGap" w:sz="24" w:space="24" w:color="0070C0"/>
            <w:left w:val="thinThickSmallGap" w:sz="24" w:space="24" w:color="0070C0"/>
            <w:bottom w:val="thinThickSmallGap" w:sz="24" w:space="24" w:color="0070C0"/>
            <w:right w:val="thinThickSmallGap" w:sz="24" w:space="24" w:color="0070C0"/>
          </w:pgBorders>
          <w:pgNumType w:fmt="lowerRoman" w:start="1"/>
          <w:cols w:space="720"/>
          <w:titlePg/>
          <w:docGrid w:linePitch="218"/>
        </w:sectPr>
      </w:pPr>
    </w:p>
    <w:p w:rsidR="005F6105" w:rsidRPr="005A2646" w:rsidRDefault="00F353F0" w:rsidP="00AD456C">
      <w:pPr>
        <w:pStyle w:val="Heading1"/>
      </w:pPr>
      <w:bookmarkStart w:id="0" w:name="_Toc35154377"/>
      <w:bookmarkStart w:id="1" w:name="_Toc35154900"/>
      <w:bookmarkStart w:id="2" w:name="_Toc285023611"/>
      <w:bookmarkStart w:id="3" w:name="_Toc285028608"/>
      <w:bookmarkStart w:id="4" w:name="_Toc320867568"/>
      <w:bookmarkStart w:id="5" w:name="_Toc416337765"/>
      <w:r w:rsidRPr="005A2646">
        <w:lastRenderedPageBreak/>
        <w:t>Summary</w:t>
      </w:r>
      <w:bookmarkEnd w:id="0"/>
      <w:bookmarkEnd w:id="1"/>
      <w:bookmarkEnd w:id="2"/>
      <w:bookmarkEnd w:id="3"/>
      <w:bookmarkEnd w:id="4"/>
      <w:bookmarkEnd w:id="5"/>
    </w:p>
    <w:p w:rsidR="00FE03BC" w:rsidRPr="008A66D0" w:rsidRDefault="00514B04" w:rsidP="00247E64">
      <w:pPr>
        <w:pStyle w:val="BodyText"/>
        <w:rPr>
          <w:sz w:val="22"/>
          <w:szCs w:val="22"/>
        </w:rPr>
      </w:pPr>
      <w:bookmarkStart w:id="6" w:name="OLE_LINK8"/>
      <w:bookmarkStart w:id="7" w:name="OLE_LINK9"/>
      <w:r w:rsidRPr="008A66D0">
        <w:rPr>
          <w:sz w:val="22"/>
          <w:szCs w:val="22"/>
        </w:rPr>
        <w:t>The Department of Energy (DOE) has not received the Office of Management and Budget’s (OMB) 201</w:t>
      </w:r>
      <w:r w:rsidR="00150EFD" w:rsidRPr="008A66D0">
        <w:rPr>
          <w:sz w:val="22"/>
          <w:szCs w:val="22"/>
        </w:rPr>
        <w:t>5</w:t>
      </w:r>
      <w:r w:rsidRPr="008A66D0">
        <w:rPr>
          <w:sz w:val="22"/>
          <w:szCs w:val="22"/>
        </w:rPr>
        <w:t xml:space="preserve"> inventory guidance yet, but anticipates that an OMB alert, which is largely a reminder document, will be issued soon.  The alert is expected to say Agencies are to use FY2012 guidance in preparing this year’s inventory.  This year’s Inherently Governmental and Commercial Activity (IGCA) inventory data collection will be essentially unchanged from the previous year’s</w:t>
      </w:r>
      <w:r w:rsidR="00A24C7E" w:rsidRPr="008A66D0">
        <w:rPr>
          <w:sz w:val="22"/>
          <w:szCs w:val="22"/>
        </w:rPr>
        <w:t>, with a few caveats</w:t>
      </w:r>
      <w:r w:rsidR="00FE03BC" w:rsidRPr="008A66D0">
        <w:rPr>
          <w:sz w:val="22"/>
          <w:szCs w:val="22"/>
        </w:rPr>
        <w:t>;</w:t>
      </w:r>
      <w:r w:rsidR="00A24C7E" w:rsidRPr="008A66D0">
        <w:rPr>
          <w:sz w:val="22"/>
          <w:szCs w:val="22"/>
        </w:rPr>
        <w:t xml:space="preserve">  </w:t>
      </w:r>
    </w:p>
    <w:p w:rsidR="00B12043" w:rsidRPr="0003179F" w:rsidRDefault="00724B90" w:rsidP="00C624C8">
      <w:pPr>
        <w:pStyle w:val="ListNumber"/>
        <w:numPr>
          <w:ilvl w:val="0"/>
          <w:numId w:val="3"/>
        </w:numPr>
        <w:tabs>
          <w:tab w:val="clear" w:pos="3240"/>
        </w:tabs>
        <w:ind w:left="990" w:hanging="450"/>
        <w:jc w:val="left"/>
        <w:rPr>
          <w:rFonts w:asciiTheme="minorHAnsi" w:hAnsiTheme="minorHAnsi"/>
          <w:sz w:val="22"/>
          <w:szCs w:val="22"/>
        </w:rPr>
      </w:pPr>
      <w:r w:rsidRPr="008A66D0">
        <w:rPr>
          <w:rFonts w:asciiTheme="minorHAnsi" w:hAnsiTheme="minorHAnsi"/>
          <w:sz w:val="22"/>
          <w:szCs w:val="22"/>
        </w:rPr>
        <w:t xml:space="preserve">The Office of Federal Procurement Policy (OFPP) has issued OFPP Letter 11-01, </w:t>
      </w:r>
      <w:r w:rsidRPr="0003179F">
        <w:rPr>
          <w:rFonts w:asciiTheme="minorHAnsi" w:hAnsiTheme="minorHAnsi"/>
          <w:sz w:val="22"/>
          <w:szCs w:val="22"/>
        </w:rPr>
        <w:t>Performance of Inherently Governmental and Critical Functions</w:t>
      </w:r>
      <w:r w:rsidR="00345F6F" w:rsidRPr="005275EE">
        <w:rPr>
          <w:rStyle w:val="FootnoteReference"/>
          <w:sz w:val="22"/>
          <w:szCs w:val="22"/>
        </w:rPr>
        <w:footnoteReference w:id="1"/>
      </w:r>
      <w:r w:rsidRPr="008A66D0">
        <w:rPr>
          <w:rFonts w:asciiTheme="minorHAnsi" w:hAnsiTheme="minorHAnsi"/>
          <w:sz w:val="22"/>
          <w:szCs w:val="22"/>
        </w:rPr>
        <w:t xml:space="preserve">, which clarifies how to determine whether a function is inherently governmental, should help agencies identify more accurately those activities that may be performed only by Federal employees.  </w:t>
      </w:r>
      <w:r w:rsidR="00964ABF" w:rsidRPr="008A66D0">
        <w:rPr>
          <w:rFonts w:asciiTheme="minorHAnsi" w:hAnsiTheme="minorHAnsi"/>
          <w:sz w:val="22"/>
          <w:szCs w:val="22"/>
        </w:rPr>
        <w:t>Departmental Elements</w:t>
      </w:r>
      <w:r w:rsidRPr="008A66D0">
        <w:rPr>
          <w:rFonts w:asciiTheme="minorHAnsi" w:hAnsiTheme="minorHAnsi"/>
          <w:sz w:val="22"/>
          <w:szCs w:val="22"/>
        </w:rPr>
        <w:t xml:space="preserve"> shall carefully review the guidance in Policy Letter 11-01, especially the definition of an inherently governmental function as provided in Section 3 and the guidelines for identifying inherently governmental functions in Section 5-1(a).  </w:t>
      </w:r>
      <w:r w:rsidR="00964ABF" w:rsidRPr="008A66D0">
        <w:rPr>
          <w:rFonts w:asciiTheme="minorHAnsi" w:hAnsiTheme="minorHAnsi"/>
          <w:sz w:val="22"/>
          <w:szCs w:val="22"/>
        </w:rPr>
        <w:t>Departmental Elements</w:t>
      </w:r>
      <w:r w:rsidRPr="008A66D0">
        <w:rPr>
          <w:rFonts w:asciiTheme="minorHAnsi" w:hAnsiTheme="minorHAnsi"/>
          <w:sz w:val="22"/>
          <w:szCs w:val="22"/>
        </w:rPr>
        <w:t xml:space="preserve"> should then review their inventories, paying particular attention to the activities classified as commercial to ensure they do not include inherently governmental functions, and reclassify functions, if necessary, based on the results of such reviews. </w:t>
      </w:r>
    </w:p>
    <w:p w:rsidR="00983900" w:rsidRPr="008A66D0" w:rsidRDefault="005B1044" w:rsidP="00C624C8">
      <w:pPr>
        <w:pStyle w:val="ListNumber"/>
        <w:numPr>
          <w:ilvl w:val="0"/>
          <w:numId w:val="3"/>
        </w:numPr>
        <w:tabs>
          <w:tab w:val="clear" w:pos="3240"/>
        </w:tabs>
        <w:ind w:left="990" w:hanging="450"/>
        <w:jc w:val="left"/>
        <w:rPr>
          <w:rFonts w:asciiTheme="minorHAnsi" w:hAnsiTheme="minorHAnsi"/>
          <w:sz w:val="22"/>
          <w:szCs w:val="22"/>
        </w:rPr>
      </w:pPr>
      <w:r w:rsidRPr="008A66D0">
        <w:rPr>
          <w:rFonts w:asciiTheme="minorHAnsi" w:hAnsiTheme="minorHAnsi"/>
          <w:sz w:val="22"/>
          <w:szCs w:val="22"/>
        </w:rPr>
        <w:t xml:space="preserve">In addition to the Inherently Governmental and Commercial designations OMB is requiring a Critical Function designation for all functions in this data call.  </w:t>
      </w:r>
      <w:r w:rsidR="00983900" w:rsidRPr="008A66D0">
        <w:rPr>
          <w:rFonts w:asciiTheme="minorHAnsi" w:hAnsiTheme="minorHAnsi"/>
          <w:sz w:val="22"/>
          <w:szCs w:val="22"/>
        </w:rPr>
        <w:t>Determining the criticality of a function requires the exercise of informed judgment by agency officials.  The criticality of the function depends on the mission and operations, which will differ between agencies and within agencies over time.  In making that determination, the officials shall consider the importance that a function holds for the agency and its mission and operations. The more important the function, the more important that the agency have internal capability to maintain control of its mission and operations.</w:t>
      </w:r>
      <w:r w:rsidR="00B12043" w:rsidRPr="008A66D0">
        <w:rPr>
          <w:rFonts w:asciiTheme="minorHAnsi" w:hAnsiTheme="minorHAnsi"/>
          <w:sz w:val="22"/>
          <w:szCs w:val="22"/>
        </w:rPr>
        <w:t xml:space="preserve">  </w:t>
      </w:r>
      <w:r w:rsidR="00983900" w:rsidRPr="008A66D0">
        <w:rPr>
          <w:rFonts w:asciiTheme="minorHAnsi" w:hAnsiTheme="minorHAnsi"/>
          <w:sz w:val="22"/>
          <w:szCs w:val="22"/>
        </w:rPr>
        <w:t>Where a critical function is not inherently governmental, the agency may appropriately consider filling positions dedicated to the function with both Federal employees and contractors.  However, to meet its fiduciary responsibility to the taxpayers, the agency must have sufficient internal capability to control its mission and operations, and must ensure it is cost effective to contract for the services.</w:t>
      </w:r>
    </w:p>
    <w:p w:rsidR="00480E62" w:rsidRPr="008A66D0" w:rsidRDefault="00964ABF" w:rsidP="00C624C8">
      <w:pPr>
        <w:pStyle w:val="ListNumber"/>
        <w:numPr>
          <w:ilvl w:val="0"/>
          <w:numId w:val="3"/>
        </w:numPr>
        <w:tabs>
          <w:tab w:val="clear" w:pos="3240"/>
        </w:tabs>
        <w:ind w:left="990" w:hanging="450"/>
        <w:jc w:val="left"/>
        <w:rPr>
          <w:rFonts w:asciiTheme="minorHAnsi" w:hAnsiTheme="minorHAnsi"/>
          <w:sz w:val="22"/>
          <w:szCs w:val="22"/>
        </w:rPr>
      </w:pPr>
      <w:r w:rsidRPr="008A66D0">
        <w:rPr>
          <w:rFonts w:asciiTheme="minorHAnsi" w:hAnsiTheme="minorHAnsi"/>
          <w:sz w:val="22"/>
          <w:szCs w:val="22"/>
        </w:rPr>
        <w:t xml:space="preserve">Departmental Elements </w:t>
      </w:r>
      <w:r w:rsidR="00724B90" w:rsidRPr="008A66D0">
        <w:rPr>
          <w:rFonts w:asciiTheme="minorHAnsi" w:hAnsiTheme="minorHAnsi"/>
          <w:sz w:val="22"/>
          <w:szCs w:val="22"/>
        </w:rPr>
        <w:t xml:space="preserve">should continue to report “reason codes” with respect to their commercial activities. </w:t>
      </w:r>
      <w:r w:rsidRPr="008A66D0">
        <w:rPr>
          <w:rFonts w:asciiTheme="minorHAnsi" w:hAnsiTheme="minorHAnsi"/>
          <w:sz w:val="22"/>
          <w:szCs w:val="22"/>
        </w:rPr>
        <w:t xml:space="preserve"> </w:t>
      </w:r>
      <w:r w:rsidR="00724B90" w:rsidRPr="008A66D0">
        <w:rPr>
          <w:rFonts w:asciiTheme="minorHAnsi" w:hAnsiTheme="minorHAnsi"/>
          <w:sz w:val="22"/>
          <w:szCs w:val="22"/>
        </w:rPr>
        <w:t xml:space="preserve">A complete list of reason codes and definitions </w:t>
      </w:r>
      <w:r w:rsidR="00E01C0E" w:rsidRPr="008A66D0">
        <w:rPr>
          <w:rFonts w:asciiTheme="minorHAnsi" w:hAnsiTheme="minorHAnsi"/>
          <w:sz w:val="22"/>
          <w:szCs w:val="22"/>
        </w:rPr>
        <w:t xml:space="preserve">can be found on page </w:t>
      </w:r>
      <w:r w:rsidR="00857264" w:rsidRPr="008A66D0">
        <w:rPr>
          <w:rFonts w:asciiTheme="minorHAnsi" w:hAnsiTheme="minorHAnsi"/>
          <w:sz w:val="22"/>
          <w:szCs w:val="22"/>
        </w:rPr>
        <w:t>three</w:t>
      </w:r>
      <w:r w:rsidR="00E01C0E" w:rsidRPr="008A66D0">
        <w:rPr>
          <w:rFonts w:asciiTheme="minorHAnsi" w:hAnsiTheme="minorHAnsi"/>
          <w:sz w:val="22"/>
          <w:szCs w:val="22"/>
        </w:rPr>
        <w:t xml:space="preserve"> of this Guidance.</w:t>
      </w:r>
      <w:r w:rsidR="00724B90" w:rsidRPr="008A66D0">
        <w:rPr>
          <w:rFonts w:asciiTheme="minorHAnsi" w:hAnsiTheme="minorHAnsi"/>
          <w:sz w:val="22"/>
          <w:szCs w:val="22"/>
        </w:rPr>
        <w:t xml:space="preserve"> </w:t>
      </w:r>
      <w:r w:rsidRPr="008A66D0">
        <w:rPr>
          <w:rFonts w:asciiTheme="minorHAnsi" w:hAnsiTheme="minorHAnsi"/>
          <w:sz w:val="22"/>
          <w:szCs w:val="22"/>
        </w:rPr>
        <w:t xml:space="preserve"> Departmental Elements</w:t>
      </w:r>
      <w:r w:rsidR="00724B90" w:rsidRPr="008A66D0">
        <w:rPr>
          <w:rFonts w:asciiTheme="minorHAnsi" w:hAnsiTheme="minorHAnsi"/>
          <w:sz w:val="22"/>
          <w:szCs w:val="22"/>
        </w:rPr>
        <w:t xml:space="preserve"> are not required to submit separate justifications for reason code classifications, as has been required in the past. </w:t>
      </w:r>
      <w:r w:rsidRPr="008A66D0">
        <w:rPr>
          <w:rFonts w:asciiTheme="minorHAnsi" w:hAnsiTheme="minorHAnsi"/>
          <w:sz w:val="22"/>
          <w:szCs w:val="22"/>
        </w:rPr>
        <w:t xml:space="preserve"> </w:t>
      </w:r>
      <w:r w:rsidR="00724B90" w:rsidRPr="008A66D0">
        <w:rPr>
          <w:rFonts w:asciiTheme="minorHAnsi" w:hAnsiTheme="minorHAnsi"/>
          <w:sz w:val="22"/>
          <w:szCs w:val="22"/>
        </w:rPr>
        <w:t xml:space="preserve">However, </w:t>
      </w:r>
      <w:r w:rsidRPr="008A66D0">
        <w:rPr>
          <w:rFonts w:asciiTheme="minorHAnsi" w:hAnsiTheme="minorHAnsi"/>
          <w:sz w:val="22"/>
          <w:szCs w:val="22"/>
        </w:rPr>
        <w:t xml:space="preserve">as shown in </w:t>
      </w:r>
      <w:r w:rsidR="00E01C0E" w:rsidRPr="008A66D0">
        <w:rPr>
          <w:rFonts w:asciiTheme="minorHAnsi" w:hAnsiTheme="minorHAnsi"/>
          <w:sz w:val="22"/>
          <w:szCs w:val="22"/>
        </w:rPr>
        <w:t xml:space="preserve">the table on page </w:t>
      </w:r>
      <w:r w:rsidR="00857264" w:rsidRPr="008A66D0">
        <w:rPr>
          <w:rFonts w:asciiTheme="minorHAnsi" w:hAnsiTheme="minorHAnsi"/>
          <w:sz w:val="22"/>
          <w:szCs w:val="22"/>
        </w:rPr>
        <w:t>three</w:t>
      </w:r>
      <w:r w:rsidR="00E01C0E" w:rsidRPr="008A66D0">
        <w:rPr>
          <w:rFonts w:asciiTheme="minorHAnsi" w:hAnsiTheme="minorHAnsi"/>
          <w:sz w:val="22"/>
          <w:szCs w:val="22"/>
        </w:rPr>
        <w:t xml:space="preserve"> of this Guidance, </w:t>
      </w:r>
      <w:r w:rsidR="00724B90" w:rsidRPr="008A66D0">
        <w:rPr>
          <w:rFonts w:asciiTheme="minorHAnsi" w:hAnsiTheme="minorHAnsi"/>
          <w:sz w:val="22"/>
          <w:szCs w:val="22"/>
        </w:rPr>
        <w:t xml:space="preserve">OMB has annotated reason codes affected by the continued statutory moratorium set forth in section 733 of the Consolidated Appropriations Act, 2012 (P.L. 112-74) on beginning or announcing a study or public-private competition regarding the conversion of contract performance of any function performed by Federal employees. </w:t>
      </w:r>
      <w:r w:rsidRPr="008A66D0">
        <w:rPr>
          <w:rFonts w:asciiTheme="minorHAnsi" w:hAnsiTheme="minorHAnsi"/>
          <w:sz w:val="22"/>
          <w:szCs w:val="22"/>
        </w:rPr>
        <w:t xml:space="preserve"> </w:t>
      </w:r>
    </w:p>
    <w:p w:rsidR="00B639F5" w:rsidRPr="008A66D0" w:rsidRDefault="001F0EAA" w:rsidP="00C624C8">
      <w:pPr>
        <w:pStyle w:val="ListNumber"/>
        <w:numPr>
          <w:ilvl w:val="0"/>
          <w:numId w:val="3"/>
        </w:numPr>
        <w:tabs>
          <w:tab w:val="clear" w:pos="3240"/>
        </w:tabs>
        <w:ind w:left="990" w:hanging="450"/>
        <w:jc w:val="left"/>
        <w:rPr>
          <w:rFonts w:asciiTheme="minorHAnsi" w:hAnsiTheme="minorHAnsi"/>
          <w:sz w:val="22"/>
          <w:szCs w:val="22"/>
        </w:rPr>
      </w:pPr>
      <w:r w:rsidRPr="008A66D0">
        <w:rPr>
          <w:rFonts w:asciiTheme="minorHAnsi" w:hAnsiTheme="minorHAnsi"/>
          <w:sz w:val="22"/>
          <w:szCs w:val="22"/>
        </w:rPr>
        <w:t>“O</w:t>
      </w:r>
      <w:r w:rsidR="00D259E2" w:rsidRPr="008A66D0">
        <w:rPr>
          <w:rFonts w:asciiTheme="minorHAnsi" w:hAnsiTheme="minorHAnsi"/>
          <w:sz w:val="22"/>
          <w:szCs w:val="22"/>
        </w:rPr>
        <w:t>rganization</w:t>
      </w:r>
      <w:r w:rsidRPr="008A66D0">
        <w:rPr>
          <w:rFonts w:asciiTheme="minorHAnsi" w:hAnsiTheme="minorHAnsi"/>
          <w:sz w:val="22"/>
          <w:szCs w:val="22"/>
        </w:rPr>
        <w:t xml:space="preserve"> Code” is once again a required data collection category.  Please ensure that all line entries have a corresponding </w:t>
      </w:r>
      <w:r w:rsidR="00D259E2" w:rsidRPr="008A66D0">
        <w:rPr>
          <w:rFonts w:asciiTheme="minorHAnsi" w:hAnsiTheme="minorHAnsi"/>
          <w:sz w:val="22"/>
          <w:szCs w:val="22"/>
        </w:rPr>
        <w:t>Organization</w:t>
      </w:r>
      <w:r w:rsidRPr="008A66D0">
        <w:rPr>
          <w:rFonts w:asciiTheme="minorHAnsi" w:hAnsiTheme="minorHAnsi"/>
          <w:sz w:val="22"/>
          <w:szCs w:val="22"/>
        </w:rPr>
        <w:t>.</w:t>
      </w:r>
    </w:p>
    <w:bookmarkEnd w:id="6"/>
    <w:bookmarkEnd w:id="7"/>
    <w:p w:rsidR="00150EFD" w:rsidRPr="008A66D0" w:rsidRDefault="00150EFD" w:rsidP="00C624C8">
      <w:pPr>
        <w:pStyle w:val="ListNumber"/>
        <w:numPr>
          <w:ilvl w:val="0"/>
          <w:numId w:val="3"/>
        </w:numPr>
        <w:tabs>
          <w:tab w:val="clear" w:pos="3240"/>
        </w:tabs>
        <w:ind w:left="990" w:hanging="450"/>
        <w:jc w:val="left"/>
        <w:rPr>
          <w:sz w:val="22"/>
          <w:szCs w:val="22"/>
        </w:rPr>
      </w:pPr>
      <w:r w:rsidRPr="008A66D0">
        <w:rPr>
          <w:rFonts w:asciiTheme="minorHAnsi" w:hAnsiTheme="minorHAnsi"/>
          <w:sz w:val="22"/>
          <w:szCs w:val="22"/>
        </w:rPr>
        <w:lastRenderedPageBreak/>
        <w:t xml:space="preserve">OMB requires the submission of the IGCA Inventory in a specified electronic format.  As a result, we are reverting to the Microsoft Excel spreadsheet version of the data collection tool.  </w:t>
      </w:r>
      <w:r w:rsidR="000D7D41" w:rsidRPr="008A66D0">
        <w:rPr>
          <w:rFonts w:asciiTheme="minorHAnsi" w:hAnsiTheme="minorHAnsi"/>
          <w:sz w:val="22"/>
          <w:szCs w:val="22"/>
        </w:rPr>
        <w:t>Instructions related to the use of the data collection tool are</w:t>
      </w:r>
      <w:r w:rsidRPr="008A66D0">
        <w:rPr>
          <w:rFonts w:asciiTheme="minorHAnsi" w:hAnsiTheme="minorHAnsi"/>
          <w:sz w:val="22"/>
          <w:szCs w:val="22"/>
        </w:rPr>
        <w:t xml:space="preserve"> available in the Collection Tool section of this guidance.  </w:t>
      </w:r>
    </w:p>
    <w:p w:rsidR="0079248A" w:rsidRPr="008A66D0" w:rsidRDefault="007D05C7" w:rsidP="00247E64">
      <w:pPr>
        <w:pStyle w:val="BodyText"/>
        <w:rPr>
          <w:sz w:val="22"/>
          <w:szCs w:val="22"/>
        </w:rPr>
      </w:pPr>
      <w:r w:rsidRPr="008A66D0">
        <w:rPr>
          <w:sz w:val="22"/>
          <w:szCs w:val="22"/>
        </w:rPr>
        <w:t>Any questions regarding th</w:t>
      </w:r>
      <w:r w:rsidR="00457F8C" w:rsidRPr="008A66D0">
        <w:rPr>
          <w:sz w:val="22"/>
          <w:szCs w:val="22"/>
        </w:rPr>
        <w:t>is</w:t>
      </w:r>
      <w:r w:rsidRPr="008A66D0">
        <w:rPr>
          <w:sz w:val="22"/>
          <w:szCs w:val="22"/>
        </w:rPr>
        <w:t xml:space="preserve"> </w:t>
      </w:r>
      <w:r w:rsidR="00457F8C" w:rsidRPr="008A66D0">
        <w:rPr>
          <w:sz w:val="22"/>
          <w:szCs w:val="22"/>
        </w:rPr>
        <w:t xml:space="preserve">guidance and the </w:t>
      </w:r>
      <w:r w:rsidRPr="008A66D0">
        <w:rPr>
          <w:sz w:val="22"/>
          <w:szCs w:val="22"/>
        </w:rPr>
        <w:t xml:space="preserve">collection tool should be addressed to </w:t>
      </w:r>
      <w:r w:rsidR="00E71EA0" w:rsidRPr="008A66D0">
        <w:rPr>
          <w:sz w:val="22"/>
          <w:szCs w:val="22"/>
        </w:rPr>
        <w:t>Jeff Davis</w:t>
      </w:r>
      <w:r w:rsidR="0079248A" w:rsidRPr="008A66D0">
        <w:rPr>
          <w:sz w:val="22"/>
          <w:szCs w:val="22"/>
        </w:rPr>
        <w:t xml:space="preserve"> by </w:t>
      </w:r>
      <w:r w:rsidR="007533A6" w:rsidRPr="008A66D0">
        <w:rPr>
          <w:sz w:val="22"/>
          <w:szCs w:val="22"/>
        </w:rPr>
        <w:br w:type="textWrapping" w:clear="all"/>
      </w:r>
      <w:r w:rsidR="0079248A" w:rsidRPr="008A66D0">
        <w:rPr>
          <w:sz w:val="22"/>
          <w:szCs w:val="22"/>
        </w:rPr>
        <w:t>e-mail at</w:t>
      </w:r>
      <w:r w:rsidR="00F5047E" w:rsidRPr="008A66D0">
        <w:rPr>
          <w:sz w:val="22"/>
          <w:szCs w:val="22"/>
        </w:rPr>
        <w:t xml:space="preserve">: </w:t>
      </w:r>
      <w:r w:rsidR="00DC4433" w:rsidRPr="008A66D0">
        <w:rPr>
          <w:color w:val="0000FF"/>
          <w:sz w:val="22"/>
          <w:szCs w:val="22"/>
          <w:u w:val="single"/>
        </w:rPr>
        <w:t>Je</w:t>
      </w:r>
      <w:r w:rsidR="00E71EA0" w:rsidRPr="008A66D0">
        <w:rPr>
          <w:color w:val="0000FF"/>
          <w:sz w:val="22"/>
          <w:szCs w:val="22"/>
          <w:u w:val="single"/>
        </w:rPr>
        <w:t>ff</w:t>
      </w:r>
      <w:r w:rsidR="003402BE" w:rsidRPr="008A66D0">
        <w:rPr>
          <w:color w:val="0000FF"/>
          <w:sz w:val="22"/>
          <w:szCs w:val="22"/>
          <w:u w:val="single"/>
        </w:rPr>
        <w:t>.</w:t>
      </w:r>
      <w:r w:rsidR="00101928" w:rsidRPr="008A66D0">
        <w:rPr>
          <w:color w:val="0000FF"/>
          <w:sz w:val="22"/>
          <w:szCs w:val="22"/>
          <w:u w:val="single"/>
        </w:rPr>
        <w:t>D</w:t>
      </w:r>
      <w:r w:rsidR="00E71EA0" w:rsidRPr="008A66D0">
        <w:rPr>
          <w:color w:val="0000FF"/>
          <w:sz w:val="22"/>
          <w:szCs w:val="22"/>
          <w:u w:val="single"/>
        </w:rPr>
        <w:t>avis</w:t>
      </w:r>
      <w:r w:rsidR="003402BE" w:rsidRPr="008A66D0">
        <w:rPr>
          <w:color w:val="0000FF"/>
          <w:sz w:val="22"/>
          <w:szCs w:val="22"/>
          <w:u w:val="single"/>
        </w:rPr>
        <w:t>@hq.doe.gov</w:t>
      </w:r>
      <w:r w:rsidR="0079248A" w:rsidRPr="008A66D0">
        <w:rPr>
          <w:sz w:val="22"/>
          <w:szCs w:val="22"/>
        </w:rPr>
        <w:t>.</w:t>
      </w:r>
      <w:r w:rsidR="00DD5D5F" w:rsidRPr="008A66D0">
        <w:rPr>
          <w:sz w:val="22"/>
          <w:szCs w:val="22"/>
        </w:rPr>
        <w:t xml:space="preserve"> </w:t>
      </w:r>
      <w:r w:rsidR="00272A84" w:rsidRPr="008A66D0">
        <w:rPr>
          <w:sz w:val="22"/>
          <w:szCs w:val="22"/>
        </w:rPr>
        <w:t xml:space="preserve"> </w:t>
      </w:r>
      <w:r w:rsidR="00DD5D5F" w:rsidRPr="008A66D0">
        <w:rPr>
          <w:sz w:val="22"/>
          <w:szCs w:val="22"/>
        </w:rPr>
        <w:t>Additional references are also available in the References section of this guidance.</w:t>
      </w:r>
      <w:r w:rsidR="00FA5CF2" w:rsidRPr="008A66D0">
        <w:rPr>
          <w:sz w:val="22"/>
          <w:szCs w:val="22"/>
        </w:rPr>
        <w:t xml:space="preserve">  </w:t>
      </w:r>
    </w:p>
    <w:p w:rsidR="007D25D3" w:rsidRPr="008A66D0" w:rsidRDefault="007D25D3" w:rsidP="00247E64">
      <w:pPr>
        <w:pStyle w:val="BodyText"/>
        <w:rPr>
          <w:sz w:val="22"/>
          <w:szCs w:val="22"/>
          <w:u w:val="single"/>
        </w:rPr>
      </w:pPr>
      <w:r w:rsidRPr="008A66D0">
        <w:rPr>
          <w:sz w:val="22"/>
          <w:szCs w:val="22"/>
          <w:u w:val="single"/>
        </w:rPr>
        <w:t>Required Submission / Due Dates</w:t>
      </w:r>
    </w:p>
    <w:p w:rsidR="00A02853" w:rsidRPr="008A66D0" w:rsidRDefault="00A02853" w:rsidP="00247E64">
      <w:pPr>
        <w:pStyle w:val="BodyText"/>
        <w:rPr>
          <w:i/>
          <w:sz w:val="22"/>
          <w:szCs w:val="22"/>
        </w:rPr>
      </w:pPr>
      <w:r w:rsidRPr="008A66D0">
        <w:rPr>
          <w:i/>
          <w:sz w:val="22"/>
          <w:szCs w:val="22"/>
        </w:rPr>
        <w:t xml:space="preserve">Between April </w:t>
      </w:r>
      <w:r w:rsidR="00057618">
        <w:rPr>
          <w:i/>
          <w:sz w:val="22"/>
          <w:szCs w:val="22"/>
        </w:rPr>
        <w:t>20</w:t>
      </w:r>
      <w:r w:rsidRPr="008A66D0">
        <w:rPr>
          <w:i/>
          <w:sz w:val="22"/>
          <w:szCs w:val="22"/>
        </w:rPr>
        <w:t>, 20</w:t>
      </w:r>
      <w:r w:rsidR="00995CC1" w:rsidRPr="008A66D0">
        <w:rPr>
          <w:i/>
          <w:sz w:val="22"/>
          <w:szCs w:val="22"/>
        </w:rPr>
        <w:t>1</w:t>
      </w:r>
      <w:r w:rsidR="000D7D41" w:rsidRPr="008A66D0">
        <w:rPr>
          <w:i/>
          <w:sz w:val="22"/>
          <w:szCs w:val="22"/>
        </w:rPr>
        <w:t>5</w:t>
      </w:r>
      <w:r w:rsidR="00995CC1" w:rsidRPr="008A66D0">
        <w:rPr>
          <w:i/>
          <w:sz w:val="22"/>
          <w:szCs w:val="22"/>
        </w:rPr>
        <w:t xml:space="preserve"> </w:t>
      </w:r>
      <w:r w:rsidRPr="008A66D0">
        <w:rPr>
          <w:i/>
          <w:sz w:val="22"/>
          <w:szCs w:val="22"/>
        </w:rPr>
        <w:t xml:space="preserve">and </w:t>
      </w:r>
      <w:r w:rsidR="00D259E2" w:rsidRPr="008A66D0">
        <w:rPr>
          <w:i/>
          <w:sz w:val="22"/>
          <w:szCs w:val="22"/>
        </w:rPr>
        <w:t xml:space="preserve">May </w:t>
      </w:r>
      <w:r w:rsidR="00057618">
        <w:rPr>
          <w:i/>
          <w:sz w:val="22"/>
          <w:szCs w:val="22"/>
        </w:rPr>
        <w:t>8</w:t>
      </w:r>
      <w:r w:rsidRPr="008A66D0">
        <w:rPr>
          <w:i/>
          <w:sz w:val="22"/>
          <w:szCs w:val="22"/>
        </w:rPr>
        <w:t>, 20</w:t>
      </w:r>
      <w:r w:rsidR="00995CC1" w:rsidRPr="008A66D0">
        <w:rPr>
          <w:i/>
          <w:sz w:val="22"/>
          <w:szCs w:val="22"/>
        </w:rPr>
        <w:t>1</w:t>
      </w:r>
      <w:r w:rsidR="000D7D41" w:rsidRPr="008A66D0">
        <w:rPr>
          <w:i/>
          <w:sz w:val="22"/>
          <w:szCs w:val="22"/>
        </w:rPr>
        <w:t>5</w:t>
      </w:r>
    </w:p>
    <w:p w:rsidR="00A02853" w:rsidRPr="008A66D0" w:rsidRDefault="00E01C0E" w:rsidP="00247E64">
      <w:pPr>
        <w:pStyle w:val="BodyText"/>
        <w:rPr>
          <w:sz w:val="22"/>
          <w:szCs w:val="22"/>
        </w:rPr>
      </w:pPr>
      <w:r w:rsidRPr="008A66D0">
        <w:rPr>
          <w:sz w:val="22"/>
          <w:szCs w:val="22"/>
        </w:rPr>
        <w:t>S</w:t>
      </w:r>
      <w:r w:rsidR="00A02853" w:rsidRPr="008A66D0">
        <w:rPr>
          <w:sz w:val="22"/>
          <w:szCs w:val="22"/>
        </w:rPr>
        <w:t xml:space="preserve">ubmit a draft </w:t>
      </w:r>
      <w:r w:rsidR="0017789A" w:rsidRPr="008A66D0">
        <w:rPr>
          <w:sz w:val="22"/>
          <w:szCs w:val="22"/>
        </w:rPr>
        <w:t xml:space="preserve">version </w:t>
      </w:r>
      <w:r w:rsidR="00A02853" w:rsidRPr="008A66D0">
        <w:rPr>
          <w:sz w:val="22"/>
          <w:szCs w:val="22"/>
        </w:rPr>
        <w:t>of your</w:t>
      </w:r>
      <w:r w:rsidR="0017789A" w:rsidRPr="008A66D0">
        <w:rPr>
          <w:sz w:val="22"/>
          <w:szCs w:val="22"/>
        </w:rPr>
        <w:t xml:space="preserve"> Data Collection Tool</w:t>
      </w:r>
      <w:r w:rsidR="004D16F1" w:rsidRPr="008A66D0">
        <w:rPr>
          <w:sz w:val="22"/>
          <w:szCs w:val="22"/>
        </w:rPr>
        <w:t xml:space="preserve">.  </w:t>
      </w:r>
      <w:r w:rsidR="00A02853" w:rsidRPr="008A66D0">
        <w:rPr>
          <w:sz w:val="22"/>
          <w:szCs w:val="22"/>
        </w:rPr>
        <w:t xml:space="preserve">The Office of </w:t>
      </w:r>
      <w:r w:rsidR="001D1927" w:rsidRPr="008A66D0">
        <w:rPr>
          <w:sz w:val="22"/>
          <w:szCs w:val="22"/>
        </w:rPr>
        <w:t>Acquisition and Project Management (</w:t>
      </w:r>
      <w:r w:rsidR="00D259E2" w:rsidRPr="008A66D0">
        <w:rPr>
          <w:sz w:val="22"/>
          <w:szCs w:val="22"/>
        </w:rPr>
        <w:t>O</w:t>
      </w:r>
      <w:r w:rsidR="001D1927" w:rsidRPr="008A66D0">
        <w:rPr>
          <w:sz w:val="22"/>
          <w:szCs w:val="22"/>
        </w:rPr>
        <w:t xml:space="preserve">APM) </w:t>
      </w:r>
      <w:r w:rsidR="00A02853" w:rsidRPr="008A66D0">
        <w:rPr>
          <w:sz w:val="22"/>
          <w:szCs w:val="22"/>
        </w:rPr>
        <w:t>will review and work with Departmental Elements to make any necessary changes.</w:t>
      </w:r>
    </w:p>
    <w:p w:rsidR="007D25D3" w:rsidRPr="008A66D0" w:rsidRDefault="007D25D3" w:rsidP="00247E64">
      <w:pPr>
        <w:pStyle w:val="BodyText"/>
        <w:rPr>
          <w:i/>
          <w:sz w:val="22"/>
          <w:szCs w:val="22"/>
        </w:rPr>
      </w:pPr>
      <w:r w:rsidRPr="008A66D0">
        <w:rPr>
          <w:i/>
          <w:sz w:val="22"/>
          <w:szCs w:val="22"/>
        </w:rPr>
        <w:t xml:space="preserve">By </w:t>
      </w:r>
      <w:r w:rsidR="00FB761F" w:rsidRPr="008A66D0">
        <w:rPr>
          <w:i/>
          <w:sz w:val="22"/>
          <w:szCs w:val="22"/>
        </w:rPr>
        <w:t xml:space="preserve">May </w:t>
      </w:r>
      <w:r w:rsidR="00057618">
        <w:rPr>
          <w:i/>
          <w:sz w:val="22"/>
          <w:szCs w:val="22"/>
        </w:rPr>
        <w:t>22</w:t>
      </w:r>
      <w:r w:rsidRPr="008A66D0">
        <w:rPr>
          <w:i/>
          <w:sz w:val="22"/>
          <w:szCs w:val="22"/>
        </w:rPr>
        <w:t>, 20</w:t>
      </w:r>
      <w:r w:rsidR="0073245C" w:rsidRPr="008A66D0">
        <w:rPr>
          <w:i/>
          <w:sz w:val="22"/>
          <w:szCs w:val="22"/>
        </w:rPr>
        <w:t>1</w:t>
      </w:r>
      <w:r w:rsidR="000D7D41" w:rsidRPr="008A66D0">
        <w:rPr>
          <w:i/>
          <w:sz w:val="22"/>
          <w:szCs w:val="22"/>
        </w:rPr>
        <w:t>5</w:t>
      </w:r>
      <w:r w:rsidRPr="008A66D0">
        <w:rPr>
          <w:i/>
          <w:sz w:val="22"/>
          <w:szCs w:val="22"/>
        </w:rPr>
        <w:t xml:space="preserve"> </w:t>
      </w:r>
      <w:bookmarkStart w:id="8" w:name="OLE_LINK1"/>
      <w:bookmarkStart w:id="9" w:name="OLE_LINK2"/>
      <w:r w:rsidRPr="008A66D0">
        <w:rPr>
          <w:i/>
          <w:sz w:val="22"/>
          <w:szCs w:val="22"/>
        </w:rPr>
        <w:t>each Departmental Element</w:t>
      </w:r>
      <w:r w:rsidR="00A02853" w:rsidRPr="008A66D0">
        <w:rPr>
          <w:i/>
          <w:sz w:val="22"/>
          <w:szCs w:val="22"/>
        </w:rPr>
        <w:t xml:space="preserve"> is responsible for</w:t>
      </w:r>
      <w:r w:rsidRPr="008A66D0">
        <w:rPr>
          <w:i/>
          <w:sz w:val="22"/>
          <w:szCs w:val="22"/>
        </w:rPr>
        <w:t>:</w:t>
      </w:r>
    </w:p>
    <w:bookmarkEnd w:id="8"/>
    <w:bookmarkEnd w:id="9"/>
    <w:p w:rsidR="001F3EF7" w:rsidRPr="008A66D0" w:rsidRDefault="007D25D3" w:rsidP="00AC7362">
      <w:pPr>
        <w:pStyle w:val="BodyText"/>
        <w:rPr>
          <w:sz w:val="22"/>
          <w:szCs w:val="22"/>
        </w:rPr>
      </w:pPr>
      <w:r w:rsidRPr="008A66D0">
        <w:rPr>
          <w:sz w:val="22"/>
          <w:szCs w:val="22"/>
        </w:rPr>
        <w:t>Updat</w:t>
      </w:r>
      <w:r w:rsidR="0017789A" w:rsidRPr="008A66D0">
        <w:rPr>
          <w:sz w:val="22"/>
          <w:szCs w:val="22"/>
        </w:rPr>
        <w:t>ing</w:t>
      </w:r>
      <w:r w:rsidRPr="008A66D0">
        <w:rPr>
          <w:sz w:val="22"/>
          <w:szCs w:val="22"/>
        </w:rPr>
        <w:t xml:space="preserve"> and submit</w:t>
      </w:r>
      <w:r w:rsidR="0017789A" w:rsidRPr="008A66D0">
        <w:rPr>
          <w:sz w:val="22"/>
          <w:szCs w:val="22"/>
        </w:rPr>
        <w:t>ting</w:t>
      </w:r>
      <w:r w:rsidRPr="008A66D0">
        <w:rPr>
          <w:sz w:val="22"/>
          <w:szCs w:val="22"/>
        </w:rPr>
        <w:t xml:space="preserve"> </w:t>
      </w:r>
      <w:r w:rsidR="00AC7362" w:rsidRPr="008A66D0">
        <w:rPr>
          <w:sz w:val="22"/>
          <w:szCs w:val="22"/>
        </w:rPr>
        <w:t xml:space="preserve">a </w:t>
      </w:r>
      <w:r w:rsidR="00964ABF" w:rsidRPr="008A66D0">
        <w:rPr>
          <w:sz w:val="22"/>
          <w:szCs w:val="22"/>
        </w:rPr>
        <w:t xml:space="preserve">final </w:t>
      </w:r>
      <w:r w:rsidR="0017789A" w:rsidRPr="008A66D0">
        <w:rPr>
          <w:sz w:val="22"/>
          <w:szCs w:val="22"/>
        </w:rPr>
        <w:t>D</w:t>
      </w:r>
      <w:r w:rsidRPr="008A66D0">
        <w:rPr>
          <w:sz w:val="22"/>
          <w:szCs w:val="22"/>
        </w:rPr>
        <w:t xml:space="preserve">ata Collection Tool </w:t>
      </w:r>
      <w:r w:rsidR="00AC7362" w:rsidRPr="008A66D0">
        <w:rPr>
          <w:sz w:val="22"/>
          <w:szCs w:val="22"/>
        </w:rPr>
        <w:t xml:space="preserve">with corrections as necessary based upon </w:t>
      </w:r>
      <w:r w:rsidR="00D259E2" w:rsidRPr="008A66D0">
        <w:rPr>
          <w:sz w:val="22"/>
          <w:szCs w:val="22"/>
        </w:rPr>
        <w:t>O</w:t>
      </w:r>
      <w:r w:rsidR="001D1927" w:rsidRPr="008A66D0">
        <w:rPr>
          <w:sz w:val="22"/>
          <w:szCs w:val="22"/>
        </w:rPr>
        <w:t>APM</w:t>
      </w:r>
      <w:r w:rsidR="00AC7362" w:rsidRPr="008A66D0">
        <w:rPr>
          <w:sz w:val="22"/>
          <w:szCs w:val="22"/>
        </w:rPr>
        <w:t>’s review</w:t>
      </w:r>
      <w:r w:rsidRPr="008A66D0">
        <w:rPr>
          <w:sz w:val="22"/>
          <w:szCs w:val="22"/>
        </w:rPr>
        <w:t xml:space="preserve">.  </w:t>
      </w:r>
    </w:p>
    <w:p w:rsidR="00AC7362" w:rsidRPr="005A2646" w:rsidRDefault="00AC7362" w:rsidP="00AC7362">
      <w:pPr>
        <w:pStyle w:val="BodyText"/>
      </w:pPr>
    </w:p>
    <w:p w:rsidR="00E01C0E" w:rsidRPr="005A2646" w:rsidRDefault="00E01C0E" w:rsidP="00C624C8">
      <w:pPr>
        <w:pStyle w:val="ListNumber"/>
        <w:numPr>
          <w:ilvl w:val="0"/>
          <w:numId w:val="4"/>
        </w:numPr>
        <w:ind w:left="990" w:hanging="450"/>
        <w:jc w:val="left"/>
        <w:rPr>
          <w:rFonts w:asciiTheme="minorHAnsi" w:hAnsiTheme="minorHAnsi"/>
        </w:rPr>
        <w:sectPr w:rsidR="00E01C0E" w:rsidRPr="005A2646" w:rsidSect="00B66B17">
          <w:footerReference w:type="first" r:id="rId12"/>
          <w:pgSz w:w="12240" w:h="15840" w:code="1"/>
          <w:pgMar w:top="1152" w:right="1440" w:bottom="1152" w:left="1440" w:header="720" w:footer="720" w:gutter="0"/>
          <w:pgNumType w:fmt="lowerRoman"/>
          <w:cols w:space="720"/>
          <w:docGrid w:linePitch="218"/>
        </w:sectPr>
      </w:pPr>
    </w:p>
    <w:p w:rsidR="005F6105" w:rsidRPr="005A2646" w:rsidRDefault="004B1876" w:rsidP="00AD456C">
      <w:pPr>
        <w:pStyle w:val="Heading1"/>
      </w:pPr>
      <w:bookmarkStart w:id="10" w:name="_Toc285023612"/>
      <w:bookmarkStart w:id="11" w:name="_Toc285028609"/>
      <w:bookmarkStart w:id="12" w:name="_Toc320867569"/>
      <w:bookmarkStart w:id="13" w:name="_Toc416337766"/>
      <w:r w:rsidRPr="005A2646">
        <w:lastRenderedPageBreak/>
        <w:t>Guide to Inventory Submission</w:t>
      </w:r>
      <w:bookmarkEnd w:id="10"/>
      <w:bookmarkEnd w:id="11"/>
      <w:bookmarkEnd w:id="12"/>
      <w:bookmarkEnd w:id="13"/>
    </w:p>
    <w:p w:rsidR="00EE0EBE" w:rsidRPr="008A66D0" w:rsidRDefault="005508A5" w:rsidP="008A66D0">
      <w:pPr>
        <w:pStyle w:val="BodyText"/>
        <w:rPr>
          <w:sz w:val="22"/>
          <w:szCs w:val="22"/>
        </w:rPr>
      </w:pPr>
      <w:r w:rsidRPr="008A66D0">
        <w:rPr>
          <w:sz w:val="22"/>
          <w:szCs w:val="22"/>
        </w:rPr>
        <w:t xml:space="preserve">This document </w:t>
      </w:r>
      <w:r w:rsidR="00CF004F" w:rsidRPr="008A66D0">
        <w:rPr>
          <w:sz w:val="22"/>
          <w:szCs w:val="22"/>
        </w:rPr>
        <w:t xml:space="preserve">provides </w:t>
      </w:r>
      <w:r w:rsidR="005A2646" w:rsidRPr="008A66D0">
        <w:rPr>
          <w:sz w:val="22"/>
          <w:szCs w:val="22"/>
        </w:rPr>
        <w:t>overarching</w:t>
      </w:r>
      <w:r w:rsidR="00857264" w:rsidRPr="008A66D0">
        <w:rPr>
          <w:sz w:val="22"/>
          <w:szCs w:val="22"/>
        </w:rPr>
        <w:t xml:space="preserve"> </w:t>
      </w:r>
      <w:r w:rsidR="00CF004F" w:rsidRPr="008A66D0">
        <w:rPr>
          <w:sz w:val="22"/>
          <w:szCs w:val="22"/>
        </w:rPr>
        <w:t>guidance</w:t>
      </w:r>
      <w:r w:rsidRPr="008A66D0">
        <w:rPr>
          <w:sz w:val="22"/>
          <w:szCs w:val="22"/>
        </w:rPr>
        <w:t xml:space="preserve"> for submission of the DOE IGCA Inventory.  This inventory will be used to respond to various reporting requirements including, but not limited to, the Federal Activities Inventory Reform Act of 1998, Public Law 105-270 (FAIR Act) and the inventory of inherently governmental activities required by </w:t>
      </w:r>
      <w:r w:rsidR="00EE0EBE" w:rsidRPr="008A66D0">
        <w:rPr>
          <w:sz w:val="22"/>
          <w:szCs w:val="22"/>
        </w:rPr>
        <w:t xml:space="preserve">OMB.  </w:t>
      </w:r>
    </w:p>
    <w:p w:rsidR="0012189F" w:rsidRPr="008A66D0" w:rsidRDefault="008F293E" w:rsidP="0012189F">
      <w:pPr>
        <w:pStyle w:val="BodyText"/>
        <w:rPr>
          <w:sz w:val="22"/>
          <w:szCs w:val="22"/>
        </w:rPr>
      </w:pPr>
      <w:r w:rsidRPr="008A66D0">
        <w:rPr>
          <w:sz w:val="22"/>
          <w:szCs w:val="22"/>
        </w:rPr>
        <w:t xml:space="preserve">OMB requires the submission of the IGCA Inventory in a specified electronic format.  </w:t>
      </w:r>
      <w:r w:rsidR="000D7D41" w:rsidRPr="008A66D0">
        <w:rPr>
          <w:sz w:val="22"/>
          <w:szCs w:val="22"/>
        </w:rPr>
        <w:t xml:space="preserve">OMB requires the submission of the IGCA Inventory in a specified electronic format.  As a result, we are reverting to the Microsoft Excel spreadsheet version of the data collection tool.  Instructions related to the use of the data collection tool are available in the Collection Tool section of this guidance. </w:t>
      </w:r>
    </w:p>
    <w:p w:rsidR="0012189F" w:rsidRPr="008A66D0" w:rsidRDefault="0012189F" w:rsidP="000E6DC4">
      <w:pPr>
        <w:pStyle w:val="BodyText"/>
        <w:rPr>
          <w:sz w:val="22"/>
          <w:szCs w:val="22"/>
        </w:rPr>
      </w:pPr>
      <w:r w:rsidRPr="008A66D0">
        <w:rPr>
          <w:sz w:val="22"/>
          <w:szCs w:val="22"/>
        </w:rPr>
        <w:t>In addition to the Inherently Governmental and Commercial designations OMB is requiring a Critical Function designation for all functions in this data call.  Determining the criticality of a function requires the exercise of informed judgment by agency officials.  The criticality of the function depends on the mission and operations, which will differ between agencies and within agencies over time.  In making that determination, the officials shall consider the importance that a function holds for the agency and its mission and operations. The more important the function, the more important that the agency have internal capability to maintain control of its mission and operations.  Where a critical function is not inherently governmental, the agency may appropriately consider filling positions dedicated to the function with both Federal employees and contractors.  However, to meet its fiduciary responsibility to the taxpayers, the agency must have sufficient internal capability to control its mission and operations, and must ensure it is cost effective to contract for the services.</w:t>
      </w:r>
    </w:p>
    <w:p w:rsidR="00A42AA1" w:rsidRPr="005A2646" w:rsidRDefault="00A42AA1" w:rsidP="00114784">
      <w:pPr>
        <w:pStyle w:val="Heading2"/>
        <w:spacing w:after="120"/>
        <w:rPr>
          <w:rStyle w:val="Heading3Char"/>
          <w:rFonts w:asciiTheme="minorHAnsi" w:hAnsiTheme="minorHAnsi"/>
          <w:b/>
          <w:bCs/>
          <w:color w:val="333399"/>
          <w:spacing w:val="-10"/>
          <w:sz w:val="28"/>
          <w:szCs w:val="24"/>
        </w:rPr>
      </w:pPr>
      <w:bookmarkStart w:id="14" w:name="_Toc285023613"/>
      <w:bookmarkStart w:id="15" w:name="_Toc285028610"/>
      <w:bookmarkStart w:id="16" w:name="_Toc320867570"/>
      <w:bookmarkStart w:id="17" w:name="_Toc416337767"/>
      <w:r w:rsidRPr="005A2646">
        <w:rPr>
          <w:rStyle w:val="Heading3Char"/>
          <w:rFonts w:asciiTheme="minorHAnsi" w:hAnsiTheme="minorHAnsi"/>
          <w:b/>
          <w:bCs/>
          <w:color w:val="333399"/>
          <w:spacing w:val="-10"/>
          <w:sz w:val="28"/>
          <w:szCs w:val="24"/>
        </w:rPr>
        <w:t>DOE Function Codes</w:t>
      </w:r>
      <w:bookmarkEnd w:id="14"/>
      <w:bookmarkEnd w:id="15"/>
      <w:bookmarkEnd w:id="16"/>
      <w:bookmarkEnd w:id="17"/>
    </w:p>
    <w:p w:rsidR="00A42AA1" w:rsidRPr="008A66D0" w:rsidRDefault="00A42AA1" w:rsidP="0012189F">
      <w:pPr>
        <w:pStyle w:val="BodyText"/>
        <w:rPr>
          <w:bCs/>
          <w:sz w:val="22"/>
          <w:szCs w:val="22"/>
        </w:rPr>
      </w:pPr>
      <w:bookmarkStart w:id="18" w:name="_Toc285023614"/>
      <w:bookmarkStart w:id="19" w:name="_Toc320867571"/>
      <w:bookmarkStart w:id="20" w:name="_Toc416337768"/>
      <w:r w:rsidRPr="008A66D0">
        <w:rPr>
          <w:rStyle w:val="Heading3Char"/>
          <w:rFonts w:asciiTheme="minorHAnsi" w:hAnsiTheme="minorHAnsi"/>
          <w:sz w:val="22"/>
          <w:szCs w:val="22"/>
          <w:u w:val="single"/>
        </w:rPr>
        <w:t>Function Code Taxonomy</w:t>
      </w:r>
      <w:r w:rsidRPr="008A66D0">
        <w:rPr>
          <w:rStyle w:val="Heading3Char"/>
          <w:rFonts w:asciiTheme="minorHAnsi" w:hAnsiTheme="minorHAnsi"/>
          <w:sz w:val="22"/>
          <w:szCs w:val="22"/>
        </w:rPr>
        <w:t>:</w:t>
      </w:r>
      <w:bookmarkEnd w:id="18"/>
      <w:bookmarkEnd w:id="19"/>
      <w:bookmarkEnd w:id="20"/>
      <w:r w:rsidRPr="008A66D0">
        <w:rPr>
          <w:rStyle w:val="Heading4Char"/>
          <w:rFonts w:asciiTheme="minorHAnsi" w:hAnsiTheme="minorHAnsi"/>
          <w:sz w:val="22"/>
          <w:szCs w:val="22"/>
        </w:rPr>
        <w:t xml:space="preserve"> </w:t>
      </w:r>
      <w:r w:rsidRPr="008A66D0">
        <w:rPr>
          <w:rStyle w:val="Heading2Char"/>
          <w:rFonts w:asciiTheme="minorHAnsi" w:hAnsiTheme="minorHAnsi"/>
          <w:sz w:val="22"/>
          <w:szCs w:val="22"/>
        </w:rPr>
        <w:t xml:space="preserve"> </w:t>
      </w:r>
      <w:r w:rsidRPr="008A66D0">
        <w:rPr>
          <w:sz w:val="22"/>
          <w:szCs w:val="22"/>
        </w:rPr>
        <w:t xml:space="preserve">Function Codes provide the coding structure for offices to account for all departmental activities performed in direct support of missions.  </w:t>
      </w:r>
      <w:r w:rsidRPr="008A66D0">
        <w:rPr>
          <w:bCs/>
          <w:sz w:val="22"/>
          <w:szCs w:val="22"/>
        </w:rPr>
        <w:t>Each function code includes an alphanumeric code, title, and definition describing the type of work performed.  Function Code definitions are intended to be comprehensive and mutually exclusive.  Additionally, each definition identifies meaningful exclusions.  Many groupings of Function Codes include at least one miscellaneous “other” function that has an alphanumeric code ending in “99” (e.g., “H999 – Other Health Services”).  These miscellaneous functions are used to code work that is not identified by other function codes on the list.  The use of the miscellaneous codes is discouraged and should be utilized only as the last choice.</w:t>
      </w:r>
      <w:r w:rsidR="00114784" w:rsidRPr="008A66D0">
        <w:rPr>
          <w:bCs/>
          <w:sz w:val="22"/>
          <w:szCs w:val="22"/>
        </w:rPr>
        <w:t xml:space="preserve">  </w:t>
      </w:r>
    </w:p>
    <w:p w:rsidR="00A42AA1" w:rsidRPr="008A66D0" w:rsidRDefault="00A42AA1" w:rsidP="00247E64">
      <w:pPr>
        <w:pStyle w:val="BodyText"/>
        <w:rPr>
          <w:sz w:val="22"/>
          <w:szCs w:val="22"/>
        </w:rPr>
      </w:pPr>
      <w:bookmarkStart w:id="21" w:name="_Toc285023615"/>
      <w:bookmarkStart w:id="22" w:name="_Toc320867572"/>
      <w:bookmarkStart w:id="23" w:name="_Toc416337769"/>
      <w:r w:rsidRPr="008A66D0">
        <w:rPr>
          <w:rStyle w:val="Heading3Char"/>
          <w:rFonts w:asciiTheme="minorHAnsi" w:hAnsiTheme="minorHAnsi"/>
          <w:sz w:val="22"/>
          <w:szCs w:val="22"/>
          <w:u w:val="single"/>
        </w:rPr>
        <w:t>Coding Management Functions</w:t>
      </w:r>
      <w:r w:rsidRPr="008A66D0">
        <w:rPr>
          <w:rStyle w:val="Heading3Char"/>
          <w:rFonts w:asciiTheme="minorHAnsi" w:hAnsiTheme="minorHAnsi"/>
          <w:sz w:val="22"/>
          <w:szCs w:val="22"/>
        </w:rPr>
        <w:t>:</w:t>
      </w:r>
      <w:bookmarkEnd w:id="21"/>
      <w:bookmarkEnd w:id="22"/>
      <w:bookmarkEnd w:id="23"/>
      <w:r w:rsidRPr="008A66D0">
        <w:rPr>
          <w:rStyle w:val="Heading4Char"/>
          <w:rFonts w:asciiTheme="minorHAnsi" w:hAnsiTheme="minorHAnsi"/>
          <w:b/>
          <w:bCs/>
          <w:sz w:val="22"/>
          <w:szCs w:val="22"/>
        </w:rPr>
        <w:t xml:space="preserve"> </w:t>
      </w:r>
      <w:r w:rsidRPr="008A66D0">
        <w:rPr>
          <w:b/>
          <w:color w:val="333399"/>
          <w:sz w:val="22"/>
          <w:szCs w:val="22"/>
        </w:rPr>
        <w:t xml:space="preserve"> </w:t>
      </w:r>
      <w:r w:rsidRPr="008A66D0">
        <w:rPr>
          <w:sz w:val="22"/>
          <w:szCs w:val="22"/>
        </w:rPr>
        <w:t>Management functions performed at the headquarters level involve work that is significantly different than that performed at operations offices.  OMB has developed separate codes and titles for each.  Management Headquarters type work is defined as “overseeing, directing, and controlling subordinate organizations or units through:  developing and issuing policies and providing policy guidance; reviewing and evaluating program performance; allocating and distributing resources; or conducting mid- and long-range planning, programming, and budgeting.”  However, “Management Headquarters” functions do not include “all direct support (e.g., professional, technical, administrative</w:t>
      </w:r>
      <w:r w:rsidR="00C25174" w:rsidRPr="008A66D0">
        <w:rPr>
          <w:sz w:val="22"/>
          <w:szCs w:val="22"/>
        </w:rPr>
        <w:t>,</w:t>
      </w:r>
      <w:r w:rsidRPr="008A66D0">
        <w:rPr>
          <w:sz w:val="22"/>
          <w:szCs w:val="22"/>
        </w:rPr>
        <w:t xml:space="preserve"> or logistical support) that is provided directly to a major DOE headquarters office and is essential to its operation.”  Direct support is included as part of a “Management Headquarters” function only when the support is an inherent part of, and inextricably tied to, management headquarters type work as defined above.  If the support is performed separately, it is coded with the support function code that most closely describes the type of support provided.  </w:t>
      </w:r>
    </w:p>
    <w:p w:rsidR="00A42AA1" w:rsidRPr="008A66D0" w:rsidRDefault="00A42AA1" w:rsidP="00247E64">
      <w:pPr>
        <w:pStyle w:val="BodyText"/>
        <w:rPr>
          <w:sz w:val="22"/>
          <w:szCs w:val="22"/>
        </w:rPr>
      </w:pPr>
      <w:r w:rsidRPr="008A66D0">
        <w:rPr>
          <w:sz w:val="22"/>
          <w:szCs w:val="22"/>
        </w:rPr>
        <w:t xml:space="preserve">There are services and operations that have management elements (e.g., supervision, oversight, and control).  Services and operations are sometimes performed by private sector contractors.  In such cases, the </w:t>
      </w:r>
      <w:r w:rsidRPr="008A66D0">
        <w:rPr>
          <w:sz w:val="22"/>
          <w:szCs w:val="22"/>
        </w:rPr>
        <w:lastRenderedPageBreak/>
        <w:t xml:space="preserve">administration and oversight of the contract (to include quality assurance and technical review of the services provided) are considered to be an inherent part of the management function. </w:t>
      </w:r>
    </w:p>
    <w:p w:rsidR="00A42AA1" w:rsidRPr="008A66D0" w:rsidRDefault="00A42AA1" w:rsidP="00247E64">
      <w:pPr>
        <w:pStyle w:val="BodyText"/>
        <w:rPr>
          <w:sz w:val="22"/>
          <w:szCs w:val="22"/>
        </w:rPr>
      </w:pPr>
      <w:r w:rsidRPr="008A66D0">
        <w:rPr>
          <w:b/>
          <w:sz w:val="22"/>
          <w:szCs w:val="22"/>
        </w:rPr>
        <w:t>Note:</w:t>
      </w:r>
      <w:r w:rsidRPr="008A66D0">
        <w:rPr>
          <w:sz w:val="22"/>
          <w:szCs w:val="22"/>
        </w:rPr>
        <w:t xml:space="preserve">  Coding is based on the type of work activity performed (e.g., personnel operations) and not based on where the work activity is performed (e.g., headquarters or field office).</w:t>
      </w:r>
    </w:p>
    <w:p w:rsidR="00A42AA1" w:rsidRPr="005A2646" w:rsidRDefault="00A42AA1" w:rsidP="00114784">
      <w:pPr>
        <w:pStyle w:val="Heading2"/>
        <w:spacing w:after="120"/>
        <w:rPr>
          <w:rStyle w:val="Heading3Char"/>
          <w:rFonts w:asciiTheme="minorHAnsi" w:hAnsiTheme="minorHAnsi"/>
          <w:b/>
          <w:bCs/>
          <w:color w:val="333399"/>
          <w:spacing w:val="-10"/>
          <w:sz w:val="28"/>
          <w:szCs w:val="24"/>
        </w:rPr>
      </w:pPr>
      <w:bookmarkStart w:id="24" w:name="_Toc285023616"/>
      <w:bookmarkStart w:id="25" w:name="_Toc285028611"/>
      <w:bookmarkStart w:id="26" w:name="_Toc320867573"/>
      <w:bookmarkStart w:id="27" w:name="_Toc416337770"/>
      <w:r w:rsidRPr="005A2646">
        <w:rPr>
          <w:rStyle w:val="Heading3Char"/>
          <w:rFonts w:asciiTheme="minorHAnsi" w:hAnsiTheme="minorHAnsi"/>
          <w:b/>
          <w:bCs/>
          <w:color w:val="333399"/>
          <w:spacing w:val="-10"/>
          <w:sz w:val="28"/>
          <w:szCs w:val="24"/>
        </w:rPr>
        <w:t>Coding Rules for the IGCA Inventory</w:t>
      </w:r>
      <w:bookmarkEnd w:id="24"/>
      <w:bookmarkEnd w:id="25"/>
      <w:bookmarkEnd w:id="26"/>
      <w:bookmarkEnd w:id="27"/>
    </w:p>
    <w:p w:rsidR="00A42AA1" w:rsidRPr="008A66D0" w:rsidRDefault="00A42AA1" w:rsidP="00247E64">
      <w:pPr>
        <w:pStyle w:val="BodyText"/>
        <w:rPr>
          <w:sz w:val="22"/>
          <w:szCs w:val="22"/>
        </w:rPr>
      </w:pPr>
      <w:r w:rsidRPr="008A66D0">
        <w:rPr>
          <w:sz w:val="22"/>
          <w:szCs w:val="22"/>
          <w:u w:val="single"/>
        </w:rPr>
        <w:t>Position Title vs. FTE Function</w:t>
      </w:r>
      <w:r w:rsidRPr="008A66D0">
        <w:rPr>
          <w:sz w:val="22"/>
          <w:szCs w:val="22"/>
        </w:rPr>
        <w:t xml:space="preserve">: </w:t>
      </w:r>
      <w:r w:rsidR="00114784" w:rsidRPr="008A66D0">
        <w:rPr>
          <w:sz w:val="22"/>
          <w:szCs w:val="22"/>
        </w:rPr>
        <w:t xml:space="preserve"> </w:t>
      </w:r>
      <w:r w:rsidR="008044BE" w:rsidRPr="008A66D0">
        <w:rPr>
          <w:sz w:val="22"/>
          <w:szCs w:val="22"/>
        </w:rPr>
        <w:t>Full time equivalent</w:t>
      </w:r>
      <w:r w:rsidR="003427CC" w:rsidRPr="008A66D0">
        <w:rPr>
          <w:sz w:val="22"/>
          <w:szCs w:val="22"/>
        </w:rPr>
        <w:t>s</w:t>
      </w:r>
      <w:r w:rsidR="008044BE" w:rsidRPr="008A66D0">
        <w:rPr>
          <w:sz w:val="22"/>
          <w:szCs w:val="22"/>
        </w:rPr>
        <w:t xml:space="preserve"> are</w:t>
      </w:r>
      <w:r w:rsidRPr="008A66D0">
        <w:rPr>
          <w:sz w:val="22"/>
          <w:szCs w:val="22"/>
        </w:rPr>
        <w:t xml:space="preserve"> grouped by function code to indicate the type of work activity performed.  In some cases, this may not correspond to what position series and titles an FTE represents. </w:t>
      </w:r>
    </w:p>
    <w:p w:rsidR="00A42AA1" w:rsidRPr="008A66D0" w:rsidRDefault="00A42AA1" w:rsidP="00247E64">
      <w:pPr>
        <w:pStyle w:val="BodyText"/>
        <w:rPr>
          <w:sz w:val="22"/>
          <w:szCs w:val="22"/>
        </w:rPr>
      </w:pPr>
      <w:r w:rsidRPr="008A66D0">
        <w:rPr>
          <w:caps/>
          <w:sz w:val="22"/>
          <w:szCs w:val="22"/>
        </w:rPr>
        <w:t>example:</w:t>
      </w:r>
      <w:r w:rsidRPr="008A66D0">
        <w:rPr>
          <w:sz w:val="22"/>
          <w:szCs w:val="22"/>
        </w:rPr>
        <w:t xml:space="preserve"> </w:t>
      </w:r>
      <w:r w:rsidR="00114784" w:rsidRPr="008A66D0">
        <w:rPr>
          <w:sz w:val="22"/>
          <w:szCs w:val="22"/>
        </w:rPr>
        <w:t xml:space="preserve"> </w:t>
      </w:r>
      <w:r w:rsidRPr="008A66D0">
        <w:rPr>
          <w:sz w:val="22"/>
          <w:szCs w:val="22"/>
        </w:rPr>
        <w:t>Although accountants are typically found in accounting functions and engineers in engineering functions, in some cases, a budget analyst may be working in an accounting function or a geologist in an engineering function.  As a general rule</w:t>
      </w:r>
      <w:r w:rsidR="00367268" w:rsidRPr="008A66D0">
        <w:rPr>
          <w:sz w:val="22"/>
          <w:szCs w:val="22"/>
        </w:rPr>
        <w:t>,</w:t>
      </w:r>
      <w:r w:rsidRPr="008A66D0">
        <w:rPr>
          <w:sz w:val="22"/>
          <w:szCs w:val="22"/>
        </w:rPr>
        <w:t xml:space="preserve"> the function code selected for these FTEs should be based on the type of activity (i.e., accounting function) and not </w:t>
      </w:r>
      <w:r w:rsidR="00367268" w:rsidRPr="008A66D0">
        <w:rPr>
          <w:sz w:val="22"/>
          <w:szCs w:val="22"/>
        </w:rPr>
        <w:t xml:space="preserve">the </w:t>
      </w:r>
      <w:r w:rsidRPr="008A66D0">
        <w:rPr>
          <w:sz w:val="22"/>
          <w:szCs w:val="22"/>
        </w:rPr>
        <w:t>type of position (i.e., budget analyst) associated with the FTE.  In this case</w:t>
      </w:r>
      <w:r w:rsidR="00367268" w:rsidRPr="008A66D0">
        <w:rPr>
          <w:sz w:val="22"/>
          <w:szCs w:val="22"/>
        </w:rPr>
        <w:t>,</w:t>
      </w:r>
      <w:r w:rsidRPr="008A66D0">
        <w:rPr>
          <w:sz w:val="22"/>
          <w:szCs w:val="22"/>
        </w:rPr>
        <w:t xml:space="preserve"> the budget analyst would be coded as an accounting function and </w:t>
      </w:r>
      <w:r w:rsidR="00367268" w:rsidRPr="008A66D0">
        <w:rPr>
          <w:sz w:val="22"/>
          <w:szCs w:val="22"/>
        </w:rPr>
        <w:t xml:space="preserve">the </w:t>
      </w:r>
      <w:r w:rsidRPr="008A66D0">
        <w:rPr>
          <w:sz w:val="22"/>
          <w:szCs w:val="22"/>
        </w:rPr>
        <w:t xml:space="preserve">geologist as engineering function.  </w:t>
      </w:r>
    </w:p>
    <w:p w:rsidR="00A42AA1" w:rsidRPr="008A66D0" w:rsidRDefault="00A42AA1" w:rsidP="00247E64">
      <w:pPr>
        <w:pStyle w:val="BodyText"/>
        <w:rPr>
          <w:sz w:val="22"/>
          <w:szCs w:val="22"/>
        </w:rPr>
      </w:pPr>
      <w:r w:rsidRPr="008A66D0">
        <w:rPr>
          <w:caps/>
          <w:sz w:val="22"/>
          <w:szCs w:val="22"/>
        </w:rPr>
        <w:t>Note:</w:t>
      </w:r>
      <w:r w:rsidRPr="008A66D0">
        <w:rPr>
          <w:sz w:val="22"/>
          <w:szCs w:val="22"/>
        </w:rPr>
        <w:t xml:space="preserve"> </w:t>
      </w:r>
      <w:r w:rsidR="00114784" w:rsidRPr="008A66D0">
        <w:rPr>
          <w:sz w:val="22"/>
          <w:szCs w:val="22"/>
        </w:rPr>
        <w:t xml:space="preserve"> </w:t>
      </w:r>
      <w:r w:rsidRPr="008A66D0">
        <w:rPr>
          <w:sz w:val="22"/>
          <w:szCs w:val="22"/>
        </w:rPr>
        <w:t>The definitions for the acquisition functions in the list provided with this guidance are not intended to reflect or align with the Department’s definition for the “Acquisition Work Force” as addressed in DOE Order 361.1.  The Department’s definition for the “Acquisition Work Force” is based on organizations and occupational series.  As explained above, DOE functions are based on the type of work performed regardless of its organization</w:t>
      </w:r>
      <w:r w:rsidR="00367268" w:rsidRPr="008A66D0">
        <w:rPr>
          <w:sz w:val="22"/>
          <w:szCs w:val="22"/>
        </w:rPr>
        <w:t xml:space="preserve">. </w:t>
      </w:r>
      <w:r w:rsidR="00114784" w:rsidRPr="008A66D0">
        <w:rPr>
          <w:sz w:val="22"/>
          <w:szCs w:val="22"/>
        </w:rPr>
        <w:t xml:space="preserve"> </w:t>
      </w:r>
      <w:r w:rsidR="00367268" w:rsidRPr="008A66D0">
        <w:rPr>
          <w:sz w:val="22"/>
          <w:szCs w:val="22"/>
        </w:rPr>
        <w:t>They</w:t>
      </w:r>
      <w:r w:rsidRPr="008A66D0">
        <w:rPr>
          <w:sz w:val="22"/>
          <w:szCs w:val="22"/>
        </w:rPr>
        <w:t xml:space="preserve"> are not based on (or necessarily relate to) occupational series / occupational specialties.</w:t>
      </w:r>
    </w:p>
    <w:p w:rsidR="00A42AA1" w:rsidRPr="008A66D0" w:rsidRDefault="00114784" w:rsidP="00247E64">
      <w:pPr>
        <w:pStyle w:val="BodyText"/>
        <w:rPr>
          <w:sz w:val="22"/>
          <w:szCs w:val="22"/>
        </w:rPr>
      </w:pPr>
      <w:r w:rsidRPr="008A66D0">
        <w:rPr>
          <w:sz w:val="22"/>
          <w:szCs w:val="22"/>
          <w:u w:val="single"/>
        </w:rPr>
        <w:t>Fractional FTEs</w:t>
      </w:r>
      <w:r w:rsidR="00A42AA1" w:rsidRPr="008A66D0">
        <w:rPr>
          <w:rStyle w:val="Heading4Char"/>
          <w:rFonts w:asciiTheme="minorHAnsi" w:hAnsiTheme="minorHAnsi"/>
          <w:sz w:val="22"/>
          <w:szCs w:val="22"/>
        </w:rPr>
        <w:t>:</w:t>
      </w:r>
      <w:r w:rsidRPr="008A66D0">
        <w:rPr>
          <w:rStyle w:val="Heading4Char"/>
          <w:rFonts w:asciiTheme="minorHAnsi" w:hAnsiTheme="minorHAnsi"/>
          <w:sz w:val="22"/>
          <w:szCs w:val="22"/>
        </w:rPr>
        <w:t xml:space="preserve">  </w:t>
      </w:r>
      <w:r w:rsidR="00A42AA1" w:rsidRPr="008A66D0">
        <w:rPr>
          <w:sz w:val="22"/>
          <w:szCs w:val="22"/>
        </w:rPr>
        <w:t xml:space="preserve">OMB allows for the reporting of fractional FTE; however, agencies shall </w:t>
      </w:r>
      <w:r w:rsidR="00A42AA1" w:rsidRPr="008A66D0">
        <w:rPr>
          <w:b/>
          <w:sz w:val="22"/>
          <w:szCs w:val="22"/>
        </w:rPr>
        <w:t>not report fractions smaller than one-quarter</w:t>
      </w:r>
      <w:r w:rsidR="00A42AA1" w:rsidRPr="008A66D0">
        <w:rPr>
          <w:sz w:val="22"/>
          <w:szCs w:val="22"/>
        </w:rPr>
        <w:t xml:space="preserve">.  Part-time or seasonal employees should be accurately reported as fractional FTE.  Splitting FTE into multiple function codes should only be done in cases where a single FTE performs two or three completely separate functions.  For instance, nearly all positions have an administrative component; however, it is unnecessary to separate this from the rest of the position duties.  An FTE should be assigned a single function code based on the predominant type of work performed.  </w:t>
      </w:r>
    </w:p>
    <w:p w:rsidR="00A42AA1" w:rsidRPr="008A66D0" w:rsidRDefault="00A42AA1" w:rsidP="00247E64">
      <w:pPr>
        <w:pStyle w:val="BodyText"/>
        <w:rPr>
          <w:sz w:val="22"/>
          <w:szCs w:val="22"/>
        </w:rPr>
      </w:pPr>
      <w:r w:rsidRPr="008A66D0">
        <w:rPr>
          <w:sz w:val="22"/>
          <w:szCs w:val="22"/>
          <w:u w:val="single"/>
        </w:rPr>
        <w:t>Filled / Vacant Positions</w:t>
      </w:r>
      <w:r w:rsidRPr="008A66D0">
        <w:rPr>
          <w:sz w:val="22"/>
          <w:szCs w:val="22"/>
        </w:rPr>
        <w:t>:</w:t>
      </w:r>
      <w:r w:rsidR="00114784" w:rsidRPr="008A66D0">
        <w:rPr>
          <w:sz w:val="22"/>
          <w:szCs w:val="22"/>
        </w:rPr>
        <w:t xml:space="preserve">  </w:t>
      </w:r>
      <w:r w:rsidRPr="008A66D0">
        <w:rPr>
          <w:sz w:val="22"/>
          <w:szCs w:val="22"/>
        </w:rPr>
        <w:t xml:space="preserve">FTEs ought to be reported whether the </w:t>
      </w:r>
      <w:r w:rsidR="008044BE" w:rsidRPr="008A66D0">
        <w:rPr>
          <w:sz w:val="22"/>
          <w:szCs w:val="22"/>
        </w:rPr>
        <w:t xml:space="preserve">position </w:t>
      </w:r>
      <w:r w:rsidRPr="008A66D0">
        <w:rPr>
          <w:sz w:val="22"/>
          <w:szCs w:val="22"/>
        </w:rPr>
        <w:t xml:space="preserve">is filled, vacant, on a non-reimbursable detail, or on extended leave. </w:t>
      </w:r>
      <w:r w:rsidR="00C25174" w:rsidRPr="008A66D0">
        <w:rPr>
          <w:sz w:val="22"/>
          <w:szCs w:val="22"/>
        </w:rPr>
        <w:t xml:space="preserve"> </w:t>
      </w:r>
      <w:r w:rsidRPr="008A66D0">
        <w:rPr>
          <w:sz w:val="22"/>
          <w:szCs w:val="22"/>
        </w:rPr>
        <w:t xml:space="preserve">The IGCA inventory accounts for the type of work activity authorized to be performed — FTE authorizations — regardless of whether the position associated with the FTE is burdened or not (filled or vacant).  FTEs are reported regardless of whether the incumbent of the position associated with the FTE is borrowed or diverted to perform other work; is on temporary or extended detail, leave, or training; or has full or part-time collateral duties. </w:t>
      </w:r>
    </w:p>
    <w:p w:rsidR="00A42AA1" w:rsidRPr="008A66D0" w:rsidRDefault="00A42AA1" w:rsidP="00247E64">
      <w:pPr>
        <w:pStyle w:val="BodyText"/>
        <w:rPr>
          <w:sz w:val="22"/>
          <w:szCs w:val="22"/>
        </w:rPr>
      </w:pPr>
      <w:r w:rsidRPr="008A66D0">
        <w:rPr>
          <w:sz w:val="22"/>
          <w:szCs w:val="22"/>
          <w:u w:val="single"/>
        </w:rPr>
        <w:t>Budgeted FTEs</w:t>
      </w:r>
      <w:r w:rsidRPr="008A66D0">
        <w:rPr>
          <w:sz w:val="22"/>
          <w:szCs w:val="22"/>
        </w:rPr>
        <w:t>:</w:t>
      </w:r>
      <w:r w:rsidR="00114784" w:rsidRPr="008A66D0">
        <w:rPr>
          <w:sz w:val="22"/>
          <w:szCs w:val="22"/>
        </w:rPr>
        <w:t xml:space="preserve">  </w:t>
      </w:r>
      <w:r w:rsidRPr="008A66D0">
        <w:rPr>
          <w:sz w:val="22"/>
          <w:szCs w:val="22"/>
        </w:rPr>
        <w:t xml:space="preserve">The number of FTEs reported in each </w:t>
      </w:r>
      <w:r w:rsidR="00964ABF" w:rsidRPr="008A66D0">
        <w:rPr>
          <w:sz w:val="22"/>
          <w:szCs w:val="22"/>
        </w:rPr>
        <w:t>Departmental Element</w:t>
      </w:r>
      <w:r w:rsidRPr="008A66D0">
        <w:rPr>
          <w:sz w:val="22"/>
          <w:szCs w:val="22"/>
        </w:rPr>
        <w:t xml:space="preserve">’s inventory should reflect the number of budgeted FTEs the </w:t>
      </w:r>
      <w:r w:rsidR="00964ABF" w:rsidRPr="008A66D0">
        <w:rPr>
          <w:sz w:val="22"/>
          <w:szCs w:val="22"/>
        </w:rPr>
        <w:t>Departmental Element</w:t>
      </w:r>
      <w:r w:rsidRPr="008A66D0">
        <w:rPr>
          <w:sz w:val="22"/>
          <w:szCs w:val="22"/>
        </w:rPr>
        <w:t xml:space="preserve"> is assigned.  Therefore, all budgeted FTEs should be included in </w:t>
      </w:r>
      <w:r w:rsidR="00964ABF" w:rsidRPr="008A66D0">
        <w:rPr>
          <w:sz w:val="22"/>
          <w:szCs w:val="22"/>
        </w:rPr>
        <w:t>Departmental Element</w:t>
      </w:r>
      <w:r w:rsidRPr="008A66D0">
        <w:rPr>
          <w:sz w:val="22"/>
          <w:szCs w:val="22"/>
        </w:rPr>
        <w:t xml:space="preserve"> inventories regardless of personnel status (i.e. Civil Service, Political Appointees, and Foreign Service).  </w:t>
      </w:r>
    </w:p>
    <w:p w:rsidR="00A42AA1" w:rsidRPr="008A66D0" w:rsidRDefault="00A42AA1" w:rsidP="00247E64">
      <w:pPr>
        <w:pStyle w:val="BodyText"/>
        <w:rPr>
          <w:sz w:val="22"/>
          <w:szCs w:val="22"/>
        </w:rPr>
      </w:pPr>
      <w:r w:rsidRPr="008A66D0">
        <w:rPr>
          <w:sz w:val="22"/>
          <w:szCs w:val="22"/>
          <w:u w:val="single"/>
        </w:rPr>
        <w:t>Organizational Structures</w:t>
      </w:r>
      <w:r w:rsidRPr="008A66D0">
        <w:rPr>
          <w:sz w:val="22"/>
          <w:szCs w:val="22"/>
        </w:rPr>
        <w:t>:</w:t>
      </w:r>
      <w:r w:rsidR="00114784" w:rsidRPr="008A66D0">
        <w:rPr>
          <w:sz w:val="22"/>
          <w:szCs w:val="22"/>
        </w:rPr>
        <w:t xml:space="preserve">  </w:t>
      </w:r>
      <w:r w:rsidRPr="008A66D0">
        <w:rPr>
          <w:sz w:val="22"/>
          <w:szCs w:val="22"/>
        </w:rPr>
        <w:t>The IGCA inventory is based on current processes, procedures, organizational structures, equipment, and workloads.  Offices may not omit or add FTEs or code FTEs based on presumed improvements to organizational structures, equipment, technologies, work arrangements, processes, or procedures, except to the extent that doing so permits the office to report the FTE level (including vacancies) as set forth in the current fiscal year Budget.</w:t>
      </w:r>
    </w:p>
    <w:p w:rsidR="00A42AA1" w:rsidRPr="008A66D0" w:rsidRDefault="00A42AA1" w:rsidP="00247E64">
      <w:pPr>
        <w:pStyle w:val="BodyText"/>
        <w:rPr>
          <w:sz w:val="22"/>
          <w:szCs w:val="22"/>
          <w:highlight w:val="yellow"/>
        </w:rPr>
      </w:pPr>
      <w:r w:rsidRPr="008A66D0">
        <w:rPr>
          <w:sz w:val="22"/>
          <w:szCs w:val="22"/>
          <w:u w:val="single"/>
        </w:rPr>
        <w:lastRenderedPageBreak/>
        <w:t>Data Analysis</w:t>
      </w:r>
      <w:r w:rsidRPr="008A66D0">
        <w:rPr>
          <w:sz w:val="22"/>
          <w:szCs w:val="22"/>
        </w:rPr>
        <w:t>:</w:t>
      </w:r>
      <w:r w:rsidR="00114784" w:rsidRPr="008A66D0">
        <w:rPr>
          <w:sz w:val="22"/>
          <w:szCs w:val="22"/>
        </w:rPr>
        <w:t xml:space="preserve">  </w:t>
      </w:r>
      <w:r w:rsidRPr="008A66D0">
        <w:rPr>
          <w:sz w:val="22"/>
          <w:szCs w:val="22"/>
        </w:rPr>
        <w:t>The definition for each function code describes the type of work performed.  The functional definition does not reflect</w:t>
      </w:r>
      <w:r w:rsidR="00C4701F" w:rsidRPr="008A66D0">
        <w:rPr>
          <w:sz w:val="22"/>
          <w:szCs w:val="22"/>
        </w:rPr>
        <w:t xml:space="preserve"> </w:t>
      </w:r>
      <w:r w:rsidR="00C4701F" w:rsidRPr="008A66D0">
        <w:rPr>
          <w:rFonts w:cs="Arial"/>
          <w:sz w:val="22"/>
          <w:szCs w:val="22"/>
        </w:rPr>
        <w:t>whether the function is inherently governmental or commercial in nature</w:t>
      </w:r>
      <w:r w:rsidR="009C55B1" w:rsidRPr="008A66D0">
        <w:rPr>
          <w:rFonts w:cs="Arial"/>
          <w:sz w:val="22"/>
          <w:szCs w:val="22"/>
        </w:rPr>
        <w:t>.</w:t>
      </w:r>
      <w:r w:rsidRPr="008A66D0">
        <w:rPr>
          <w:sz w:val="22"/>
          <w:szCs w:val="22"/>
          <w:highlight w:val="yellow"/>
        </w:rPr>
        <w:t xml:space="preserve"> </w:t>
      </w:r>
    </w:p>
    <w:p w:rsidR="002C6F46" w:rsidRPr="008A66D0" w:rsidRDefault="00A42AA1" w:rsidP="00247E64">
      <w:pPr>
        <w:pStyle w:val="BodyText"/>
        <w:rPr>
          <w:sz w:val="22"/>
          <w:szCs w:val="22"/>
        </w:rPr>
      </w:pPr>
      <w:r w:rsidRPr="008A66D0">
        <w:rPr>
          <w:sz w:val="22"/>
          <w:szCs w:val="22"/>
        </w:rPr>
        <w:t>It is important to keep in mind that the inventory information will be reviewed by parties internal and external to DOE.  Those parties may not be aware of the fact that management and organizational arrangements, geographic dispersion, span-of-control, and management relationships differ greatly among DOE offices.  Also, they may not be aware of the degree to which DOE offices rely on inter / int</w:t>
      </w:r>
      <w:r w:rsidR="00DB0340" w:rsidRPr="008A66D0">
        <w:rPr>
          <w:sz w:val="22"/>
          <w:szCs w:val="22"/>
        </w:rPr>
        <w:t>ra</w:t>
      </w:r>
      <w:r w:rsidR="0043106A" w:rsidRPr="008A66D0">
        <w:rPr>
          <w:sz w:val="22"/>
          <w:szCs w:val="22"/>
        </w:rPr>
        <w:t>-</w:t>
      </w:r>
      <w:r w:rsidRPr="008A66D0">
        <w:rPr>
          <w:sz w:val="22"/>
          <w:szCs w:val="22"/>
        </w:rPr>
        <w:t xml:space="preserve">governmental support and private sector services.  In order to assess the type of activity or to question inherently governmental and commercial designations of FTEs, parties may make DOE-wide comparisons of functions, functional groups, functional categories, or organizational levels.  By documenting the rationale behind your coding decisions, any questions resulting from the review and analysis of your inventory should be easier to answer. </w:t>
      </w:r>
    </w:p>
    <w:p w:rsidR="00E31B2C" w:rsidRPr="005A2646" w:rsidRDefault="00E31B2C" w:rsidP="0043106A">
      <w:pPr>
        <w:pStyle w:val="Heading2"/>
        <w:spacing w:after="120"/>
        <w:rPr>
          <w:rStyle w:val="Heading3Char"/>
          <w:rFonts w:asciiTheme="minorHAnsi" w:hAnsiTheme="minorHAnsi"/>
          <w:b/>
          <w:bCs/>
          <w:color w:val="333399"/>
          <w:spacing w:val="-10"/>
          <w:sz w:val="28"/>
          <w:szCs w:val="24"/>
        </w:rPr>
      </w:pPr>
      <w:bookmarkStart w:id="28" w:name="_Toc285023617"/>
      <w:bookmarkStart w:id="29" w:name="_Toc285028612"/>
      <w:bookmarkStart w:id="30" w:name="_Toc320867574"/>
      <w:bookmarkStart w:id="31" w:name="_Toc416337771"/>
      <w:r w:rsidRPr="005A2646">
        <w:rPr>
          <w:rStyle w:val="Heading3Char"/>
          <w:rFonts w:asciiTheme="minorHAnsi" w:hAnsiTheme="minorHAnsi"/>
          <w:b/>
          <w:bCs/>
          <w:color w:val="333399"/>
          <w:spacing w:val="-10"/>
          <w:sz w:val="28"/>
          <w:szCs w:val="24"/>
        </w:rPr>
        <w:t>Reason Codes</w:t>
      </w:r>
      <w:bookmarkEnd w:id="28"/>
      <w:bookmarkEnd w:id="29"/>
      <w:bookmarkEnd w:id="30"/>
      <w:bookmarkEnd w:id="31"/>
    </w:p>
    <w:tbl>
      <w:tblPr>
        <w:tblW w:w="9468" w:type="dxa"/>
        <w:tblBorders>
          <w:top w:val="nil"/>
          <w:left w:val="nil"/>
          <w:bottom w:val="nil"/>
          <w:right w:val="nil"/>
        </w:tblBorders>
        <w:tblLayout w:type="fixed"/>
        <w:tblLook w:val="0000" w:firstRow="0" w:lastRow="0" w:firstColumn="0" w:lastColumn="0" w:noHBand="0" w:noVBand="0"/>
      </w:tblPr>
      <w:tblGrid>
        <w:gridCol w:w="828"/>
        <w:gridCol w:w="7020"/>
        <w:gridCol w:w="1620"/>
      </w:tblGrid>
      <w:tr w:rsidR="00DE578B" w:rsidRPr="00B06B29" w:rsidTr="00E01C0E">
        <w:trPr>
          <w:trHeight w:val="135"/>
        </w:trPr>
        <w:tc>
          <w:tcPr>
            <w:tcW w:w="828"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E578B" w:rsidRPr="00B06B29" w:rsidRDefault="00DE578B" w:rsidP="00E01C0E">
            <w:pPr>
              <w:autoSpaceDE w:val="0"/>
              <w:autoSpaceDN w:val="0"/>
              <w:adjustRightInd w:val="0"/>
              <w:rPr>
                <w:rFonts w:asciiTheme="minorHAnsi" w:hAnsiTheme="minorHAnsi"/>
                <w:b/>
                <w:color w:val="000000"/>
                <w:sz w:val="22"/>
                <w:szCs w:val="22"/>
              </w:rPr>
            </w:pPr>
            <w:r w:rsidRPr="00B06B29">
              <w:rPr>
                <w:rFonts w:asciiTheme="minorHAnsi" w:hAnsiTheme="minorHAnsi"/>
                <w:b/>
                <w:color w:val="000000"/>
                <w:sz w:val="22"/>
                <w:szCs w:val="22"/>
              </w:rPr>
              <w:t>Codes</w:t>
            </w:r>
          </w:p>
        </w:tc>
        <w:tc>
          <w:tcPr>
            <w:tcW w:w="702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E578B" w:rsidRPr="00B06B29" w:rsidRDefault="00DE578B" w:rsidP="00E01C0E">
            <w:pPr>
              <w:autoSpaceDE w:val="0"/>
              <w:autoSpaceDN w:val="0"/>
              <w:adjustRightInd w:val="0"/>
              <w:rPr>
                <w:rFonts w:asciiTheme="minorHAnsi" w:hAnsiTheme="minorHAnsi"/>
                <w:b/>
                <w:color w:val="000000"/>
                <w:sz w:val="22"/>
                <w:szCs w:val="22"/>
              </w:rPr>
            </w:pPr>
            <w:r w:rsidRPr="00B06B29">
              <w:rPr>
                <w:rFonts w:asciiTheme="minorHAnsi" w:hAnsiTheme="minorHAnsi"/>
                <w:b/>
                <w:bCs/>
                <w:color w:val="000000"/>
                <w:sz w:val="22"/>
                <w:szCs w:val="22"/>
              </w:rPr>
              <w:t xml:space="preserve">Description </w:t>
            </w:r>
          </w:p>
        </w:tc>
        <w:tc>
          <w:tcPr>
            <w:tcW w:w="1620" w:type="dxa"/>
            <w:tcBorders>
              <w:top w:val="single" w:sz="4" w:space="0" w:color="auto"/>
              <w:left w:val="single" w:sz="4" w:space="0" w:color="auto"/>
              <w:bottom w:val="single" w:sz="4" w:space="0" w:color="auto"/>
              <w:right w:val="single" w:sz="4" w:space="0" w:color="auto"/>
            </w:tcBorders>
            <w:shd w:val="clear" w:color="auto" w:fill="8DB3E2" w:themeFill="text2" w:themeFillTint="66"/>
          </w:tcPr>
          <w:p w:rsidR="00DE578B" w:rsidRPr="00B06B29" w:rsidRDefault="00DE578B">
            <w:pPr>
              <w:autoSpaceDE w:val="0"/>
              <w:autoSpaceDN w:val="0"/>
              <w:adjustRightInd w:val="0"/>
              <w:rPr>
                <w:rFonts w:asciiTheme="minorHAnsi" w:hAnsiTheme="minorHAnsi"/>
                <w:b/>
                <w:color w:val="000000"/>
                <w:sz w:val="22"/>
                <w:szCs w:val="22"/>
              </w:rPr>
            </w:pPr>
            <w:r w:rsidRPr="00B06B29">
              <w:rPr>
                <w:rFonts w:asciiTheme="minorHAnsi" w:hAnsiTheme="minorHAnsi"/>
                <w:b/>
                <w:bCs/>
                <w:color w:val="000000"/>
                <w:sz w:val="22"/>
                <w:szCs w:val="22"/>
              </w:rPr>
              <w:t>Status Code</w:t>
            </w:r>
          </w:p>
        </w:tc>
      </w:tr>
      <w:tr w:rsidR="00F75083" w:rsidRPr="00B06B29" w:rsidTr="00F75083">
        <w:trPr>
          <w:trHeight w:val="539"/>
        </w:trPr>
        <w:tc>
          <w:tcPr>
            <w:tcW w:w="828" w:type="dxa"/>
            <w:tcBorders>
              <w:top w:val="single" w:sz="4" w:space="0" w:color="auto"/>
              <w:left w:val="single" w:sz="4" w:space="0" w:color="auto"/>
              <w:bottom w:val="single" w:sz="4" w:space="0" w:color="auto"/>
              <w:right w:val="single" w:sz="4" w:space="0" w:color="auto"/>
            </w:tcBorders>
          </w:tcPr>
          <w:p w:rsidR="00F75083" w:rsidRPr="00B06B29" w:rsidRDefault="00F75083" w:rsidP="00E01C0E">
            <w:pPr>
              <w:autoSpaceDE w:val="0"/>
              <w:autoSpaceDN w:val="0"/>
              <w:adjustRightInd w:val="0"/>
              <w:rPr>
                <w:rFonts w:asciiTheme="minorHAnsi" w:hAnsiTheme="minorHAnsi"/>
                <w:color w:val="000000"/>
                <w:sz w:val="22"/>
                <w:szCs w:val="22"/>
              </w:rPr>
            </w:pPr>
            <w:r w:rsidRPr="00B06B29">
              <w:rPr>
                <w:rFonts w:asciiTheme="minorHAnsi" w:hAnsiTheme="minorHAnsi"/>
                <w:b/>
                <w:bCs/>
                <w:color w:val="000000"/>
                <w:sz w:val="22"/>
                <w:szCs w:val="22"/>
              </w:rPr>
              <w:t>A</w:t>
            </w:r>
          </w:p>
        </w:tc>
        <w:tc>
          <w:tcPr>
            <w:tcW w:w="7020" w:type="dxa"/>
            <w:tcBorders>
              <w:top w:val="single" w:sz="4" w:space="0" w:color="auto"/>
              <w:left w:val="single" w:sz="4" w:space="0" w:color="auto"/>
              <w:bottom w:val="single" w:sz="4" w:space="0" w:color="auto"/>
              <w:right w:val="single" w:sz="4" w:space="0" w:color="auto"/>
            </w:tcBorders>
          </w:tcPr>
          <w:p w:rsidR="00F75083" w:rsidRPr="00B06B29" w:rsidRDefault="00F75083" w:rsidP="001D1927">
            <w:pPr>
              <w:pStyle w:val="Default"/>
              <w:rPr>
                <w:rFonts w:asciiTheme="minorHAnsi" w:hAnsiTheme="minorHAnsi"/>
                <w:sz w:val="22"/>
                <w:szCs w:val="22"/>
              </w:rPr>
            </w:pPr>
            <w:r w:rsidRPr="00B06B29">
              <w:rPr>
                <w:rFonts w:asciiTheme="minorHAnsi" w:hAnsiTheme="minorHAnsi"/>
                <w:sz w:val="22"/>
                <w:szCs w:val="22"/>
              </w:rPr>
              <w:t xml:space="preserve">The commercial activity is not appropriate for private sector performance pursuant to a written determination by the </w:t>
            </w:r>
            <w:r w:rsidR="001D1927" w:rsidRPr="00B06B29">
              <w:rPr>
                <w:rFonts w:asciiTheme="minorHAnsi" w:hAnsiTheme="minorHAnsi"/>
                <w:sz w:val="22"/>
                <w:szCs w:val="22"/>
              </w:rPr>
              <w:t>Competitive Sourcing Official (</w:t>
            </w:r>
            <w:r w:rsidRPr="00B06B29">
              <w:rPr>
                <w:rFonts w:asciiTheme="minorHAnsi" w:hAnsiTheme="minorHAnsi"/>
                <w:sz w:val="22"/>
                <w:szCs w:val="22"/>
              </w:rPr>
              <w:t>CSO</w:t>
            </w:r>
            <w:r w:rsidR="001D1927" w:rsidRPr="00B06B29">
              <w:rPr>
                <w:rFonts w:asciiTheme="minorHAnsi" w:hAnsiTheme="minorHAnsi"/>
                <w:sz w:val="22"/>
                <w:szCs w:val="22"/>
              </w:rPr>
              <w:t>)</w:t>
            </w:r>
            <w:r w:rsidRPr="00B06B29">
              <w:rPr>
                <w:rFonts w:asciiTheme="minorHAnsi" w:hAnsiTheme="minorHAnsi"/>
                <w:sz w:val="22"/>
                <w:szCs w:val="22"/>
              </w:rPr>
              <w:t>.</w:t>
            </w:r>
          </w:p>
        </w:tc>
        <w:tc>
          <w:tcPr>
            <w:tcW w:w="1620" w:type="dxa"/>
            <w:vMerge w:val="restart"/>
            <w:tcBorders>
              <w:top w:val="single" w:sz="4" w:space="0" w:color="auto"/>
              <w:left w:val="single" w:sz="4" w:space="0" w:color="auto"/>
              <w:right w:val="single" w:sz="4" w:space="0" w:color="auto"/>
            </w:tcBorders>
            <w:vAlign w:val="center"/>
          </w:tcPr>
          <w:p w:rsidR="00F75083" w:rsidRPr="00B06B29" w:rsidRDefault="00F75083" w:rsidP="00F75083">
            <w:pPr>
              <w:autoSpaceDE w:val="0"/>
              <w:autoSpaceDN w:val="0"/>
              <w:adjustRightInd w:val="0"/>
              <w:jc w:val="center"/>
              <w:rPr>
                <w:rFonts w:asciiTheme="minorHAnsi" w:hAnsiTheme="minorHAnsi"/>
                <w:color w:val="000000"/>
                <w:sz w:val="22"/>
                <w:szCs w:val="22"/>
              </w:rPr>
            </w:pPr>
            <w:r w:rsidRPr="00B06B29">
              <w:rPr>
                <w:rFonts w:asciiTheme="minorHAnsi" w:hAnsiTheme="minorHAnsi"/>
                <w:color w:val="000000"/>
                <w:sz w:val="22"/>
                <w:szCs w:val="22"/>
              </w:rPr>
              <w:t>Commercial</w:t>
            </w:r>
          </w:p>
        </w:tc>
      </w:tr>
      <w:tr w:rsidR="00F75083" w:rsidRPr="00B06B29" w:rsidTr="00256D8D">
        <w:trPr>
          <w:trHeight w:val="591"/>
        </w:trPr>
        <w:tc>
          <w:tcPr>
            <w:tcW w:w="828" w:type="dxa"/>
            <w:tcBorders>
              <w:top w:val="single" w:sz="4" w:space="0" w:color="auto"/>
              <w:left w:val="single" w:sz="4" w:space="0" w:color="auto"/>
              <w:bottom w:val="single" w:sz="4" w:space="0" w:color="auto"/>
              <w:right w:val="single" w:sz="4" w:space="0" w:color="auto"/>
            </w:tcBorders>
          </w:tcPr>
          <w:p w:rsidR="00F75083" w:rsidRPr="00B06B29" w:rsidRDefault="00F75083" w:rsidP="00E01C0E">
            <w:pPr>
              <w:autoSpaceDE w:val="0"/>
              <w:autoSpaceDN w:val="0"/>
              <w:adjustRightInd w:val="0"/>
              <w:rPr>
                <w:rFonts w:asciiTheme="minorHAnsi" w:hAnsiTheme="minorHAnsi"/>
                <w:color w:val="000000"/>
                <w:sz w:val="22"/>
                <w:szCs w:val="22"/>
              </w:rPr>
            </w:pPr>
            <w:r w:rsidRPr="00B06B29">
              <w:rPr>
                <w:rFonts w:asciiTheme="minorHAnsi" w:hAnsiTheme="minorHAnsi"/>
                <w:b/>
                <w:bCs/>
                <w:color w:val="000000"/>
                <w:sz w:val="22"/>
                <w:szCs w:val="22"/>
              </w:rPr>
              <w:t>B</w:t>
            </w:r>
          </w:p>
        </w:tc>
        <w:tc>
          <w:tcPr>
            <w:tcW w:w="7020" w:type="dxa"/>
            <w:tcBorders>
              <w:top w:val="single" w:sz="4" w:space="0" w:color="auto"/>
              <w:left w:val="single" w:sz="4" w:space="0" w:color="auto"/>
              <w:bottom w:val="single" w:sz="4" w:space="0" w:color="auto"/>
              <w:right w:val="single" w:sz="4" w:space="0" w:color="auto"/>
            </w:tcBorders>
          </w:tcPr>
          <w:p w:rsidR="00F75083" w:rsidRPr="00B06B29" w:rsidRDefault="00F75083" w:rsidP="00E01C0E">
            <w:pPr>
              <w:autoSpaceDE w:val="0"/>
              <w:autoSpaceDN w:val="0"/>
              <w:adjustRightInd w:val="0"/>
              <w:rPr>
                <w:rFonts w:asciiTheme="minorHAnsi" w:hAnsiTheme="minorHAnsi"/>
                <w:color w:val="000000"/>
                <w:sz w:val="22"/>
                <w:szCs w:val="22"/>
              </w:rPr>
            </w:pPr>
            <w:r w:rsidRPr="00B06B29">
              <w:rPr>
                <w:rFonts w:asciiTheme="minorHAnsi" w:hAnsiTheme="minorHAnsi"/>
                <w:color w:val="000000"/>
                <w:sz w:val="22"/>
                <w:szCs w:val="22"/>
              </w:rPr>
              <w:t xml:space="preserve">The commercial activity is suitable for a streamlined or standard competition.  </w:t>
            </w:r>
            <w:r w:rsidRPr="00B06B29">
              <w:rPr>
                <w:rFonts w:asciiTheme="minorHAnsi" w:hAnsiTheme="minorHAnsi"/>
                <w:i/>
                <w:iCs/>
                <w:color w:val="000000"/>
                <w:sz w:val="22"/>
                <w:szCs w:val="22"/>
              </w:rPr>
              <w:t>Note: Section 733 of the Consolidated Appropriations Act, 2012 (P.L. 112-74) establishes a statutory moratorium on beginning or announcing a study or public-private competition regarding the conversion of contract performance of any function performed by federal employees.</w:t>
            </w:r>
          </w:p>
        </w:tc>
        <w:tc>
          <w:tcPr>
            <w:tcW w:w="1620" w:type="dxa"/>
            <w:vMerge/>
            <w:tcBorders>
              <w:left w:val="single" w:sz="4" w:space="0" w:color="auto"/>
              <w:right w:val="single" w:sz="4" w:space="0" w:color="auto"/>
            </w:tcBorders>
          </w:tcPr>
          <w:p w:rsidR="00F75083" w:rsidRPr="00B06B29" w:rsidRDefault="00F75083" w:rsidP="00E01C0E">
            <w:pPr>
              <w:autoSpaceDE w:val="0"/>
              <w:autoSpaceDN w:val="0"/>
              <w:adjustRightInd w:val="0"/>
              <w:rPr>
                <w:rFonts w:asciiTheme="minorHAnsi" w:hAnsiTheme="minorHAnsi"/>
                <w:color w:val="000000"/>
                <w:sz w:val="22"/>
                <w:szCs w:val="22"/>
              </w:rPr>
            </w:pPr>
          </w:p>
        </w:tc>
      </w:tr>
      <w:tr w:rsidR="00F75083" w:rsidRPr="00B06B29" w:rsidTr="00256D8D">
        <w:trPr>
          <w:trHeight w:val="708"/>
        </w:trPr>
        <w:tc>
          <w:tcPr>
            <w:tcW w:w="828" w:type="dxa"/>
            <w:tcBorders>
              <w:top w:val="single" w:sz="4" w:space="0" w:color="auto"/>
              <w:left w:val="single" w:sz="4" w:space="0" w:color="auto"/>
              <w:bottom w:val="single" w:sz="4" w:space="0" w:color="auto"/>
              <w:right w:val="single" w:sz="4" w:space="0" w:color="auto"/>
            </w:tcBorders>
          </w:tcPr>
          <w:p w:rsidR="00F75083" w:rsidRPr="00B06B29" w:rsidRDefault="00F75083" w:rsidP="00E01C0E">
            <w:pPr>
              <w:autoSpaceDE w:val="0"/>
              <w:autoSpaceDN w:val="0"/>
              <w:adjustRightInd w:val="0"/>
              <w:rPr>
                <w:rFonts w:asciiTheme="minorHAnsi" w:hAnsiTheme="minorHAnsi"/>
                <w:color w:val="000000"/>
                <w:sz w:val="22"/>
                <w:szCs w:val="22"/>
              </w:rPr>
            </w:pPr>
            <w:r w:rsidRPr="00B06B29">
              <w:rPr>
                <w:rFonts w:asciiTheme="minorHAnsi" w:hAnsiTheme="minorHAnsi"/>
                <w:b/>
                <w:bCs/>
                <w:color w:val="000000"/>
                <w:sz w:val="22"/>
                <w:szCs w:val="22"/>
              </w:rPr>
              <w:t>C</w:t>
            </w:r>
          </w:p>
        </w:tc>
        <w:tc>
          <w:tcPr>
            <w:tcW w:w="7020" w:type="dxa"/>
            <w:tcBorders>
              <w:top w:val="single" w:sz="4" w:space="0" w:color="auto"/>
              <w:left w:val="single" w:sz="4" w:space="0" w:color="auto"/>
              <w:bottom w:val="single" w:sz="4" w:space="0" w:color="auto"/>
              <w:right w:val="single" w:sz="4" w:space="0" w:color="auto"/>
            </w:tcBorders>
          </w:tcPr>
          <w:p w:rsidR="00F75083" w:rsidRPr="00B06B29" w:rsidRDefault="00F75083" w:rsidP="00E01C0E">
            <w:pPr>
              <w:autoSpaceDE w:val="0"/>
              <w:autoSpaceDN w:val="0"/>
              <w:adjustRightInd w:val="0"/>
              <w:rPr>
                <w:rFonts w:asciiTheme="minorHAnsi" w:hAnsiTheme="minorHAnsi"/>
                <w:color w:val="000000"/>
                <w:sz w:val="22"/>
                <w:szCs w:val="22"/>
              </w:rPr>
            </w:pPr>
            <w:r w:rsidRPr="00B06B29">
              <w:rPr>
                <w:rFonts w:asciiTheme="minorHAnsi" w:hAnsiTheme="minorHAnsi"/>
                <w:color w:val="000000"/>
                <w:sz w:val="22"/>
                <w:szCs w:val="22"/>
              </w:rPr>
              <w:t xml:space="preserve">The commercial activity is the subject of an in-progress streamlined or standard competition.  </w:t>
            </w:r>
            <w:r w:rsidRPr="00B06B29">
              <w:rPr>
                <w:rFonts w:asciiTheme="minorHAnsi" w:hAnsiTheme="minorHAnsi"/>
                <w:i/>
                <w:iCs/>
                <w:color w:val="000000"/>
                <w:sz w:val="22"/>
                <w:szCs w:val="22"/>
              </w:rPr>
              <w:t>Note: Section 733 of the Consolidated Appropriations Act, 2012 (P.L. 112-74) establishes a statutory moratorium on beginning or announcing a study or public-private competition regarding the conversion of contract performance of any function performed by federal employees.</w:t>
            </w:r>
          </w:p>
        </w:tc>
        <w:tc>
          <w:tcPr>
            <w:tcW w:w="1620" w:type="dxa"/>
            <w:vMerge/>
            <w:tcBorders>
              <w:left w:val="single" w:sz="4" w:space="0" w:color="auto"/>
              <w:right w:val="single" w:sz="4" w:space="0" w:color="auto"/>
            </w:tcBorders>
          </w:tcPr>
          <w:p w:rsidR="00F75083" w:rsidRPr="00B06B29" w:rsidRDefault="00F75083" w:rsidP="00E01C0E">
            <w:pPr>
              <w:autoSpaceDE w:val="0"/>
              <w:autoSpaceDN w:val="0"/>
              <w:adjustRightInd w:val="0"/>
              <w:rPr>
                <w:rFonts w:asciiTheme="minorHAnsi" w:hAnsiTheme="minorHAnsi"/>
                <w:color w:val="000000"/>
                <w:sz w:val="22"/>
                <w:szCs w:val="22"/>
              </w:rPr>
            </w:pPr>
          </w:p>
        </w:tc>
      </w:tr>
      <w:tr w:rsidR="00F75083" w:rsidRPr="00B06B29" w:rsidTr="00256D8D">
        <w:trPr>
          <w:trHeight w:val="523"/>
        </w:trPr>
        <w:tc>
          <w:tcPr>
            <w:tcW w:w="828" w:type="dxa"/>
            <w:tcBorders>
              <w:top w:val="single" w:sz="4" w:space="0" w:color="auto"/>
              <w:left w:val="single" w:sz="4" w:space="0" w:color="auto"/>
              <w:bottom w:val="single" w:sz="4" w:space="0" w:color="auto"/>
              <w:right w:val="single" w:sz="4" w:space="0" w:color="auto"/>
            </w:tcBorders>
          </w:tcPr>
          <w:p w:rsidR="00F75083" w:rsidRPr="00B06B29" w:rsidRDefault="00F75083" w:rsidP="00E01C0E">
            <w:pPr>
              <w:autoSpaceDE w:val="0"/>
              <w:autoSpaceDN w:val="0"/>
              <w:adjustRightInd w:val="0"/>
              <w:rPr>
                <w:rFonts w:asciiTheme="minorHAnsi" w:hAnsiTheme="minorHAnsi"/>
                <w:color w:val="000000"/>
                <w:sz w:val="22"/>
                <w:szCs w:val="22"/>
              </w:rPr>
            </w:pPr>
            <w:r w:rsidRPr="00B06B29">
              <w:rPr>
                <w:rFonts w:asciiTheme="minorHAnsi" w:hAnsiTheme="minorHAnsi"/>
                <w:b/>
                <w:bCs/>
                <w:color w:val="000000"/>
                <w:sz w:val="22"/>
                <w:szCs w:val="22"/>
              </w:rPr>
              <w:t>D</w:t>
            </w:r>
          </w:p>
        </w:tc>
        <w:tc>
          <w:tcPr>
            <w:tcW w:w="7020" w:type="dxa"/>
            <w:tcBorders>
              <w:top w:val="single" w:sz="4" w:space="0" w:color="auto"/>
              <w:left w:val="single" w:sz="4" w:space="0" w:color="auto"/>
              <w:bottom w:val="single" w:sz="4" w:space="0" w:color="auto"/>
              <w:right w:val="single" w:sz="4" w:space="0" w:color="auto"/>
            </w:tcBorders>
          </w:tcPr>
          <w:p w:rsidR="00F75083" w:rsidRPr="00B06B29" w:rsidRDefault="00F75083" w:rsidP="00E01C0E">
            <w:pPr>
              <w:autoSpaceDE w:val="0"/>
              <w:autoSpaceDN w:val="0"/>
              <w:adjustRightInd w:val="0"/>
              <w:rPr>
                <w:rFonts w:asciiTheme="minorHAnsi" w:hAnsiTheme="minorHAnsi"/>
                <w:color w:val="000000"/>
                <w:sz w:val="22"/>
                <w:szCs w:val="22"/>
              </w:rPr>
            </w:pPr>
            <w:r w:rsidRPr="00B06B29">
              <w:rPr>
                <w:rFonts w:asciiTheme="minorHAnsi" w:hAnsiTheme="minorHAnsi"/>
                <w:color w:val="000000"/>
                <w:sz w:val="22"/>
                <w:szCs w:val="22"/>
              </w:rPr>
              <w:t>The commercial activity is performed by government personnel as the result of a standard or streamlined competition (or a cost comparison, streamlined cost comparison, or direct conversion) within the past five years.</w:t>
            </w:r>
          </w:p>
        </w:tc>
        <w:tc>
          <w:tcPr>
            <w:tcW w:w="1620" w:type="dxa"/>
            <w:vMerge/>
            <w:tcBorders>
              <w:left w:val="single" w:sz="4" w:space="0" w:color="auto"/>
              <w:right w:val="single" w:sz="4" w:space="0" w:color="auto"/>
            </w:tcBorders>
          </w:tcPr>
          <w:p w:rsidR="00F75083" w:rsidRPr="00B06B29" w:rsidRDefault="00F75083" w:rsidP="00E01C0E">
            <w:pPr>
              <w:autoSpaceDE w:val="0"/>
              <w:autoSpaceDN w:val="0"/>
              <w:adjustRightInd w:val="0"/>
              <w:rPr>
                <w:rFonts w:asciiTheme="minorHAnsi" w:hAnsiTheme="minorHAnsi"/>
                <w:color w:val="000000"/>
                <w:sz w:val="22"/>
                <w:szCs w:val="22"/>
              </w:rPr>
            </w:pPr>
          </w:p>
        </w:tc>
      </w:tr>
      <w:tr w:rsidR="00F75083" w:rsidRPr="00B06B29" w:rsidTr="00256D8D">
        <w:trPr>
          <w:trHeight w:val="247"/>
        </w:trPr>
        <w:tc>
          <w:tcPr>
            <w:tcW w:w="828" w:type="dxa"/>
            <w:tcBorders>
              <w:top w:val="single" w:sz="4" w:space="0" w:color="auto"/>
              <w:left w:val="single" w:sz="4" w:space="0" w:color="auto"/>
              <w:bottom w:val="single" w:sz="4" w:space="0" w:color="auto"/>
              <w:right w:val="single" w:sz="4" w:space="0" w:color="auto"/>
            </w:tcBorders>
          </w:tcPr>
          <w:p w:rsidR="00F75083" w:rsidRPr="00B06B29" w:rsidRDefault="00F75083" w:rsidP="00E01C0E">
            <w:pPr>
              <w:autoSpaceDE w:val="0"/>
              <w:autoSpaceDN w:val="0"/>
              <w:adjustRightInd w:val="0"/>
              <w:rPr>
                <w:rFonts w:asciiTheme="minorHAnsi" w:hAnsiTheme="minorHAnsi"/>
                <w:color w:val="000000"/>
                <w:sz w:val="22"/>
                <w:szCs w:val="22"/>
              </w:rPr>
            </w:pPr>
            <w:r w:rsidRPr="00B06B29">
              <w:rPr>
                <w:rFonts w:asciiTheme="minorHAnsi" w:hAnsiTheme="minorHAnsi"/>
                <w:b/>
                <w:bCs/>
                <w:color w:val="000000"/>
                <w:sz w:val="22"/>
                <w:szCs w:val="22"/>
              </w:rPr>
              <w:t>E</w:t>
            </w:r>
          </w:p>
        </w:tc>
        <w:tc>
          <w:tcPr>
            <w:tcW w:w="7020" w:type="dxa"/>
            <w:tcBorders>
              <w:top w:val="single" w:sz="4" w:space="0" w:color="auto"/>
              <w:left w:val="single" w:sz="4" w:space="0" w:color="auto"/>
              <w:bottom w:val="single" w:sz="4" w:space="0" w:color="auto"/>
              <w:right w:val="single" w:sz="4" w:space="0" w:color="auto"/>
            </w:tcBorders>
          </w:tcPr>
          <w:p w:rsidR="00F75083" w:rsidRPr="00B06B29" w:rsidRDefault="00F75083" w:rsidP="00E01C0E">
            <w:pPr>
              <w:autoSpaceDE w:val="0"/>
              <w:autoSpaceDN w:val="0"/>
              <w:adjustRightInd w:val="0"/>
              <w:rPr>
                <w:rFonts w:asciiTheme="minorHAnsi" w:hAnsiTheme="minorHAnsi"/>
                <w:color w:val="000000"/>
                <w:sz w:val="22"/>
                <w:szCs w:val="22"/>
              </w:rPr>
            </w:pPr>
            <w:r w:rsidRPr="00B06B29">
              <w:rPr>
                <w:rFonts w:asciiTheme="minorHAnsi" w:hAnsiTheme="minorHAnsi"/>
                <w:color w:val="000000"/>
                <w:sz w:val="22"/>
                <w:szCs w:val="22"/>
              </w:rPr>
              <w:t>The commercial activity is pending an agency approved restructuring decision (e.g., closure, realignment).</w:t>
            </w:r>
          </w:p>
        </w:tc>
        <w:tc>
          <w:tcPr>
            <w:tcW w:w="1620" w:type="dxa"/>
            <w:vMerge/>
            <w:tcBorders>
              <w:left w:val="single" w:sz="4" w:space="0" w:color="auto"/>
              <w:right w:val="single" w:sz="4" w:space="0" w:color="auto"/>
            </w:tcBorders>
          </w:tcPr>
          <w:p w:rsidR="00F75083" w:rsidRPr="00B06B29" w:rsidRDefault="00F75083" w:rsidP="00E01C0E">
            <w:pPr>
              <w:autoSpaceDE w:val="0"/>
              <w:autoSpaceDN w:val="0"/>
              <w:adjustRightInd w:val="0"/>
              <w:rPr>
                <w:rFonts w:asciiTheme="minorHAnsi" w:hAnsiTheme="minorHAnsi"/>
                <w:color w:val="000000"/>
                <w:sz w:val="22"/>
                <w:szCs w:val="22"/>
              </w:rPr>
            </w:pPr>
          </w:p>
        </w:tc>
      </w:tr>
      <w:tr w:rsidR="00F75083" w:rsidRPr="00B06B29" w:rsidTr="00256D8D">
        <w:trPr>
          <w:trHeight w:val="247"/>
        </w:trPr>
        <w:tc>
          <w:tcPr>
            <w:tcW w:w="828" w:type="dxa"/>
            <w:tcBorders>
              <w:top w:val="single" w:sz="4" w:space="0" w:color="auto"/>
              <w:left w:val="single" w:sz="4" w:space="0" w:color="auto"/>
              <w:bottom w:val="single" w:sz="4" w:space="0" w:color="auto"/>
              <w:right w:val="single" w:sz="4" w:space="0" w:color="auto"/>
            </w:tcBorders>
          </w:tcPr>
          <w:p w:rsidR="00F75083" w:rsidRPr="00B06B29" w:rsidRDefault="00F75083" w:rsidP="00E01C0E">
            <w:pPr>
              <w:autoSpaceDE w:val="0"/>
              <w:autoSpaceDN w:val="0"/>
              <w:adjustRightInd w:val="0"/>
              <w:rPr>
                <w:rFonts w:asciiTheme="minorHAnsi" w:hAnsiTheme="minorHAnsi"/>
                <w:color w:val="000000"/>
                <w:sz w:val="22"/>
                <w:szCs w:val="22"/>
              </w:rPr>
            </w:pPr>
            <w:r w:rsidRPr="00B06B29">
              <w:rPr>
                <w:rFonts w:asciiTheme="minorHAnsi" w:hAnsiTheme="minorHAnsi"/>
                <w:b/>
                <w:bCs/>
                <w:color w:val="000000"/>
                <w:sz w:val="22"/>
                <w:szCs w:val="22"/>
              </w:rPr>
              <w:t>F</w:t>
            </w:r>
          </w:p>
        </w:tc>
        <w:tc>
          <w:tcPr>
            <w:tcW w:w="7020" w:type="dxa"/>
            <w:tcBorders>
              <w:top w:val="single" w:sz="4" w:space="0" w:color="auto"/>
              <w:left w:val="single" w:sz="4" w:space="0" w:color="auto"/>
              <w:bottom w:val="single" w:sz="4" w:space="0" w:color="auto"/>
              <w:right w:val="single" w:sz="4" w:space="0" w:color="auto"/>
            </w:tcBorders>
          </w:tcPr>
          <w:p w:rsidR="00F75083" w:rsidRPr="00B06B29" w:rsidRDefault="00F75083" w:rsidP="00E01C0E">
            <w:pPr>
              <w:autoSpaceDE w:val="0"/>
              <w:autoSpaceDN w:val="0"/>
              <w:adjustRightInd w:val="0"/>
              <w:rPr>
                <w:rFonts w:asciiTheme="minorHAnsi" w:hAnsiTheme="minorHAnsi"/>
                <w:color w:val="000000"/>
                <w:sz w:val="22"/>
                <w:szCs w:val="22"/>
              </w:rPr>
            </w:pPr>
            <w:r w:rsidRPr="00B06B29">
              <w:rPr>
                <w:rFonts w:asciiTheme="minorHAnsi" w:hAnsiTheme="minorHAnsi"/>
                <w:color w:val="000000"/>
                <w:sz w:val="22"/>
                <w:szCs w:val="22"/>
              </w:rPr>
              <w:t>The commercial activity is performed by government personnel due to a statutory prohibition against private sector performance.</w:t>
            </w:r>
          </w:p>
        </w:tc>
        <w:tc>
          <w:tcPr>
            <w:tcW w:w="1620" w:type="dxa"/>
            <w:vMerge/>
            <w:tcBorders>
              <w:left w:val="single" w:sz="4" w:space="0" w:color="auto"/>
              <w:bottom w:val="single" w:sz="4" w:space="0" w:color="auto"/>
              <w:right w:val="single" w:sz="4" w:space="0" w:color="auto"/>
            </w:tcBorders>
          </w:tcPr>
          <w:p w:rsidR="00F75083" w:rsidRPr="00B06B29" w:rsidRDefault="00F75083" w:rsidP="00E01C0E">
            <w:pPr>
              <w:autoSpaceDE w:val="0"/>
              <w:autoSpaceDN w:val="0"/>
              <w:adjustRightInd w:val="0"/>
              <w:rPr>
                <w:rFonts w:asciiTheme="minorHAnsi" w:hAnsiTheme="minorHAnsi"/>
                <w:color w:val="000000"/>
                <w:sz w:val="22"/>
                <w:szCs w:val="22"/>
              </w:rPr>
            </w:pPr>
          </w:p>
        </w:tc>
      </w:tr>
      <w:tr w:rsidR="00DE578B" w:rsidRPr="00B06B29" w:rsidTr="00E01C0E">
        <w:trPr>
          <w:trHeight w:val="247"/>
        </w:trPr>
        <w:tc>
          <w:tcPr>
            <w:tcW w:w="828" w:type="dxa"/>
            <w:tcBorders>
              <w:top w:val="single" w:sz="4" w:space="0" w:color="auto"/>
              <w:left w:val="single" w:sz="4" w:space="0" w:color="auto"/>
              <w:bottom w:val="single" w:sz="4" w:space="0" w:color="auto"/>
              <w:right w:val="single" w:sz="4" w:space="0" w:color="auto"/>
            </w:tcBorders>
          </w:tcPr>
          <w:p w:rsidR="00DE578B" w:rsidRPr="00B06B29" w:rsidRDefault="00DE578B" w:rsidP="00E01C0E">
            <w:pPr>
              <w:autoSpaceDE w:val="0"/>
              <w:autoSpaceDN w:val="0"/>
              <w:adjustRightInd w:val="0"/>
              <w:rPr>
                <w:rFonts w:asciiTheme="minorHAnsi" w:hAnsiTheme="minorHAnsi"/>
                <w:color w:val="000000"/>
                <w:sz w:val="22"/>
                <w:szCs w:val="22"/>
              </w:rPr>
            </w:pPr>
            <w:r w:rsidRPr="00B06B29">
              <w:rPr>
                <w:rFonts w:asciiTheme="minorHAnsi" w:hAnsiTheme="minorHAnsi"/>
                <w:b/>
                <w:bCs/>
                <w:color w:val="000000"/>
                <w:sz w:val="22"/>
                <w:szCs w:val="22"/>
              </w:rPr>
              <w:t>I</w:t>
            </w:r>
          </w:p>
        </w:tc>
        <w:tc>
          <w:tcPr>
            <w:tcW w:w="7020" w:type="dxa"/>
            <w:tcBorders>
              <w:top w:val="single" w:sz="4" w:space="0" w:color="auto"/>
              <w:left w:val="single" w:sz="4" w:space="0" w:color="auto"/>
              <w:bottom w:val="single" w:sz="4" w:space="0" w:color="auto"/>
              <w:right w:val="single" w:sz="4" w:space="0" w:color="auto"/>
            </w:tcBorders>
          </w:tcPr>
          <w:p w:rsidR="00DE578B" w:rsidRPr="00B06B29" w:rsidRDefault="00DE578B" w:rsidP="00E01C0E">
            <w:pPr>
              <w:autoSpaceDE w:val="0"/>
              <w:autoSpaceDN w:val="0"/>
              <w:adjustRightInd w:val="0"/>
              <w:rPr>
                <w:rFonts w:asciiTheme="minorHAnsi" w:hAnsiTheme="minorHAnsi"/>
                <w:color w:val="000000"/>
                <w:sz w:val="22"/>
                <w:szCs w:val="22"/>
              </w:rPr>
            </w:pPr>
            <w:r w:rsidRPr="00B06B29">
              <w:rPr>
                <w:rFonts w:asciiTheme="minorHAnsi" w:hAnsiTheme="minorHAnsi"/>
                <w:color w:val="000000"/>
                <w:sz w:val="22"/>
                <w:szCs w:val="22"/>
              </w:rPr>
              <w:t xml:space="preserve">Inherently Governmental </w:t>
            </w:r>
          </w:p>
        </w:tc>
        <w:tc>
          <w:tcPr>
            <w:tcW w:w="1620" w:type="dxa"/>
            <w:tcBorders>
              <w:top w:val="single" w:sz="4" w:space="0" w:color="auto"/>
              <w:left w:val="single" w:sz="4" w:space="0" w:color="auto"/>
              <w:bottom w:val="single" w:sz="4" w:space="0" w:color="auto"/>
              <w:right w:val="single" w:sz="4" w:space="0" w:color="auto"/>
            </w:tcBorders>
          </w:tcPr>
          <w:p w:rsidR="00DE578B" w:rsidRPr="00B06B29" w:rsidRDefault="00DE578B" w:rsidP="00E01C0E">
            <w:pPr>
              <w:autoSpaceDE w:val="0"/>
              <w:autoSpaceDN w:val="0"/>
              <w:adjustRightInd w:val="0"/>
              <w:rPr>
                <w:rFonts w:asciiTheme="minorHAnsi" w:hAnsiTheme="minorHAnsi"/>
                <w:color w:val="000000"/>
                <w:sz w:val="22"/>
                <w:szCs w:val="22"/>
              </w:rPr>
            </w:pPr>
            <w:r w:rsidRPr="00B06B29">
              <w:rPr>
                <w:rFonts w:asciiTheme="minorHAnsi" w:hAnsiTheme="minorHAnsi"/>
                <w:color w:val="000000"/>
                <w:sz w:val="22"/>
                <w:szCs w:val="22"/>
              </w:rPr>
              <w:t>Inherently Governmental</w:t>
            </w:r>
          </w:p>
        </w:tc>
      </w:tr>
    </w:tbl>
    <w:p w:rsidR="006267C1" w:rsidRPr="00B06B29" w:rsidRDefault="0087197C" w:rsidP="00294F2B">
      <w:pPr>
        <w:pStyle w:val="Heading4"/>
        <w:spacing w:before="240"/>
        <w:jc w:val="left"/>
        <w:rPr>
          <w:rStyle w:val="Heading3Char"/>
          <w:rFonts w:asciiTheme="minorHAnsi" w:hAnsiTheme="minorHAnsi"/>
          <w:caps w:val="0"/>
          <w:sz w:val="24"/>
          <w:u w:val="single"/>
        </w:rPr>
      </w:pPr>
      <w:bookmarkStart w:id="32" w:name="_Toc320867575"/>
      <w:bookmarkStart w:id="33" w:name="_Toc416337772"/>
      <w:r w:rsidRPr="00B06B29">
        <w:rPr>
          <w:rStyle w:val="Heading3Char"/>
          <w:rFonts w:asciiTheme="minorHAnsi" w:hAnsiTheme="minorHAnsi"/>
          <w:caps w:val="0"/>
          <w:sz w:val="24"/>
          <w:u w:val="single"/>
        </w:rPr>
        <w:t xml:space="preserve">Reason Code </w:t>
      </w:r>
      <w:r w:rsidR="00A0371B" w:rsidRPr="00B06B29">
        <w:rPr>
          <w:rStyle w:val="Heading3Char"/>
          <w:rFonts w:asciiTheme="minorHAnsi" w:hAnsiTheme="minorHAnsi"/>
          <w:caps w:val="0"/>
          <w:sz w:val="24"/>
          <w:u w:val="single"/>
        </w:rPr>
        <w:t>I</w:t>
      </w:r>
      <w:r w:rsidR="006267C1" w:rsidRPr="00B06B29">
        <w:rPr>
          <w:rStyle w:val="Heading3Char"/>
          <w:rFonts w:asciiTheme="minorHAnsi" w:hAnsiTheme="minorHAnsi"/>
          <w:caps w:val="0"/>
          <w:sz w:val="24"/>
          <w:u w:val="single"/>
        </w:rPr>
        <w:t xml:space="preserve"> Definition</w:t>
      </w:r>
      <w:bookmarkEnd w:id="32"/>
      <w:bookmarkEnd w:id="33"/>
    </w:p>
    <w:p w:rsidR="0087197C" w:rsidRPr="00B06B29" w:rsidRDefault="00D370D9" w:rsidP="00E01C0E">
      <w:pPr>
        <w:pStyle w:val="BodyText"/>
        <w:rPr>
          <w:sz w:val="22"/>
          <w:szCs w:val="22"/>
        </w:rPr>
      </w:pPr>
      <w:r w:rsidRPr="00B06B29">
        <w:rPr>
          <w:b/>
          <w:sz w:val="22"/>
          <w:szCs w:val="22"/>
        </w:rPr>
        <w:t>Definition:</w:t>
      </w:r>
      <w:r w:rsidRPr="00B06B29">
        <w:rPr>
          <w:sz w:val="22"/>
          <w:szCs w:val="22"/>
        </w:rPr>
        <w:t xml:space="preserve"> </w:t>
      </w:r>
      <w:r w:rsidR="0043106A" w:rsidRPr="00B06B29">
        <w:rPr>
          <w:sz w:val="22"/>
          <w:szCs w:val="22"/>
        </w:rPr>
        <w:t xml:space="preserve"> </w:t>
      </w:r>
      <w:r w:rsidR="00E01C0E" w:rsidRPr="00B06B29">
        <w:rPr>
          <w:sz w:val="22"/>
          <w:szCs w:val="22"/>
        </w:rPr>
        <w:t>‘‘Inherently governmental function,’’ as defined in section 5 of the Federal Activities Inventory Reform Act, Public Law 105–270, means a function that is so intimately related to the public interest as to require performance by Federal Government employees.</w:t>
      </w:r>
      <w:r w:rsidR="00345F6F" w:rsidRPr="00B06B29">
        <w:rPr>
          <w:rStyle w:val="FootnoteReference"/>
          <w:sz w:val="22"/>
          <w:szCs w:val="22"/>
        </w:rPr>
        <w:footnoteReference w:id="2"/>
      </w:r>
    </w:p>
    <w:p w:rsidR="00E01C0E" w:rsidRPr="00B06B29" w:rsidRDefault="00345F6F" w:rsidP="00345F6F">
      <w:pPr>
        <w:pStyle w:val="BodyText"/>
        <w:ind w:left="540"/>
        <w:rPr>
          <w:sz w:val="22"/>
          <w:szCs w:val="22"/>
        </w:rPr>
      </w:pPr>
      <w:r w:rsidRPr="00B06B29">
        <w:rPr>
          <w:sz w:val="22"/>
          <w:szCs w:val="22"/>
        </w:rPr>
        <w:t>a. The</w:t>
      </w:r>
      <w:r w:rsidR="00E01C0E" w:rsidRPr="00B06B29">
        <w:rPr>
          <w:sz w:val="22"/>
          <w:szCs w:val="22"/>
        </w:rPr>
        <w:t xml:space="preserve"> term includes functions that require either the exercise of discretion in applying Federal Government authority or the making of value judgments in making decisions for the Federal </w:t>
      </w:r>
      <w:r w:rsidR="00E01C0E" w:rsidRPr="00B06B29">
        <w:rPr>
          <w:sz w:val="22"/>
          <w:szCs w:val="22"/>
        </w:rPr>
        <w:lastRenderedPageBreak/>
        <w:t>Government, including judgments relating to monetary transactions and entitlements.  An inherently governmental function involves, among other things, the interpretation and execution of the laws of the United States so as —</w:t>
      </w:r>
    </w:p>
    <w:p w:rsidR="00E01C0E" w:rsidRPr="00B06B29" w:rsidRDefault="00E01C0E" w:rsidP="00345F6F">
      <w:pPr>
        <w:pStyle w:val="BodyText"/>
        <w:ind w:left="720"/>
        <w:rPr>
          <w:sz w:val="22"/>
          <w:szCs w:val="22"/>
        </w:rPr>
      </w:pPr>
      <w:r w:rsidRPr="00B06B29">
        <w:rPr>
          <w:sz w:val="22"/>
          <w:szCs w:val="22"/>
        </w:rPr>
        <w:t xml:space="preserve">(1) </w:t>
      </w:r>
      <w:r w:rsidR="00345F6F" w:rsidRPr="00B06B29">
        <w:rPr>
          <w:sz w:val="22"/>
          <w:szCs w:val="22"/>
        </w:rPr>
        <w:t>To</w:t>
      </w:r>
      <w:r w:rsidRPr="00B06B29">
        <w:rPr>
          <w:sz w:val="22"/>
          <w:szCs w:val="22"/>
        </w:rPr>
        <w:t xml:space="preserve"> bind the United States to take</w:t>
      </w:r>
      <w:r w:rsidR="00345F6F" w:rsidRPr="00B06B29">
        <w:rPr>
          <w:sz w:val="22"/>
          <w:szCs w:val="22"/>
        </w:rPr>
        <w:t xml:space="preserve"> </w:t>
      </w:r>
      <w:r w:rsidRPr="00B06B29">
        <w:rPr>
          <w:sz w:val="22"/>
          <w:szCs w:val="22"/>
        </w:rPr>
        <w:t>or not to take some action by contract,</w:t>
      </w:r>
      <w:r w:rsidR="00345F6F" w:rsidRPr="00B06B29">
        <w:rPr>
          <w:sz w:val="22"/>
          <w:szCs w:val="22"/>
        </w:rPr>
        <w:t xml:space="preserve"> </w:t>
      </w:r>
      <w:r w:rsidRPr="00B06B29">
        <w:rPr>
          <w:sz w:val="22"/>
          <w:szCs w:val="22"/>
        </w:rPr>
        <w:t>policy, regulation, authorization, order,</w:t>
      </w:r>
      <w:r w:rsidR="00345F6F" w:rsidRPr="00B06B29">
        <w:rPr>
          <w:sz w:val="22"/>
          <w:szCs w:val="22"/>
        </w:rPr>
        <w:t xml:space="preserve"> </w:t>
      </w:r>
      <w:r w:rsidRPr="00B06B29">
        <w:rPr>
          <w:sz w:val="22"/>
          <w:szCs w:val="22"/>
        </w:rPr>
        <w:t>or otherwise;</w:t>
      </w:r>
    </w:p>
    <w:p w:rsidR="00E01C0E" w:rsidRPr="00B06B29" w:rsidRDefault="00345F6F" w:rsidP="00345F6F">
      <w:pPr>
        <w:pStyle w:val="BodyText"/>
        <w:ind w:left="720"/>
        <w:rPr>
          <w:sz w:val="22"/>
          <w:szCs w:val="22"/>
        </w:rPr>
      </w:pPr>
      <w:r w:rsidRPr="00B06B29">
        <w:rPr>
          <w:sz w:val="22"/>
          <w:szCs w:val="22"/>
        </w:rPr>
        <w:t>(2) T</w:t>
      </w:r>
      <w:r w:rsidR="00E01C0E" w:rsidRPr="00B06B29">
        <w:rPr>
          <w:sz w:val="22"/>
          <w:szCs w:val="22"/>
        </w:rPr>
        <w:t>o determine, protect, and advance</w:t>
      </w:r>
      <w:r w:rsidRPr="00B06B29">
        <w:rPr>
          <w:sz w:val="22"/>
          <w:szCs w:val="22"/>
        </w:rPr>
        <w:t xml:space="preserve"> </w:t>
      </w:r>
      <w:r w:rsidR="00E01C0E" w:rsidRPr="00B06B29">
        <w:rPr>
          <w:sz w:val="22"/>
          <w:szCs w:val="22"/>
        </w:rPr>
        <w:t>United States economic, political,</w:t>
      </w:r>
      <w:r w:rsidRPr="00B06B29">
        <w:rPr>
          <w:sz w:val="22"/>
          <w:szCs w:val="22"/>
        </w:rPr>
        <w:t xml:space="preserve"> </w:t>
      </w:r>
      <w:r w:rsidR="00E01C0E" w:rsidRPr="00B06B29">
        <w:rPr>
          <w:sz w:val="22"/>
          <w:szCs w:val="22"/>
        </w:rPr>
        <w:t>territorial, property, or other interests by</w:t>
      </w:r>
      <w:r w:rsidRPr="00B06B29">
        <w:rPr>
          <w:sz w:val="22"/>
          <w:szCs w:val="22"/>
        </w:rPr>
        <w:t xml:space="preserve"> </w:t>
      </w:r>
      <w:r w:rsidR="00E01C0E" w:rsidRPr="00B06B29">
        <w:rPr>
          <w:sz w:val="22"/>
          <w:szCs w:val="22"/>
        </w:rPr>
        <w:t>military or diplomatic action, civil or</w:t>
      </w:r>
      <w:r w:rsidRPr="00B06B29">
        <w:rPr>
          <w:sz w:val="22"/>
          <w:szCs w:val="22"/>
        </w:rPr>
        <w:t xml:space="preserve"> </w:t>
      </w:r>
      <w:r w:rsidR="00E01C0E" w:rsidRPr="00B06B29">
        <w:rPr>
          <w:sz w:val="22"/>
          <w:szCs w:val="22"/>
        </w:rPr>
        <w:t>criminal judicial proceedings, contract</w:t>
      </w:r>
      <w:r w:rsidRPr="00B06B29">
        <w:rPr>
          <w:sz w:val="22"/>
          <w:szCs w:val="22"/>
        </w:rPr>
        <w:t xml:space="preserve"> </w:t>
      </w:r>
      <w:r w:rsidR="00E01C0E" w:rsidRPr="00B06B29">
        <w:rPr>
          <w:sz w:val="22"/>
          <w:szCs w:val="22"/>
        </w:rPr>
        <w:t>management, or otherwise;</w:t>
      </w:r>
    </w:p>
    <w:p w:rsidR="00345F6F" w:rsidRPr="00B06B29" w:rsidRDefault="00345F6F" w:rsidP="00345F6F">
      <w:pPr>
        <w:pStyle w:val="BodyText"/>
        <w:ind w:left="720"/>
        <w:rPr>
          <w:sz w:val="22"/>
          <w:szCs w:val="22"/>
        </w:rPr>
      </w:pPr>
      <w:r w:rsidRPr="00B06B29">
        <w:rPr>
          <w:sz w:val="22"/>
          <w:szCs w:val="22"/>
        </w:rPr>
        <w:t>(3) T</w:t>
      </w:r>
      <w:r w:rsidR="00E01C0E" w:rsidRPr="00B06B29">
        <w:rPr>
          <w:sz w:val="22"/>
          <w:szCs w:val="22"/>
        </w:rPr>
        <w:t>o significantly affect the life,</w:t>
      </w:r>
      <w:r w:rsidRPr="00B06B29">
        <w:rPr>
          <w:sz w:val="22"/>
          <w:szCs w:val="22"/>
        </w:rPr>
        <w:t xml:space="preserve"> </w:t>
      </w:r>
      <w:r w:rsidR="00E01C0E" w:rsidRPr="00B06B29">
        <w:rPr>
          <w:sz w:val="22"/>
          <w:szCs w:val="22"/>
        </w:rPr>
        <w:t>liberty, or property of private persons;</w:t>
      </w:r>
      <w:r w:rsidRPr="00B06B29">
        <w:rPr>
          <w:sz w:val="22"/>
          <w:szCs w:val="22"/>
        </w:rPr>
        <w:t xml:space="preserve"> </w:t>
      </w:r>
    </w:p>
    <w:p w:rsidR="00E01C0E" w:rsidRPr="00B06B29" w:rsidRDefault="00E01C0E" w:rsidP="00345F6F">
      <w:pPr>
        <w:pStyle w:val="BodyText"/>
        <w:ind w:left="720"/>
        <w:rPr>
          <w:sz w:val="22"/>
          <w:szCs w:val="22"/>
        </w:rPr>
      </w:pPr>
      <w:r w:rsidRPr="00B06B29">
        <w:rPr>
          <w:sz w:val="22"/>
          <w:szCs w:val="22"/>
        </w:rPr>
        <w:t xml:space="preserve">(4) </w:t>
      </w:r>
      <w:r w:rsidR="00385A1A" w:rsidRPr="00B06B29">
        <w:rPr>
          <w:sz w:val="22"/>
          <w:szCs w:val="22"/>
        </w:rPr>
        <w:t>To</w:t>
      </w:r>
      <w:r w:rsidRPr="00B06B29">
        <w:rPr>
          <w:sz w:val="22"/>
          <w:szCs w:val="22"/>
        </w:rPr>
        <w:t xml:space="preserve"> commission, appoint, direct, or</w:t>
      </w:r>
      <w:r w:rsidR="00345F6F" w:rsidRPr="00B06B29">
        <w:rPr>
          <w:sz w:val="22"/>
          <w:szCs w:val="22"/>
        </w:rPr>
        <w:t xml:space="preserve"> </w:t>
      </w:r>
      <w:r w:rsidRPr="00B06B29">
        <w:rPr>
          <w:sz w:val="22"/>
          <w:szCs w:val="22"/>
        </w:rPr>
        <w:t>control officers or employees of the</w:t>
      </w:r>
      <w:r w:rsidR="00345F6F" w:rsidRPr="00B06B29">
        <w:rPr>
          <w:sz w:val="22"/>
          <w:szCs w:val="22"/>
        </w:rPr>
        <w:t xml:space="preserve"> </w:t>
      </w:r>
      <w:r w:rsidRPr="00B06B29">
        <w:rPr>
          <w:sz w:val="22"/>
          <w:szCs w:val="22"/>
        </w:rPr>
        <w:t>United States; or</w:t>
      </w:r>
    </w:p>
    <w:p w:rsidR="00E01C0E" w:rsidRPr="00B06B29" w:rsidRDefault="00345F6F" w:rsidP="00345F6F">
      <w:pPr>
        <w:pStyle w:val="BodyText"/>
        <w:ind w:left="720"/>
        <w:rPr>
          <w:sz w:val="22"/>
          <w:szCs w:val="22"/>
        </w:rPr>
      </w:pPr>
      <w:r w:rsidRPr="00B06B29">
        <w:rPr>
          <w:sz w:val="22"/>
          <w:szCs w:val="22"/>
        </w:rPr>
        <w:t>(5) T</w:t>
      </w:r>
      <w:r w:rsidR="00E01C0E" w:rsidRPr="00B06B29">
        <w:rPr>
          <w:sz w:val="22"/>
          <w:szCs w:val="22"/>
        </w:rPr>
        <w:t>o exert ultimate control over the</w:t>
      </w:r>
      <w:r w:rsidRPr="00B06B29">
        <w:rPr>
          <w:sz w:val="22"/>
          <w:szCs w:val="22"/>
        </w:rPr>
        <w:t xml:space="preserve"> </w:t>
      </w:r>
      <w:r w:rsidR="00E01C0E" w:rsidRPr="00B06B29">
        <w:rPr>
          <w:sz w:val="22"/>
          <w:szCs w:val="22"/>
        </w:rPr>
        <w:t>acquisition, use, or disposition of the</w:t>
      </w:r>
      <w:r w:rsidRPr="00B06B29">
        <w:rPr>
          <w:sz w:val="22"/>
          <w:szCs w:val="22"/>
        </w:rPr>
        <w:t xml:space="preserve"> </w:t>
      </w:r>
      <w:r w:rsidR="00E01C0E" w:rsidRPr="00B06B29">
        <w:rPr>
          <w:sz w:val="22"/>
          <w:szCs w:val="22"/>
        </w:rPr>
        <w:t>property, real or personal, tangible or</w:t>
      </w:r>
      <w:r w:rsidRPr="00B06B29">
        <w:rPr>
          <w:sz w:val="22"/>
          <w:szCs w:val="22"/>
        </w:rPr>
        <w:t xml:space="preserve"> </w:t>
      </w:r>
      <w:r w:rsidR="00E01C0E" w:rsidRPr="00B06B29">
        <w:rPr>
          <w:sz w:val="22"/>
          <w:szCs w:val="22"/>
        </w:rPr>
        <w:t>intangible, of the United States,</w:t>
      </w:r>
      <w:r w:rsidRPr="00B06B29">
        <w:rPr>
          <w:sz w:val="22"/>
          <w:szCs w:val="22"/>
        </w:rPr>
        <w:t xml:space="preserve"> </w:t>
      </w:r>
      <w:r w:rsidR="00E01C0E" w:rsidRPr="00B06B29">
        <w:rPr>
          <w:sz w:val="22"/>
          <w:szCs w:val="22"/>
        </w:rPr>
        <w:t>including the collection, control, or</w:t>
      </w:r>
      <w:r w:rsidRPr="00B06B29">
        <w:rPr>
          <w:sz w:val="22"/>
          <w:szCs w:val="22"/>
        </w:rPr>
        <w:t xml:space="preserve"> </w:t>
      </w:r>
      <w:r w:rsidR="00E01C0E" w:rsidRPr="00B06B29">
        <w:rPr>
          <w:sz w:val="22"/>
          <w:szCs w:val="22"/>
        </w:rPr>
        <w:t>disbursement of appropriations and</w:t>
      </w:r>
      <w:r w:rsidRPr="00B06B29">
        <w:rPr>
          <w:sz w:val="22"/>
          <w:szCs w:val="22"/>
        </w:rPr>
        <w:t xml:space="preserve"> </w:t>
      </w:r>
      <w:r w:rsidR="00E01C0E" w:rsidRPr="00B06B29">
        <w:rPr>
          <w:sz w:val="22"/>
          <w:szCs w:val="22"/>
        </w:rPr>
        <w:t>other Federal funds.</w:t>
      </w:r>
    </w:p>
    <w:p w:rsidR="00E01C0E" w:rsidRPr="00B06B29" w:rsidRDefault="00E01C0E" w:rsidP="00345F6F">
      <w:pPr>
        <w:pStyle w:val="BodyText"/>
        <w:ind w:left="540"/>
        <w:rPr>
          <w:sz w:val="22"/>
          <w:szCs w:val="22"/>
        </w:rPr>
      </w:pPr>
      <w:r w:rsidRPr="00B06B29">
        <w:rPr>
          <w:sz w:val="22"/>
          <w:szCs w:val="22"/>
        </w:rPr>
        <w:t>b</w:t>
      </w:r>
      <w:r w:rsidR="00345F6F" w:rsidRPr="00B06B29">
        <w:rPr>
          <w:sz w:val="22"/>
          <w:szCs w:val="22"/>
        </w:rPr>
        <w:t xml:space="preserve">. </w:t>
      </w:r>
      <w:r w:rsidRPr="00B06B29">
        <w:rPr>
          <w:sz w:val="22"/>
          <w:szCs w:val="22"/>
        </w:rPr>
        <w:t>The term does not normally</w:t>
      </w:r>
      <w:r w:rsidR="00345F6F" w:rsidRPr="00B06B29">
        <w:rPr>
          <w:sz w:val="22"/>
          <w:szCs w:val="22"/>
        </w:rPr>
        <w:t xml:space="preserve"> </w:t>
      </w:r>
      <w:r w:rsidRPr="00B06B29">
        <w:rPr>
          <w:sz w:val="22"/>
          <w:szCs w:val="22"/>
        </w:rPr>
        <w:t>include—</w:t>
      </w:r>
    </w:p>
    <w:p w:rsidR="00E01C0E" w:rsidRPr="00B06B29" w:rsidRDefault="00E01C0E" w:rsidP="00345F6F">
      <w:pPr>
        <w:pStyle w:val="BodyText"/>
        <w:ind w:left="720"/>
        <w:rPr>
          <w:sz w:val="22"/>
          <w:szCs w:val="22"/>
        </w:rPr>
      </w:pPr>
      <w:r w:rsidRPr="00B06B29">
        <w:rPr>
          <w:sz w:val="22"/>
          <w:szCs w:val="22"/>
        </w:rPr>
        <w:t xml:space="preserve">(1) </w:t>
      </w:r>
      <w:r w:rsidR="00345F6F" w:rsidRPr="00B06B29">
        <w:rPr>
          <w:sz w:val="22"/>
          <w:szCs w:val="22"/>
        </w:rPr>
        <w:t>G</w:t>
      </w:r>
      <w:r w:rsidRPr="00B06B29">
        <w:rPr>
          <w:sz w:val="22"/>
          <w:szCs w:val="22"/>
        </w:rPr>
        <w:t>athering information for or</w:t>
      </w:r>
      <w:r w:rsidR="00345F6F" w:rsidRPr="00B06B29">
        <w:rPr>
          <w:sz w:val="22"/>
          <w:szCs w:val="22"/>
        </w:rPr>
        <w:t xml:space="preserve"> </w:t>
      </w:r>
      <w:r w:rsidRPr="00B06B29">
        <w:rPr>
          <w:sz w:val="22"/>
          <w:szCs w:val="22"/>
        </w:rPr>
        <w:t>providing advice, opinions,</w:t>
      </w:r>
      <w:r w:rsidR="00345F6F" w:rsidRPr="00B06B29">
        <w:rPr>
          <w:sz w:val="22"/>
          <w:szCs w:val="22"/>
        </w:rPr>
        <w:t xml:space="preserve"> </w:t>
      </w:r>
      <w:r w:rsidRPr="00B06B29">
        <w:rPr>
          <w:sz w:val="22"/>
          <w:szCs w:val="22"/>
        </w:rPr>
        <w:t>recommendations, or ideas to Federal</w:t>
      </w:r>
      <w:r w:rsidR="00345F6F" w:rsidRPr="00B06B29">
        <w:rPr>
          <w:sz w:val="22"/>
          <w:szCs w:val="22"/>
        </w:rPr>
        <w:t xml:space="preserve"> </w:t>
      </w:r>
      <w:r w:rsidRPr="00B06B29">
        <w:rPr>
          <w:sz w:val="22"/>
          <w:szCs w:val="22"/>
        </w:rPr>
        <w:t>Government officials; or</w:t>
      </w:r>
    </w:p>
    <w:p w:rsidR="00E01C0E" w:rsidRPr="00B06B29" w:rsidRDefault="00E01C0E" w:rsidP="00345F6F">
      <w:pPr>
        <w:pStyle w:val="BodyText"/>
        <w:ind w:left="720"/>
        <w:rPr>
          <w:sz w:val="22"/>
          <w:szCs w:val="22"/>
        </w:rPr>
      </w:pPr>
      <w:r w:rsidRPr="00B06B29">
        <w:rPr>
          <w:sz w:val="22"/>
          <w:szCs w:val="22"/>
        </w:rPr>
        <w:t xml:space="preserve">(2) </w:t>
      </w:r>
      <w:r w:rsidR="00345F6F" w:rsidRPr="00B06B29">
        <w:rPr>
          <w:sz w:val="22"/>
          <w:szCs w:val="22"/>
        </w:rPr>
        <w:t>A</w:t>
      </w:r>
      <w:r w:rsidRPr="00B06B29">
        <w:rPr>
          <w:sz w:val="22"/>
          <w:szCs w:val="22"/>
        </w:rPr>
        <w:t>ny function that is primarily</w:t>
      </w:r>
      <w:r w:rsidR="00345F6F" w:rsidRPr="00B06B29">
        <w:rPr>
          <w:sz w:val="22"/>
          <w:szCs w:val="22"/>
        </w:rPr>
        <w:t xml:space="preserve"> </w:t>
      </w:r>
      <w:r w:rsidRPr="00B06B29">
        <w:rPr>
          <w:sz w:val="22"/>
          <w:szCs w:val="22"/>
        </w:rPr>
        <w:t>ministerial and internal in nature (such</w:t>
      </w:r>
      <w:r w:rsidR="00345F6F" w:rsidRPr="00B06B29">
        <w:rPr>
          <w:sz w:val="22"/>
          <w:szCs w:val="22"/>
        </w:rPr>
        <w:t xml:space="preserve"> </w:t>
      </w:r>
      <w:r w:rsidRPr="00B06B29">
        <w:rPr>
          <w:sz w:val="22"/>
          <w:szCs w:val="22"/>
        </w:rPr>
        <w:t>as building security, mail operations,</w:t>
      </w:r>
      <w:r w:rsidR="00345F6F" w:rsidRPr="00B06B29">
        <w:rPr>
          <w:sz w:val="22"/>
          <w:szCs w:val="22"/>
        </w:rPr>
        <w:t xml:space="preserve"> </w:t>
      </w:r>
      <w:r w:rsidRPr="00B06B29">
        <w:rPr>
          <w:sz w:val="22"/>
          <w:szCs w:val="22"/>
        </w:rPr>
        <w:t>operation of cafeterias, housekeeping,</w:t>
      </w:r>
      <w:r w:rsidR="00345F6F" w:rsidRPr="00B06B29">
        <w:rPr>
          <w:sz w:val="22"/>
          <w:szCs w:val="22"/>
        </w:rPr>
        <w:t xml:space="preserve"> </w:t>
      </w:r>
      <w:r w:rsidRPr="00B06B29">
        <w:rPr>
          <w:sz w:val="22"/>
          <w:szCs w:val="22"/>
        </w:rPr>
        <w:t>facilities operations and maintenance,</w:t>
      </w:r>
      <w:r w:rsidR="00345F6F" w:rsidRPr="00B06B29">
        <w:rPr>
          <w:sz w:val="22"/>
          <w:szCs w:val="22"/>
        </w:rPr>
        <w:t xml:space="preserve"> </w:t>
      </w:r>
      <w:r w:rsidRPr="00B06B29">
        <w:rPr>
          <w:sz w:val="22"/>
          <w:szCs w:val="22"/>
        </w:rPr>
        <w:t>warehouse operations, motor vehicle</w:t>
      </w:r>
      <w:r w:rsidR="00345F6F" w:rsidRPr="00B06B29">
        <w:rPr>
          <w:sz w:val="22"/>
          <w:szCs w:val="22"/>
        </w:rPr>
        <w:t xml:space="preserve"> </w:t>
      </w:r>
      <w:r w:rsidRPr="00B06B29">
        <w:rPr>
          <w:sz w:val="22"/>
          <w:szCs w:val="22"/>
        </w:rPr>
        <w:t>fleet management operations, or other</w:t>
      </w:r>
      <w:r w:rsidR="00345F6F" w:rsidRPr="00B06B29">
        <w:rPr>
          <w:sz w:val="22"/>
          <w:szCs w:val="22"/>
        </w:rPr>
        <w:t xml:space="preserve"> </w:t>
      </w:r>
      <w:r w:rsidRPr="00B06B29">
        <w:rPr>
          <w:sz w:val="22"/>
          <w:szCs w:val="22"/>
        </w:rPr>
        <w:t>routine electrical or mechanical</w:t>
      </w:r>
      <w:r w:rsidR="00345F6F" w:rsidRPr="00B06B29">
        <w:rPr>
          <w:sz w:val="22"/>
          <w:szCs w:val="22"/>
        </w:rPr>
        <w:t xml:space="preserve"> </w:t>
      </w:r>
      <w:r w:rsidRPr="00B06B29">
        <w:rPr>
          <w:sz w:val="22"/>
          <w:szCs w:val="22"/>
        </w:rPr>
        <w:t>services).</w:t>
      </w:r>
    </w:p>
    <w:p w:rsidR="00622C6D" w:rsidRPr="00B06B29" w:rsidRDefault="0087197C" w:rsidP="00345F6F">
      <w:pPr>
        <w:pStyle w:val="BodyText"/>
        <w:rPr>
          <w:sz w:val="22"/>
          <w:szCs w:val="22"/>
        </w:rPr>
      </w:pPr>
      <w:r w:rsidRPr="00B06B29">
        <w:rPr>
          <w:sz w:val="22"/>
          <w:szCs w:val="22"/>
        </w:rPr>
        <w:t xml:space="preserve">The </w:t>
      </w:r>
      <w:r w:rsidR="00345F6F" w:rsidRPr="00B06B29">
        <w:rPr>
          <w:sz w:val="22"/>
          <w:szCs w:val="22"/>
        </w:rPr>
        <w:t xml:space="preserve">OFPP Policy Letter 11-01 and the </w:t>
      </w:r>
      <w:r w:rsidRPr="00B06B29">
        <w:rPr>
          <w:sz w:val="22"/>
          <w:szCs w:val="22"/>
        </w:rPr>
        <w:t xml:space="preserve">Federal Activities Inventory Reform Act of 1998 provide detailed information on coding functions as Inherently Governmental.  </w:t>
      </w:r>
      <w:r w:rsidR="00AA440C" w:rsidRPr="00B06B29">
        <w:rPr>
          <w:sz w:val="22"/>
          <w:szCs w:val="22"/>
        </w:rPr>
        <w:t>A</w:t>
      </w:r>
      <w:r w:rsidRPr="00B06B29">
        <w:rPr>
          <w:sz w:val="22"/>
          <w:szCs w:val="22"/>
        </w:rPr>
        <w:t xml:space="preserve">ccess </w:t>
      </w:r>
      <w:r w:rsidR="00AA440C" w:rsidRPr="00B06B29">
        <w:rPr>
          <w:sz w:val="22"/>
          <w:szCs w:val="22"/>
        </w:rPr>
        <w:t xml:space="preserve">these documents </w:t>
      </w:r>
      <w:r w:rsidRPr="00B06B29">
        <w:rPr>
          <w:sz w:val="22"/>
          <w:szCs w:val="22"/>
        </w:rPr>
        <w:t>through</w:t>
      </w:r>
      <w:r w:rsidR="00345F6F" w:rsidRPr="00B06B29">
        <w:rPr>
          <w:sz w:val="22"/>
          <w:szCs w:val="22"/>
        </w:rPr>
        <w:t xml:space="preserve"> the OMB’s website at </w:t>
      </w:r>
      <w:hyperlink r:id="rId13" w:history="1">
        <w:r w:rsidR="00345F6F" w:rsidRPr="00B06B29">
          <w:rPr>
            <w:rStyle w:val="Hyperlink"/>
            <w:sz w:val="22"/>
            <w:szCs w:val="22"/>
          </w:rPr>
          <w:t>http://www.whitehouse.gov/omb/procurement_index_work_performance/</w:t>
        </w:r>
      </w:hyperlink>
      <w:r w:rsidR="00345F6F" w:rsidRPr="00B06B29">
        <w:rPr>
          <w:color w:val="0000FF"/>
          <w:sz w:val="22"/>
          <w:szCs w:val="22"/>
        </w:rPr>
        <w:t>,</w:t>
      </w:r>
      <w:r w:rsidR="00345F6F" w:rsidRPr="00B06B29">
        <w:rPr>
          <w:sz w:val="22"/>
          <w:szCs w:val="22"/>
        </w:rPr>
        <w:t xml:space="preserve"> and </w:t>
      </w:r>
      <w:hyperlink r:id="rId14" w:history="1">
        <w:r w:rsidR="00F75083" w:rsidRPr="00B06B29">
          <w:rPr>
            <w:rStyle w:val="Hyperlink"/>
            <w:sz w:val="22"/>
            <w:szCs w:val="22"/>
          </w:rPr>
          <w:t>http://www.whitehouse.gov/omb/procurement_fair-default/</w:t>
        </w:r>
      </w:hyperlink>
      <w:r w:rsidR="005B4835" w:rsidRPr="00B06B29">
        <w:rPr>
          <w:sz w:val="22"/>
          <w:szCs w:val="22"/>
        </w:rPr>
        <w:t>.</w:t>
      </w:r>
      <w:r w:rsidR="00AA440C" w:rsidRPr="00B06B29">
        <w:rPr>
          <w:sz w:val="22"/>
          <w:szCs w:val="22"/>
        </w:rPr>
        <w:t xml:space="preserve">  </w:t>
      </w:r>
    </w:p>
    <w:p w:rsidR="0025010E" w:rsidRPr="005A2646" w:rsidRDefault="00F36987" w:rsidP="00256D8D">
      <w:pPr>
        <w:pStyle w:val="Heading4"/>
        <w:jc w:val="left"/>
        <w:rPr>
          <w:rStyle w:val="Heading3Char"/>
          <w:rFonts w:asciiTheme="minorHAnsi" w:hAnsiTheme="minorHAnsi"/>
          <w:caps w:val="0"/>
          <w:sz w:val="24"/>
          <w:u w:val="single"/>
        </w:rPr>
      </w:pPr>
      <w:bookmarkStart w:id="34" w:name="_Toc320867576"/>
      <w:bookmarkStart w:id="35" w:name="_Toc416337773"/>
      <w:r w:rsidRPr="005A2646">
        <w:rPr>
          <w:rStyle w:val="Heading3Char"/>
          <w:rFonts w:asciiTheme="minorHAnsi" w:hAnsiTheme="minorHAnsi"/>
          <w:caps w:val="0"/>
          <w:sz w:val="24"/>
          <w:u w:val="single"/>
        </w:rPr>
        <w:t>Reason Code A</w:t>
      </w:r>
      <w:r w:rsidR="006267C1" w:rsidRPr="005A2646">
        <w:rPr>
          <w:rStyle w:val="Heading3Char"/>
          <w:rFonts w:asciiTheme="minorHAnsi" w:hAnsiTheme="minorHAnsi"/>
          <w:caps w:val="0"/>
          <w:sz w:val="24"/>
          <w:u w:val="single"/>
        </w:rPr>
        <w:t xml:space="preserve"> Definition</w:t>
      </w:r>
      <w:bookmarkEnd w:id="34"/>
      <w:bookmarkEnd w:id="35"/>
    </w:p>
    <w:p w:rsidR="00186FB1" w:rsidRPr="00B06B29" w:rsidRDefault="00D370D9" w:rsidP="00247E64">
      <w:pPr>
        <w:pStyle w:val="BodyText"/>
        <w:rPr>
          <w:b/>
          <w:sz w:val="22"/>
          <w:szCs w:val="22"/>
        </w:rPr>
      </w:pPr>
      <w:r w:rsidRPr="00B06B29">
        <w:rPr>
          <w:b/>
          <w:sz w:val="22"/>
          <w:szCs w:val="22"/>
        </w:rPr>
        <w:t>Definition:</w:t>
      </w:r>
      <w:r w:rsidRPr="00B06B29">
        <w:rPr>
          <w:sz w:val="22"/>
          <w:szCs w:val="22"/>
        </w:rPr>
        <w:t xml:space="preserve"> </w:t>
      </w:r>
      <w:r w:rsidR="00481F55" w:rsidRPr="00B06B29">
        <w:rPr>
          <w:sz w:val="22"/>
          <w:szCs w:val="22"/>
        </w:rPr>
        <w:t xml:space="preserve"> </w:t>
      </w:r>
      <w:r w:rsidR="00186FB1" w:rsidRPr="00B06B29">
        <w:rPr>
          <w:sz w:val="22"/>
          <w:szCs w:val="22"/>
        </w:rPr>
        <w:t>Commercial Activity not appropriate for private sector performance pursuant to a written determination by the CSO.</w:t>
      </w:r>
      <w:r w:rsidR="00567EF4" w:rsidRPr="00B06B29">
        <w:rPr>
          <w:sz w:val="22"/>
          <w:szCs w:val="22"/>
        </w:rPr>
        <w:t xml:space="preserve">  FTE coded Reason Code A serve a critical function, and assist the Department </w:t>
      </w:r>
      <w:r w:rsidR="00B11E6A" w:rsidRPr="00B06B29">
        <w:rPr>
          <w:sz w:val="22"/>
          <w:szCs w:val="22"/>
        </w:rPr>
        <w:t>in</w:t>
      </w:r>
      <w:r w:rsidR="00567EF4" w:rsidRPr="00B06B29">
        <w:rPr>
          <w:sz w:val="22"/>
          <w:szCs w:val="22"/>
        </w:rPr>
        <w:t xml:space="preserve"> maintain</w:t>
      </w:r>
      <w:r w:rsidR="00B11E6A" w:rsidRPr="00B06B29">
        <w:rPr>
          <w:sz w:val="22"/>
          <w:szCs w:val="22"/>
        </w:rPr>
        <w:t>ing</w:t>
      </w:r>
      <w:r w:rsidR="00567EF4" w:rsidRPr="00B06B29">
        <w:rPr>
          <w:sz w:val="22"/>
          <w:szCs w:val="22"/>
        </w:rPr>
        <w:t xml:space="preserve"> control of its mission and operations</w:t>
      </w:r>
      <w:r w:rsidR="001045E4" w:rsidRPr="00B06B29">
        <w:rPr>
          <w:sz w:val="22"/>
          <w:szCs w:val="22"/>
        </w:rPr>
        <w:t>.</w:t>
      </w:r>
    </w:p>
    <w:p w:rsidR="00186FB1" w:rsidRPr="00B06B29" w:rsidRDefault="009A29B9" w:rsidP="009A29B9">
      <w:pPr>
        <w:pStyle w:val="BodyText"/>
        <w:rPr>
          <w:sz w:val="22"/>
          <w:szCs w:val="22"/>
        </w:rPr>
      </w:pPr>
      <w:r w:rsidRPr="00B06B29">
        <w:rPr>
          <w:sz w:val="22"/>
          <w:szCs w:val="22"/>
        </w:rPr>
        <w:t>‘‘Critical function’’ means a function that is necessary to the agency being able to effectively perform and maintain control of its mission and operations.  Typically, critical functions are recurring and long-term in duration.</w:t>
      </w:r>
    </w:p>
    <w:p w:rsidR="002C6F46" w:rsidRPr="00B06B29" w:rsidRDefault="009A29B9" w:rsidP="00247E64">
      <w:pPr>
        <w:pStyle w:val="BodyText"/>
        <w:rPr>
          <w:sz w:val="22"/>
          <w:szCs w:val="22"/>
        </w:rPr>
      </w:pPr>
      <w:r w:rsidRPr="00B06B29">
        <w:rPr>
          <w:sz w:val="22"/>
          <w:szCs w:val="22"/>
        </w:rPr>
        <w:t xml:space="preserve">The OFPP Policy Letter 11-01 provides detailed information on coding functions as Critical </w:t>
      </w:r>
      <w:r w:rsidR="00385A1A" w:rsidRPr="00B06B29">
        <w:rPr>
          <w:sz w:val="22"/>
          <w:szCs w:val="22"/>
        </w:rPr>
        <w:t>Function</w:t>
      </w:r>
      <w:r w:rsidRPr="00B06B29">
        <w:rPr>
          <w:sz w:val="22"/>
          <w:szCs w:val="22"/>
        </w:rPr>
        <w:t xml:space="preserve">.  Access this document through the OMB’s website at </w:t>
      </w:r>
      <w:hyperlink r:id="rId15" w:history="1">
        <w:r w:rsidRPr="00B06B29">
          <w:rPr>
            <w:rStyle w:val="Hyperlink"/>
            <w:sz w:val="22"/>
            <w:szCs w:val="22"/>
          </w:rPr>
          <w:t>http://www.whitehouse.gov/omb/procurement_index_work_performance/</w:t>
        </w:r>
      </w:hyperlink>
      <w:r w:rsidRPr="00B06B29">
        <w:rPr>
          <w:color w:val="0000FF"/>
          <w:sz w:val="22"/>
          <w:szCs w:val="22"/>
        </w:rPr>
        <w:t>.</w:t>
      </w:r>
    </w:p>
    <w:p w:rsidR="00B9745B" w:rsidRPr="005A2646" w:rsidRDefault="00B9745B" w:rsidP="00256D8D">
      <w:pPr>
        <w:pStyle w:val="Heading4"/>
        <w:jc w:val="left"/>
        <w:rPr>
          <w:rStyle w:val="Heading3Char"/>
          <w:rFonts w:asciiTheme="minorHAnsi" w:hAnsiTheme="minorHAnsi"/>
          <w:caps w:val="0"/>
          <w:sz w:val="24"/>
          <w:u w:val="single"/>
        </w:rPr>
      </w:pPr>
      <w:bookmarkStart w:id="36" w:name="_Toc320867577"/>
      <w:bookmarkStart w:id="37" w:name="_Toc416337774"/>
      <w:r w:rsidRPr="005A2646">
        <w:rPr>
          <w:rStyle w:val="Heading3Char"/>
          <w:rFonts w:asciiTheme="minorHAnsi" w:hAnsiTheme="minorHAnsi"/>
          <w:caps w:val="0"/>
          <w:sz w:val="24"/>
          <w:u w:val="single"/>
        </w:rPr>
        <w:lastRenderedPageBreak/>
        <w:t>Reason Code B Definition</w:t>
      </w:r>
      <w:bookmarkEnd w:id="36"/>
      <w:bookmarkEnd w:id="37"/>
    </w:p>
    <w:p w:rsidR="009A29B9" w:rsidRPr="00B06B29" w:rsidRDefault="00B9745B" w:rsidP="009A29B9">
      <w:pPr>
        <w:pStyle w:val="BodyText"/>
        <w:rPr>
          <w:sz w:val="22"/>
          <w:szCs w:val="22"/>
        </w:rPr>
      </w:pPr>
      <w:r w:rsidRPr="00B06B29">
        <w:rPr>
          <w:b/>
          <w:sz w:val="22"/>
          <w:szCs w:val="22"/>
        </w:rPr>
        <w:t>Definition:</w:t>
      </w:r>
      <w:r w:rsidRPr="00B06B29">
        <w:rPr>
          <w:sz w:val="22"/>
          <w:szCs w:val="22"/>
        </w:rPr>
        <w:t xml:space="preserve">  The </w:t>
      </w:r>
      <w:r w:rsidR="009A29B9" w:rsidRPr="00B06B29">
        <w:rPr>
          <w:sz w:val="22"/>
          <w:szCs w:val="22"/>
        </w:rPr>
        <w:t xml:space="preserve">commercial activity is suitable for a streamlined or standard competition.  </w:t>
      </w:r>
      <w:r w:rsidR="009A29B9" w:rsidRPr="00B06B29">
        <w:rPr>
          <w:i/>
          <w:sz w:val="22"/>
          <w:szCs w:val="22"/>
        </w:rPr>
        <w:t xml:space="preserve">Note: Section 733 of the Consolidated Appropriations Act, 2012 (P.L. 112-74) establishes a statutory moratorium on beginning or announcing a study or public-private competition regarding the conversion of contract performance of any function performed by federal employees. </w:t>
      </w:r>
    </w:p>
    <w:p w:rsidR="00B9745B" w:rsidRPr="00B06B29" w:rsidRDefault="00B9745B" w:rsidP="00247E64">
      <w:pPr>
        <w:pStyle w:val="BodyText"/>
        <w:rPr>
          <w:sz w:val="22"/>
          <w:szCs w:val="22"/>
        </w:rPr>
      </w:pPr>
      <w:r w:rsidRPr="00B06B29">
        <w:rPr>
          <w:sz w:val="22"/>
          <w:szCs w:val="22"/>
        </w:rPr>
        <w:t xml:space="preserve">Reason Code B should be applied to any FTE performing a function or activity that </w:t>
      </w:r>
      <w:r w:rsidR="00C7780C" w:rsidRPr="00B06B29">
        <w:rPr>
          <w:sz w:val="22"/>
          <w:szCs w:val="22"/>
        </w:rPr>
        <w:t>is essential, but not inherently governmental.  These activities may be performed by either federal employees or private sector contractors</w:t>
      </w:r>
      <w:r w:rsidRPr="00B06B29">
        <w:rPr>
          <w:sz w:val="22"/>
          <w:szCs w:val="22"/>
        </w:rPr>
        <w:t>.</w:t>
      </w:r>
    </w:p>
    <w:p w:rsidR="009A29B9" w:rsidRPr="005A2646" w:rsidRDefault="009A29B9" w:rsidP="00256D8D">
      <w:pPr>
        <w:pStyle w:val="Heading4"/>
        <w:jc w:val="left"/>
        <w:rPr>
          <w:rStyle w:val="Heading3Char"/>
          <w:rFonts w:asciiTheme="minorHAnsi" w:hAnsiTheme="minorHAnsi"/>
          <w:caps w:val="0"/>
          <w:sz w:val="24"/>
          <w:u w:val="single"/>
        </w:rPr>
      </w:pPr>
      <w:bookmarkStart w:id="38" w:name="_Toc320867578"/>
      <w:bookmarkStart w:id="39" w:name="_Toc416337775"/>
      <w:r w:rsidRPr="005A2646">
        <w:rPr>
          <w:rStyle w:val="Heading3Char"/>
          <w:rFonts w:asciiTheme="minorHAnsi" w:hAnsiTheme="minorHAnsi"/>
          <w:caps w:val="0"/>
          <w:sz w:val="24"/>
          <w:u w:val="single"/>
        </w:rPr>
        <w:t>Reason Code C Definition</w:t>
      </w:r>
      <w:bookmarkEnd w:id="38"/>
      <w:bookmarkEnd w:id="39"/>
    </w:p>
    <w:p w:rsidR="009A29B9" w:rsidRPr="00B06B29" w:rsidRDefault="009A29B9" w:rsidP="009A29B9">
      <w:pPr>
        <w:pStyle w:val="BodyText"/>
        <w:rPr>
          <w:sz w:val="22"/>
          <w:szCs w:val="22"/>
          <w:u w:val="single"/>
        </w:rPr>
      </w:pPr>
      <w:r w:rsidRPr="00B06B29">
        <w:rPr>
          <w:b/>
          <w:sz w:val="22"/>
          <w:szCs w:val="22"/>
        </w:rPr>
        <w:t>Definition:</w:t>
      </w:r>
      <w:r w:rsidRPr="00B06B29">
        <w:rPr>
          <w:sz w:val="22"/>
          <w:szCs w:val="22"/>
        </w:rPr>
        <w:t xml:space="preserve">  The commercial activity is the subject of an in-progress streamlined or standard competition.  </w:t>
      </w:r>
      <w:r w:rsidRPr="00B06B29">
        <w:rPr>
          <w:i/>
          <w:sz w:val="22"/>
          <w:szCs w:val="22"/>
        </w:rPr>
        <w:t>Note: Section 733 of the Consolidated Appropriations Act, 2012 (P.L. 112-74) establishes a statutory moratorium on beginning or announcing a study or public-private competition regarding the conversion of contract performance of any function performed by federal employees.</w:t>
      </w:r>
    </w:p>
    <w:p w:rsidR="00500B2F" w:rsidRPr="005A2646" w:rsidRDefault="00500B2F" w:rsidP="00256D8D">
      <w:pPr>
        <w:pStyle w:val="Heading4"/>
        <w:jc w:val="left"/>
        <w:rPr>
          <w:rStyle w:val="Heading3Char"/>
          <w:rFonts w:asciiTheme="minorHAnsi" w:hAnsiTheme="minorHAnsi"/>
          <w:caps w:val="0"/>
          <w:sz w:val="24"/>
          <w:u w:val="single"/>
        </w:rPr>
      </w:pPr>
      <w:bookmarkStart w:id="40" w:name="_Toc320867579"/>
      <w:bookmarkStart w:id="41" w:name="_Toc416337776"/>
      <w:r w:rsidRPr="005A2646">
        <w:rPr>
          <w:rStyle w:val="Heading3Char"/>
          <w:rFonts w:asciiTheme="minorHAnsi" w:hAnsiTheme="minorHAnsi"/>
          <w:caps w:val="0"/>
          <w:sz w:val="24"/>
          <w:u w:val="single"/>
        </w:rPr>
        <w:t>Reason Code D Definition</w:t>
      </w:r>
      <w:bookmarkEnd w:id="40"/>
      <w:bookmarkEnd w:id="41"/>
    </w:p>
    <w:p w:rsidR="00B9745B" w:rsidRPr="00B06B29" w:rsidRDefault="00500B2F" w:rsidP="00247E64">
      <w:pPr>
        <w:pStyle w:val="BodyText"/>
        <w:rPr>
          <w:sz w:val="22"/>
          <w:szCs w:val="22"/>
        </w:rPr>
      </w:pPr>
      <w:r w:rsidRPr="00B06B29">
        <w:rPr>
          <w:b/>
          <w:sz w:val="22"/>
          <w:szCs w:val="22"/>
        </w:rPr>
        <w:t>Definition:</w:t>
      </w:r>
      <w:r w:rsidRPr="00B06B29">
        <w:rPr>
          <w:sz w:val="22"/>
          <w:szCs w:val="22"/>
        </w:rPr>
        <w:t xml:space="preserve">  </w:t>
      </w:r>
      <w:r w:rsidR="00B9745B" w:rsidRPr="00B06B29">
        <w:rPr>
          <w:sz w:val="22"/>
          <w:szCs w:val="22"/>
        </w:rPr>
        <w:t xml:space="preserve">The </w:t>
      </w:r>
      <w:r w:rsidR="00A0371B" w:rsidRPr="00B06B29">
        <w:rPr>
          <w:sz w:val="22"/>
          <w:szCs w:val="22"/>
        </w:rPr>
        <w:t xml:space="preserve">Commercial </w:t>
      </w:r>
      <w:r w:rsidR="00B9745B" w:rsidRPr="00B06B29">
        <w:rPr>
          <w:sz w:val="22"/>
          <w:szCs w:val="22"/>
        </w:rPr>
        <w:t>Activity is performed by government personnel as the result of a standard or streamlined competition (or a cost comparison, streamlined cost c</w:t>
      </w:r>
      <w:r w:rsidR="004D08BF" w:rsidRPr="00B06B29">
        <w:rPr>
          <w:sz w:val="22"/>
          <w:szCs w:val="22"/>
        </w:rPr>
        <w:t xml:space="preserve">omparison, </w:t>
      </w:r>
      <w:r w:rsidRPr="00B06B29">
        <w:rPr>
          <w:sz w:val="22"/>
          <w:szCs w:val="22"/>
        </w:rPr>
        <w:t>direct conversion</w:t>
      </w:r>
      <w:r w:rsidR="00A0371B" w:rsidRPr="00B06B29">
        <w:rPr>
          <w:sz w:val="22"/>
          <w:szCs w:val="22"/>
        </w:rPr>
        <w:t>) within the past five years.</w:t>
      </w:r>
    </w:p>
    <w:p w:rsidR="00500B2F" w:rsidRPr="005A2646" w:rsidRDefault="00500B2F" w:rsidP="00256D8D">
      <w:pPr>
        <w:pStyle w:val="Heading4"/>
        <w:jc w:val="left"/>
        <w:rPr>
          <w:rStyle w:val="Heading3Char"/>
          <w:rFonts w:asciiTheme="minorHAnsi" w:hAnsiTheme="minorHAnsi"/>
          <w:caps w:val="0"/>
          <w:sz w:val="24"/>
          <w:u w:val="single"/>
        </w:rPr>
      </w:pPr>
      <w:bookmarkStart w:id="42" w:name="_Toc320867580"/>
      <w:bookmarkStart w:id="43" w:name="_Toc416337777"/>
      <w:r w:rsidRPr="005A2646">
        <w:rPr>
          <w:rStyle w:val="Heading3Char"/>
          <w:rFonts w:asciiTheme="minorHAnsi" w:hAnsiTheme="minorHAnsi"/>
          <w:caps w:val="0"/>
          <w:sz w:val="24"/>
          <w:u w:val="single"/>
        </w:rPr>
        <w:t>Reason Code E Definition</w:t>
      </w:r>
      <w:bookmarkEnd w:id="42"/>
      <w:bookmarkEnd w:id="43"/>
    </w:p>
    <w:p w:rsidR="00B9745B" w:rsidRPr="00B06B29" w:rsidRDefault="00500B2F" w:rsidP="00247E64">
      <w:pPr>
        <w:pStyle w:val="BodyText"/>
        <w:rPr>
          <w:sz w:val="22"/>
          <w:szCs w:val="22"/>
        </w:rPr>
      </w:pPr>
      <w:r w:rsidRPr="00B06B29">
        <w:rPr>
          <w:b/>
          <w:sz w:val="22"/>
          <w:szCs w:val="22"/>
        </w:rPr>
        <w:t>Definition:</w:t>
      </w:r>
      <w:r w:rsidR="00B9745B" w:rsidRPr="00B06B29">
        <w:rPr>
          <w:sz w:val="22"/>
          <w:szCs w:val="22"/>
        </w:rPr>
        <w:t xml:space="preserve"> The Commercial Activity is pending an agency approved restructuring decision (e.g., closure, realignment).</w:t>
      </w:r>
    </w:p>
    <w:p w:rsidR="00B9745B" w:rsidRPr="00B06B29" w:rsidRDefault="00B9745B" w:rsidP="00247E64">
      <w:pPr>
        <w:pStyle w:val="BodyText"/>
        <w:rPr>
          <w:sz w:val="22"/>
          <w:szCs w:val="22"/>
        </w:rPr>
      </w:pPr>
      <w:r w:rsidRPr="00B06B29">
        <w:rPr>
          <w:sz w:val="22"/>
          <w:szCs w:val="22"/>
        </w:rPr>
        <w:t xml:space="preserve">DOE offices shall use Reason Code E for all FTEs performing activities in a function that has been deferred from a streamlined or standard competition pending the results of an approved force restructuring decision.  This code is limited to restructuring initiatives such as approved site closures, or functional realignment or consolidation actions that have been approved in writing. </w:t>
      </w:r>
    </w:p>
    <w:p w:rsidR="00500B2F" w:rsidRPr="005A2646" w:rsidRDefault="00500B2F" w:rsidP="00256D8D">
      <w:pPr>
        <w:pStyle w:val="Heading4"/>
        <w:jc w:val="left"/>
        <w:rPr>
          <w:rStyle w:val="Heading3Char"/>
          <w:rFonts w:asciiTheme="minorHAnsi" w:hAnsiTheme="minorHAnsi"/>
          <w:caps w:val="0"/>
          <w:sz w:val="24"/>
          <w:u w:val="single"/>
        </w:rPr>
      </w:pPr>
      <w:bookmarkStart w:id="44" w:name="_Toc320867581"/>
      <w:bookmarkStart w:id="45" w:name="_Toc416337778"/>
      <w:r w:rsidRPr="005A2646">
        <w:rPr>
          <w:rStyle w:val="Heading3Char"/>
          <w:rFonts w:asciiTheme="minorHAnsi" w:hAnsiTheme="minorHAnsi"/>
          <w:caps w:val="0"/>
          <w:sz w:val="24"/>
          <w:u w:val="single"/>
        </w:rPr>
        <w:t>Reason Code F Definition</w:t>
      </w:r>
      <w:bookmarkEnd w:id="44"/>
      <w:bookmarkEnd w:id="45"/>
    </w:p>
    <w:p w:rsidR="00B9745B" w:rsidRDefault="00500B2F" w:rsidP="00247E64">
      <w:pPr>
        <w:pStyle w:val="BodyText"/>
        <w:rPr>
          <w:sz w:val="22"/>
          <w:szCs w:val="22"/>
        </w:rPr>
      </w:pPr>
      <w:r w:rsidRPr="00B06B29">
        <w:rPr>
          <w:b/>
          <w:sz w:val="22"/>
          <w:szCs w:val="22"/>
        </w:rPr>
        <w:t>Definition:</w:t>
      </w:r>
      <w:r w:rsidR="00B9745B" w:rsidRPr="00B06B29">
        <w:rPr>
          <w:sz w:val="22"/>
          <w:szCs w:val="22"/>
        </w:rPr>
        <w:t xml:space="preserve"> The Commercial Activity performed by government personnel due to a statutory prohibition against private sector performance.</w:t>
      </w:r>
    </w:p>
    <w:p w:rsidR="000D7D41" w:rsidRPr="00240331" w:rsidRDefault="000D7D41" w:rsidP="00240331">
      <w:pPr>
        <w:pStyle w:val="Heading2"/>
        <w:spacing w:after="120"/>
        <w:rPr>
          <w:rStyle w:val="Heading3Char"/>
          <w:rFonts w:asciiTheme="minorHAnsi" w:hAnsiTheme="minorHAnsi"/>
          <w:b/>
          <w:bCs/>
          <w:color w:val="333399"/>
          <w:spacing w:val="-10"/>
          <w:sz w:val="28"/>
          <w:szCs w:val="24"/>
        </w:rPr>
      </w:pPr>
      <w:bookmarkStart w:id="46" w:name="_Toc416337779"/>
      <w:r w:rsidRPr="00240331">
        <w:rPr>
          <w:rStyle w:val="Heading3Char"/>
          <w:rFonts w:asciiTheme="minorHAnsi" w:hAnsiTheme="minorHAnsi"/>
          <w:b/>
          <w:bCs/>
          <w:color w:val="333399"/>
          <w:spacing w:val="-10"/>
          <w:sz w:val="28"/>
          <w:szCs w:val="24"/>
        </w:rPr>
        <w:t>Critical Functions</w:t>
      </w:r>
      <w:bookmarkEnd w:id="46"/>
    </w:p>
    <w:p w:rsidR="00481F55" w:rsidRDefault="00B12043" w:rsidP="00247E64">
      <w:pPr>
        <w:pStyle w:val="BodyText"/>
        <w:rPr>
          <w:sz w:val="22"/>
          <w:szCs w:val="22"/>
        </w:rPr>
      </w:pPr>
      <w:r w:rsidRPr="00B06B29">
        <w:rPr>
          <w:b/>
          <w:sz w:val="22"/>
          <w:szCs w:val="22"/>
        </w:rPr>
        <w:t>Definition:</w:t>
      </w:r>
      <w:r w:rsidRPr="00B06B29">
        <w:rPr>
          <w:sz w:val="22"/>
          <w:szCs w:val="22"/>
        </w:rPr>
        <w:t xml:space="preserve"> The OFPP Letter 11-01, Performance of Inherently Governmental and Critical Functions defines a Critical Function as a function that is necessary to the agency being able to effectively perform and maintain control of its mission and operations.  Typically, critical functions are recurring and long-term in duration.  </w:t>
      </w:r>
      <w:r w:rsidR="007E3438" w:rsidRPr="00B06B29">
        <w:rPr>
          <w:sz w:val="22"/>
          <w:szCs w:val="22"/>
        </w:rPr>
        <w:t xml:space="preserve">The addition of column </w:t>
      </w:r>
      <w:bookmarkStart w:id="47" w:name="_GoBack"/>
      <w:r w:rsidR="007E3438" w:rsidRPr="00B06B29">
        <w:rPr>
          <w:sz w:val="22"/>
          <w:szCs w:val="22"/>
        </w:rPr>
        <w:t>‘</w:t>
      </w:r>
      <w:r w:rsidR="00ED0499">
        <w:rPr>
          <w:sz w:val="22"/>
          <w:szCs w:val="22"/>
        </w:rPr>
        <w:t>X</w:t>
      </w:r>
      <w:r w:rsidR="007E3438" w:rsidRPr="00B06B29">
        <w:rPr>
          <w:sz w:val="22"/>
          <w:szCs w:val="22"/>
        </w:rPr>
        <w:t>’</w:t>
      </w:r>
      <w:bookmarkEnd w:id="47"/>
      <w:r w:rsidR="007E3438" w:rsidRPr="00B06B29">
        <w:rPr>
          <w:sz w:val="22"/>
          <w:szCs w:val="22"/>
        </w:rPr>
        <w:t xml:space="preserve"> </w:t>
      </w:r>
      <w:r w:rsidR="00AB119E">
        <w:rPr>
          <w:sz w:val="22"/>
          <w:szCs w:val="22"/>
        </w:rPr>
        <w:t xml:space="preserve">“Critical Function” </w:t>
      </w:r>
      <w:r w:rsidR="007E3438" w:rsidRPr="00B06B29">
        <w:rPr>
          <w:sz w:val="22"/>
          <w:szCs w:val="22"/>
        </w:rPr>
        <w:t xml:space="preserve">on the data collection spreadsheet allows for the critical function classification of all functions.  </w:t>
      </w:r>
      <w:r w:rsidR="00AB119E">
        <w:rPr>
          <w:sz w:val="22"/>
          <w:szCs w:val="22"/>
        </w:rPr>
        <w:t>The required annotation is</w:t>
      </w:r>
      <w:r w:rsidR="00590193" w:rsidRPr="00B06B29">
        <w:rPr>
          <w:sz w:val="22"/>
          <w:szCs w:val="22"/>
        </w:rPr>
        <w:t xml:space="preserve"> Yes or No in this field/column.</w:t>
      </w:r>
    </w:p>
    <w:p w:rsidR="00B06B29" w:rsidRDefault="00B06B29" w:rsidP="00247E64">
      <w:pPr>
        <w:pStyle w:val="BodyText"/>
        <w:rPr>
          <w:sz w:val="22"/>
          <w:szCs w:val="22"/>
        </w:rPr>
      </w:pPr>
    </w:p>
    <w:p w:rsidR="00B06B29" w:rsidRPr="00B06B29" w:rsidRDefault="00B06B29" w:rsidP="00247E64">
      <w:pPr>
        <w:pStyle w:val="BodyText"/>
        <w:rPr>
          <w:sz w:val="22"/>
          <w:szCs w:val="22"/>
        </w:rPr>
        <w:sectPr w:rsidR="00B06B29" w:rsidRPr="00B06B29" w:rsidSect="00B66B17">
          <w:pgSz w:w="12240" w:h="15840" w:code="1"/>
          <w:pgMar w:top="1152" w:right="1440" w:bottom="1152" w:left="1440" w:header="720" w:footer="720" w:gutter="0"/>
          <w:pgNumType w:start="1"/>
          <w:cols w:space="720"/>
        </w:sectPr>
      </w:pPr>
    </w:p>
    <w:p w:rsidR="004B1876" w:rsidRPr="005A2646" w:rsidRDefault="004B1876" w:rsidP="00AD456C">
      <w:pPr>
        <w:pStyle w:val="Heading1"/>
      </w:pPr>
      <w:bookmarkStart w:id="48" w:name="_Toc285023619"/>
      <w:bookmarkStart w:id="49" w:name="_Toc285028613"/>
      <w:bookmarkStart w:id="50" w:name="_Toc320867582"/>
      <w:bookmarkStart w:id="51" w:name="_Toc416337780"/>
      <w:bookmarkStart w:id="52" w:name="_Toc35154381"/>
      <w:bookmarkStart w:id="53" w:name="_Toc35154904"/>
      <w:r w:rsidRPr="005A2646">
        <w:lastRenderedPageBreak/>
        <w:t>Collection Tool</w:t>
      </w:r>
      <w:bookmarkEnd w:id="48"/>
      <w:bookmarkEnd w:id="49"/>
      <w:bookmarkEnd w:id="50"/>
      <w:bookmarkEnd w:id="51"/>
    </w:p>
    <w:p w:rsidR="002748FF" w:rsidRPr="00B06B29" w:rsidRDefault="004B00AD" w:rsidP="00247E64">
      <w:pPr>
        <w:pStyle w:val="BodyText"/>
        <w:rPr>
          <w:bCs/>
          <w:sz w:val="22"/>
          <w:szCs w:val="22"/>
        </w:rPr>
      </w:pPr>
      <w:r w:rsidRPr="00B06B29">
        <w:rPr>
          <w:sz w:val="22"/>
          <w:szCs w:val="22"/>
        </w:rPr>
        <w:t xml:space="preserve">The IGCA Collection Tool is an Excel based tool that allows program offices to collect and validate their inventory.  The tool automatically filters and summarizes data so that program offices can submit detailed inventory reports.  </w:t>
      </w:r>
    </w:p>
    <w:p w:rsidR="00781A25" w:rsidRDefault="00781A25" w:rsidP="00603F1C">
      <w:pPr>
        <w:pStyle w:val="Heading2"/>
        <w:tabs>
          <w:tab w:val="left" w:pos="0"/>
        </w:tabs>
        <w:rPr>
          <w:rFonts w:asciiTheme="minorHAnsi" w:hAnsiTheme="minorHAnsi"/>
          <w:b/>
          <w:bCs/>
          <w:color w:val="333399"/>
          <w:sz w:val="28"/>
          <w:szCs w:val="28"/>
        </w:rPr>
      </w:pPr>
      <w:bookmarkStart w:id="54" w:name="_Toc416337781"/>
      <w:bookmarkStart w:id="55" w:name="_Toc285023620"/>
      <w:bookmarkStart w:id="56" w:name="_Toc285028614"/>
      <w:bookmarkStart w:id="57" w:name="_Toc320867583"/>
      <w:bookmarkStart w:id="58" w:name="OLE_LINK3"/>
      <w:bookmarkStart w:id="59" w:name="OLE_LINK4"/>
      <w:r>
        <w:rPr>
          <w:rFonts w:asciiTheme="minorHAnsi" w:hAnsiTheme="minorHAnsi"/>
          <w:b/>
          <w:bCs/>
          <w:color w:val="333399"/>
          <w:sz w:val="28"/>
          <w:szCs w:val="28"/>
        </w:rPr>
        <w:t>Data Spreadsheet</w:t>
      </w:r>
      <w:bookmarkEnd w:id="54"/>
    </w:p>
    <w:p w:rsidR="00781A25" w:rsidRDefault="00781A25" w:rsidP="00781A25">
      <w:pPr>
        <w:pStyle w:val="BodyText"/>
        <w:rPr>
          <w:sz w:val="22"/>
          <w:szCs w:val="22"/>
        </w:rPr>
      </w:pPr>
      <w:r>
        <w:rPr>
          <w:sz w:val="22"/>
          <w:szCs w:val="22"/>
        </w:rPr>
        <w:t>The spreadsheet is broken down into several data groups by color.</w:t>
      </w:r>
    </w:p>
    <w:p w:rsidR="00781A25" w:rsidRDefault="00781A25" w:rsidP="00C624C8">
      <w:pPr>
        <w:pStyle w:val="BodyText"/>
        <w:numPr>
          <w:ilvl w:val="0"/>
          <w:numId w:val="6"/>
        </w:numPr>
        <w:spacing w:after="0"/>
        <w:rPr>
          <w:sz w:val="22"/>
          <w:szCs w:val="22"/>
        </w:rPr>
      </w:pPr>
      <w:r w:rsidRPr="00781A25">
        <w:rPr>
          <w:color w:val="548DD4" w:themeColor="text2" w:themeTint="99"/>
          <w:sz w:val="22"/>
          <w:szCs w:val="22"/>
        </w:rPr>
        <w:t>Group 1</w:t>
      </w:r>
      <w:r>
        <w:rPr>
          <w:sz w:val="22"/>
          <w:szCs w:val="22"/>
        </w:rPr>
        <w:t xml:space="preserve"> – General Data</w:t>
      </w:r>
    </w:p>
    <w:p w:rsidR="00781A25" w:rsidRDefault="00781A25" w:rsidP="00C624C8">
      <w:pPr>
        <w:pStyle w:val="BodyText"/>
        <w:numPr>
          <w:ilvl w:val="0"/>
          <w:numId w:val="6"/>
        </w:numPr>
        <w:spacing w:after="0"/>
        <w:rPr>
          <w:sz w:val="22"/>
          <w:szCs w:val="22"/>
        </w:rPr>
      </w:pPr>
      <w:r w:rsidRPr="00781A25">
        <w:rPr>
          <w:color w:val="E36C0A" w:themeColor="accent6" w:themeShade="BF"/>
          <w:sz w:val="22"/>
          <w:szCs w:val="22"/>
        </w:rPr>
        <w:t>Group 2</w:t>
      </w:r>
      <w:r>
        <w:rPr>
          <w:sz w:val="22"/>
          <w:szCs w:val="22"/>
        </w:rPr>
        <w:t xml:space="preserve"> – Previous Year’s Data</w:t>
      </w:r>
    </w:p>
    <w:p w:rsidR="00781A25" w:rsidRDefault="00781A25" w:rsidP="00C624C8">
      <w:pPr>
        <w:pStyle w:val="BodyText"/>
        <w:numPr>
          <w:ilvl w:val="0"/>
          <w:numId w:val="6"/>
        </w:numPr>
        <w:rPr>
          <w:sz w:val="22"/>
          <w:szCs w:val="22"/>
        </w:rPr>
      </w:pPr>
      <w:r w:rsidRPr="00781A25">
        <w:rPr>
          <w:color w:val="76923C" w:themeColor="accent3" w:themeShade="BF"/>
          <w:sz w:val="22"/>
          <w:szCs w:val="22"/>
        </w:rPr>
        <w:t xml:space="preserve">Group 3 </w:t>
      </w:r>
      <w:r>
        <w:rPr>
          <w:sz w:val="22"/>
          <w:szCs w:val="22"/>
        </w:rPr>
        <w:t>– Current Year Data</w:t>
      </w:r>
    </w:p>
    <w:p w:rsidR="00781A25" w:rsidRPr="00BB5004" w:rsidRDefault="00781A25" w:rsidP="00BB5004">
      <w:pPr>
        <w:pStyle w:val="Heading2"/>
        <w:tabs>
          <w:tab w:val="left" w:pos="0"/>
        </w:tabs>
        <w:rPr>
          <w:rFonts w:asciiTheme="minorHAnsi" w:hAnsiTheme="minorHAnsi"/>
          <w:b/>
          <w:bCs/>
          <w:color w:val="333399"/>
          <w:sz w:val="28"/>
          <w:szCs w:val="28"/>
        </w:rPr>
      </w:pPr>
      <w:bookmarkStart w:id="60" w:name="_Toc416337782"/>
      <w:r w:rsidRPr="00BB5004">
        <w:rPr>
          <w:rFonts w:asciiTheme="minorHAnsi" w:hAnsiTheme="minorHAnsi"/>
          <w:b/>
          <w:bCs/>
          <w:color w:val="333399"/>
          <w:sz w:val="28"/>
          <w:szCs w:val="28"/>
        </w:rPr>
        <w:t>Data Entry</w:t>
      </w:r>
      <w:bookmarkEnd w:id="60"/>
    </w:p>
    <w:p w:rsidR="00BB5004" w:rsidRPr="00781A25" w:rsidRDefault="00781A25" w:rsidP="0064722A">
      <w:pPr>
        <w:pStyle w:val="BodyText"/>
        <w:spacing w:after="0"/>
        <w:rPr>
          <w:sz w:val="22"/>
          <w:szCs w:val="22"/>
        </w:rPr>
      </w:pPr>
      <w:r w:rsidRPr="00781A25">
        <w:rPr>
          <w:sz w:val="22"/>
          <w:szCs w:val="22"/>
        </w:rPr>
        <w:t>Data from the previous year has been provided as a starting point.</w:t>
      </w:r>
      <w:r>
        <w:rPr>
          <w:sz w:val="22"/>
          <w:szCs w:val="22"/>
        </w:rPr>
        <w:t xml:space="preserve">  </w:t>
      </w:r>
      <w:r w:rsidR="00BB5004" w:rsidRPr="00781A25">
        <w:rPr>
          <w:sz w:val="22"/>
          <w:szCs w:val="22"/>
        </w:rPr>
        <w:t>If data has not changed between 20</w:t>
      </w:r>
      <w:r w:rsidR="0064722A">
        <w:rPr>
          <w:sz w:val="22"/>
          <w:szCs w:val="22"/>
        </w:rPr>
        <w:t>14</w:t>
      </w:r>
      <w:r w:rsidR="00BB5004" w:rsidRPr="00781A25">
        <w:rPr>
          <w:sz w:val="22"/>
          <w:szCs w:val="22"/>
        </w:rPr>
        <w:t xml:space="preserve"> and 20</w:t>
      </w:r>
      <w:r w:rsidR="0064722A">
        <w:rPr>
          <w:sz w:val="22"/>
          <w:szCs w:val="22"/>
        </w:rPr>
        <w:t>15</w:t>
      </w:r>
      <w:r w:rsidR="00BB5004" w:rsidRPr="00781A25">
        <w:rPr>
          <w:sz w:val="22"/>
          <w:szCs w:val="22"/>
        </w:rPr>
        <w:t xml:space="preserve"> - copy 20</w:t>
      </w:r>
      <w:r w:rsidR="0064722A">
        <w:rPr>
          <w:sz w:val="22"/>
          <w:szCs w:val="22"/>
        </w:rPr>
        <w:t>14</w:t>
      </w:r>
      <w:r w:rsidR="00BB5004" w:rsidRPr="00781A25">
        <w:rPr>
          <w:sz w:val="22"/>
          <w:szCs w:val="22"/>
        </w:rPr>
        <w:t xml:space="preserve"> data </w:t>
      </w:r>
      <w:r w:rsidRPr="00781A25">
        <w:rPr>
          <w:sz w:val="22"/>
          <w:szCs w:val="22"/>
        </w:rPr>
        <w:t>(</w:t>
      </w:r>
      <w:r w:rsidRPr="0064722A">
        <w:rPr>
          <w:color w:val="E36C0A" w:themeColor="accent6" w:themeShade="BF"/>
          <w:sz w:val="22"/>
          <w:szCs w:val="22"/>
        </w:rPr>
        <w:t>Group 2</w:t>
      </w:r>
      <w:r w:rsidRPr="00781A25">
        <w:rPr>
          <w:sz w:val="22"/>
          <w:szCs w:val="22"/>
        </w:rPr>
        <w:t>)</w:t>
      </w:r>
      <w:r w:rsidR="00BB5004" w:rsidRPr="00781A25">
        <w:rPr>
          <w:sz w:val="22"/>
          <w:szCs w:val="22"/>
        </w:rPr>
        <w:t xml:space="preserve"> and paste on 20</w:t>
      </w:r>
      <w:r w:rsidR="0064722A">
        <w:rPr>
          <w:sz w:val="22"/>
          <w:szCs w:val="22"/>
        </w:rPr>
        <w:t>15</w:t>
      </w:r>
      <w:r w:rsidR="00BB5004" w:rsidRPr="00781A25">
        <w:rPr>
          <w:sz w:val="22"/>
          <w:szCs w:val="22"/>
        </w:rPr>
        <w:t xml:space="preserve"> data fields </w:t>
      </w:r>
      <w:r w:rsidRPr="00781A25">
        <w:rPr>
          <w:sz w:val="22"/>
          <w:szCs w:val="22"/>
        </w:rPr>
        <w:t>(</w:t>
      </w:r>
      <w:r w:rsidRPr="0064722A">
        <w:rPr>
          <w:color w:val="76923C" w:themeColor="accent3" w:themeShade="BF"/>
          <w:sz w:val="22"/>
          <w:szCs w:val="22"/>
        </w:rPr>
        <w:t>Group 3</w:t>
      </w:r>
      <w:r w:rsidRPr="00781A25">
        <w:rPr>
          <w:sz w:val="22"/>
          <w:szCs w:val="22"/>
        </w:rPr>
        <w:t>).</w:t>
      </w:r>
      <w:r w:rsidR="00BB5004" w:rsidRPr="00781A25">
        <w:rPr>
          <w:sz w:val="22"/>
          <w:szCs w:val="22"/>
        </w:rPr>
        <w:t xml:space="preserve"> </w:t>
      </w:r>
      <w:r w:rsidR="0064722A">
        <w:rPr>
          <w:sz w:val="22"/>
          <w:szCs w:val="22"/>
        </w:rPr>
        <w:t xml:space="preserve"> </w:t>
      </w:r>
      <w:r w:rsidR="00BB5004" w:rsidRPr="00781A25">
        <w:rPr>
          <w:sz w:val="22"/>
          <w:szCs w:val="22"/>
        </w:rPr>
        <w:t>Under the “Explanation” column please select:</w:t>
      </w:r>
    </w:p>
    <w:p w:rsidR="00BB5004" w:rsidRPr="00781A25" w:rsidRDefault="00781A25" w:rsidP="00C624C8">
      <w:pPr>
        <w:pStyle w:val="BodyText"/>
        <w:numPr>
          <w:ilvl w:val="2"/>
          <w:numId w:val="7"/>
        </w:numPr>
        <w:rPr>
          <w:sz w:val="22"/>
          <w:szCs w:val="22"/>
        </w:rPr>
      </w:pPr>
      <w:r w:rsidRPr="00781A25">
        <w:rPr>
          <w:b/>
          <w:bCs/>
          <w:sz w:val="22"/>
          <w:szCs w:val="22"/>
        </w:rPr>
        <w:t>No Change</w:t>
      </w:r>
    </w:p>
    <w:p w:rsidR="00781A25" w:rsidRPr="00781A25" w:rsidRDefault="0064722A" w:rsidP="0064722A">
      <w:pPr>
        <w:pStyle w:val="BodyText"/>
        <w:spacing w:after="0"/>
        <w:rPr>
          <w:sz w:val="22"/>
          <w:szCs w:val="22"/>
        </w:rPr>
      </w:pPr>
      <w:r>
        <w:rPr>
          <w:sz w:val="22"/>
          <w:szCs w:val="22"/>
        </w:rPr>
        <w:t>I</w:t>
      </w:r>
      <w:r w:rsidR="00781A25" w:rsidRPr="00781A25">
        <w:rPr>
          <w:sz w:val="22"/>
          <w:szCs w:val="22"/>
        </w:rPr>
        <w:t>f data in (</w:t>
      </w:r>
      <w:r w:rsidR="00781A25" w:rsidRPr="0064722A">
        <w:rPr>
          <w:color w:val="548DD4" w:themeColor="text2" w:themeTint="99"/>
          <w:sz w:val="22"/>
          <w:szCs w:val="22"/>
        </w:rPr>
        <w:t>Group 1</w:t>
      </w:r>
      <w:r w:rsidR="00781A25" w:rsidRPr="00781A25">
        <w:rPr>
          <w:sz w:val="22"/>
          <w:szCs w:val="22"/>
        </w:rPr>
        <w:t>) and/or (</w:t>
      </w:r>
      <w:r w:rsidR="00781A25" w:rsidRPr="0064722A">
        <w:rPr>
          <w:color w:val="E36C0A" w:themeColor="accent6" w:themeShade="BF"/>
          <w:sz w:val="22"/>
          <w:szCs w:val="22"/>
        </w:rPr>
        <w:t>Group 2</w:t>
      </w:r>
      <w:r w:rsidR="00781A25" w:rsidRPr="00781A25">
        <w:rPr>
          <w:sz w:val="22"/>
          <w:szCs w:val="22"/>
        </w:rPr>
        <w:t xml:space="preserve">) </w:t>
      </w:r>
      <w:r w:rsidRPr="00781A25">
        <w:rPr>
          <w:sz w:val="22"/>
          <w:szCs w:val="22"/>
        </w:rPr>
        <w:t>have</w:t>
      </w:r>
      <w:r w:rsidR="00781A25" w:rsidRPr="00781A25">
        <w:rPr>
          <w:sz w:val="22"/>
          <w:szCs w:val="22"/>
        </w:rPr>
        <w:t xml:space="preserve"> </w:t>
      </w:r>
      <w:r w:rsidR="00781A25" w:rsidRPr="0064722A">
        <w:rPr>
          <w:sz w:val="22"/>
          <w:szCs w:val="22"/>
        </w:rPr>
        <w:t xml:space="preserve">changed </w:t>
      </w:r>
      <w:r w:rsidR="00781A25" w:rsidRPr="00781A25">
        <w:rPr>
          <w:sz w:val="22"/>
          <w:szCs w:val="22"/>
        </w:rPr>
        <w:t>-</w:t>
      </w:r>
      <w:r w:rsidR="00781A25" w:rsidRPr="0064722A">
        <w:rPr>
          <w:sz w:val="22"/>
          <w:szCs w:val="22"/>
        </w:rPr>
        <w:t xml:space="preserve"> </w:t>
      </w:r>
      <w:r w:rsidR="00781A25" w:rsidRPr="00781A25">
        <w:rPr>
          <w:sz w:val="22"/>
          <w:szCs w:val="22"/>
        </w:rPr>
        <w:t>update data on (</w:t>
      </w:r>
      <w:r w:rsidRPr="0064722A">
        <w:rPr>
          <w:color w:val="548DD4" w:themeColor="text2" w:themeTint="99"/>
          <w:sz w:val="22"/>
          <w:szCs w:val="22"/>
        </w:rPr>
        <w:t>Group 1</w:t>
      </w:r>
      <w:r w:rsidR="00781A25" w:rsidRPr="00781A25">
        <w:rPr>
          <w:sz w:val="22"/>
          <w:szCs w:val="22"/>
        </w:rPr>
        <w:t>) and (</w:t>
      </w:r>
      <w:r w:rsidRPr="0064722A">
        <w:rPr>
          <w:color w:val="76923C" w:themeColor="accent3" w:themeShade="BF"/>
          <w:sz w:val="22"/>
          <w:szCs w:val="22"/>
        </w:rPr>
        <w:t>Group 3</w:t>
      </w:r>
      <w:r w:rsidR="00781A25" w:rsidRPr="00781A25">
        <w:rPr>
          <w:sz w:val="22"/>
          <w:szCs w:val="22"/>
        </w:rPr>
        <w:t>).  Under the “Explanation” column please select one of the following:</w:t>
      </w:r>
    </w:p>
    <w:p w:rsidR="00BB5004" w:rsidRPr="00041046" w:rsidRDefault="00781A25" w:rsidP="00C624C8">
      <w:pPr>
        <w:pStyle w:val="BodyText"/>
        <w:numPr>
          <w:ilvl w:val="2"/>
          <w:numId w:val="8"/>
        </w:numPr>
        <w:spacing w:after="0"/>
        <w:rPr>
          <w:sz w:val="22"/>
          <w:szCs w:val="22"/>
        </w:rPr>
      </w:pPr>
      <w:r w:rsidRPr="00781A25">
        <w:rPr>
          <w:b/>
          <w:bCs/>
          <w:sz w:val="22"/>
          <w:szCs w:val="22"/>
        </w:rPr>
        <w:t>Reason Code Change</w:t>
      </w:r>
    </w:p>
    <w:p w:rsidR="00041046" w:rsidRPr="00781A25" w:rsidRDefault="00041046" w:rsidP="00C624C8">
      <w:pPr>
        <w:pStyle w:val="BodyText"/>
        <w:numPr>
          <w:ilvl w:val="2"/>
          <w:numId w:val="8"/>
        </w:numPr>
        <w:spacing w:after="0"/>
        <w:rPr>
          <w:sz w:val="22"/>
          <w:szCs w:val="22"/>
        </w:rPr>
      </w:pPr>
      <w:r>
        <w:rPr>
          <w:b/>
          <w:bCs/>
          <w:sz w:val="22"/>
          <w:szCs w:val="22"/>
        </w:rPr>
        <w:t>Function Code Change</w:t>
      </w:r>
    </w:p>
    <w:p w:rsidR="00BB5004" w:rsidRPr="00781A25" w:rsidRDefault="00781A25" w:rsidP="00C624C8">
      <w:pPr>
        <w:pStyle w:val="BodyText"/>
        <w:numPr>
          <w:ilvl w:val="2"/>
          <w:numId w:val="8"/>
        </w:numPr>
        <w:spacing w:after="0"/>
        <w:rPr>
          <w:sz w:val="22"/>
          <w:szCs w:val="22"/>
        </w:rPr>
      </w:pPr>
      <w:r w:rsidRPr="00781A25">
        <w:rPr>
          <w:b/>
          <w:bCs/>
          <w:sz w:val="22"/>
          <w:szCs w:val="22"/>
        </w:rPr>
        <w:t>More FTEs</w:t>
      </w:r>
    </w:p>
    <w:p w:rsidR="00BB5004" w:rsidRPr="00781A25" w:rsidRDefault="00781A25" w:rsidP="00C624C8">
      <w:pPr>
        <w:pStyle w:val="BodyText"/>
        <w:numPr>
          <w:ilvl w:val="2"/>
          <w:numId w:val="8"/>
        </w:numPr>
        <w:spacing w:after="0"/>
        <w:rPr>
          <w:sz w:val="22"/>
          <w:szCs w:val="22"/>
        </w:rPr>
      </w:pPr>
      <w:r w:rsidRPr="00781A25">
        <w:rPr>
          <w:b/>
          <w:bCs/>
          <w:sz w:val="22"/>
          <w:szCs w:val="22"/>
        </w:rPr>
        <w:t>Less FTEs</w:t>
      </w:r>
    </w:p>
    <w:p w:rsidR="00BB5004" w:rsidRPr="00781A25" w:rsidRDefault="00781A25" w:rsidP="00C624C8">
      <w:pPr>
        <w:pStyle w:val="BodyText"/>
        <w:numPr>
          <w:ilvl w:val="2"/>
          <w:numId w:val="8"/>
        </w:numPr>
        <w:rPr>
          <w:sz w:val="22"/>
          <w:szCs w:val="22"/>
        </w:rPr>
      </w:pPr>
      <w:r w:rsidRPr="00781A25">
        <w:rPr>
          <w:b/>
          <w:bCs/>
          <w:sz w:val="22"/>
          <w:szCs w:val="22"/>
        </w:rPr>
        <w:t>Other</w:t>
      </w:r>
    </w:p>
    <w:p w:rsidR="00BB5004" w:rsidRPr="00041046" w:rsidRDefault="00BB5004" w:rsidP="00041046">
      <w:pPr>
        <w:pStyle w:val="BodyText"/>
        <w:spacing w:after="0"/>
        <w:rPr>
          <w:sz w:val="22"/>
          <w:szCs w:val="22"/>
        </w:rPr>
      </w:pPr>
      <w:proofErr w:type="gramStart"/>
      <w:r w:rsidRPr="00041046">
        <w:rPr>
          <w:sz w:val="22"/>
          <w:szCs w:val="22"/>
        </w:rPr>
        <w:t xml:space="preserve">If you need to add new entries – input new data in </w:t>
      </w:r>
      <w:r w:rsidR="00041046" w:rsidRPr="00041046">
        <w:rPr>
          <w:sz w:val="22"/>
          <w:szCs w:val="22"/>
        </w:rPr>
        <w:t>(</w:t>
      </w:r>
      <w:r w:rsidR="00041046" w:rsidRPr="0064722A">
        <w:rPr>
          <w:color w:val="548DD4" w:themeColor="text2" w:themeTint="99"/>
          <w:sz w:val="22"/>
          <w:szCs w:val="22"/>
        </w:rPr>
        <w:t>Group 1</w:t>
      </w:r>
      <w:r w:rsidR="00041046" w:rsidRPr="00041046">
        <w:rPr>
          <w:sz w:val="22"/>
          <w:szCs w:val="22"/>
        </w:rPr>
        <w:t>)</w:t>
      </w:r>
      <w:r w:rsidRPr="00041046">
        <w:rPr>
          <w:sz w:val="22"/>
          <w:szCs w:val="22"/>
        </w:rPr>
        <w:t xml:space="preserve"> and </w:t>
      </w:r>
      <w:r w:rsidR="00041046" w:rsidRPr="00041046">
        <w:rPr>
          <w:sz w:val="22"/>
          <w:szCs w:val="22"/>
        </w:rPr>
        <w:t>(</w:t>
      </w:r>
      <w:r w:rsidR="00041046" w:rsidRPr="0064722A">
        <w:rPr>
          <w:color w:val="76923C" w:themeColor="accent3" w:themeShade="BF"/>
          <w:sz w:val="22"/>
          <w:szCs w:val="22"/>
        </w:rPr>
        <w:t>Group 3</w:t>
      </w:r>
      <w:r w:rsidR="00041046" w:rsidRPr="00041046">
        <w:rPr>
          <w:sz w:val="22"/>
          <w:szCs w:val="22"/>
        </w:rPr>
        <w:t>) at the bottom of the spreadsheet.</w:t>
      </w:r>
      <w:proofErr w:type="gramEnd"/>
      <w:r w:rsidRPr="00041046">
        <w:rPr>
          <w:sz w:val="22"/>
          <w:szCs w:val="22"/>
        </w:rPr>
        <w:t xml:space="preserve"> Under the “Explanation” column please select:</w:t>
      </w:r>
    </w:p>
    <w:p w:rsidR="00BB5004" w:rsidRPr="00041046" w:rsidRDefault="00041046" w:rsidP="00C624C8">
      <w:pPr>
        <w:pStyle w:val="BodyText"/>
        <w:numPr>
          <w:ilvl w:val="2"/>
          <w:numId w:val="7"/>
        </w:numPr>
        <w:rPr>
          <w:b/>
          <w:bCs/>
          <w:sz w:val="22"/>
          <w:szCs w:val="22"/>
        </w:rPr>
      </w:pPr>
      <w:r w:rsidRPr="00041046">
        <w:rPr>
          <w:b/>
          <w:bCs/>
          <w:sz w:val="22"/>
          <w:szCs w:val="22"/>
        </w:rPr>
        <w:t>New Entry</w:t>
      </w:r>
    </w:p>
    <w:p w:rsidR="00BB5004" w:rsidRPr="00041046" w:rsidRDefault="00041046" w:rsidP="00041046">
      <w:pPr>
        <w:pStyle w:val="BodyText"/>
        <w:ind w:left="1080"/>
        <w:rPr>
          <w:b/>
          <w:i/>
          <w:sz w:val="22"/>
          <w:szCs w:val="22"/>
        </w:rPr>
      </w:pPr>
      <w:r w:rsidRPr="00041046">
        <w:rPr>
          <w:b/>
          <w:i/>
          <w:sz w:val="22"/>
          <w:szCs w:val="22"/>
        </w:rPr>
        <w:t xml:space="preserve">Make sure that under </w:t>
      </w:r>
      <w:r w:rsidR="00BB5004" w:rsidRPr="00041046">
        <w:rPr>
          <w:b/>
          <w:i/>
          <w:sz w:val="22"/>
          <w:szCs w:val="22"/>
        </w:rPr>
        <w:t>(</w:t>
      </w:r>
      <w:r w:rsidRPr="00041046">
        <w:rPr>
          <w:b/>
          <w:i/>
          <w:color w:val="E36C0A" w:themeColor="accent6" w:themeShade="BF"/>
          <w:sz w:val="22"/>
          <w:szCs w:val="22"/>
        </w:rPr>
        <w:t>Group 2</w:t>
      </w:r>
      <w:r w:rsidR="00BB5004" w:rsidRPr="00041046">
        <w:rPr>
          <w:b/>
          <w:i/>
          <w:sz w:val="22"/>
          <w:szCs w:val="22"/>
        </w:rPr>
        <w:t>)</w:t>
      </w:r>
      <w:r w:rsidRPr="00041046">
        <w:rPr>
          <w:b/>
          <w:i/>
          <w:sz w:val="22"/>
          <w:szCs w:val="22"/>
        </w:rPr>
        <w:t>, which corresponds to FY 20</w:t>
      </w:r>
      <w:r w:rsidR="00BB5004">
        <w:rPr>
          <w:b/>
          <w:i/>
          <w:sz w:val="22"/>
          <w:szCs w:val="22"/>
        </w:rPr>
        <w:t>14</w:t>
      </w:r>
      <w:r w:rsidRPr="00041046">
        <w:rPr>
          <w:b/>
          <w:i/>
          <w:sz w:val="22"/>
          <w:szCs w:val="22"/>
        </w:rPr>
        <w:t xml:space="preserve"> data, you input </w:t>
      </w:r>
      <w:r w:rsidRPr="00041046">
        <w:rPr>
          <w:b/>
          <w:bCs/>
          <w:i/>
          <w:sz w:val="22"/>
          <w:szCs w:val="22"/>
        </w:rPr>
        <w:t>N/A</w:t>
      </w:r>
      <w:r w:rsidRPr="00041046">
        <w:rPr>
          <w:b/>
          <w:i/>
          <w:sz w:val="22"/>
          <w:szCs w:val="22"/>
        </w:rPr>
        <w:t xml:space="preserve"> on every cell.  </w:t>
      </w:r>
    </w:p>
    <w:p w:rsidR="00BB5004" w:rsidRPr="00041046" w:rsidRDefault="00041046" w:rsidP="00BB5004">
      <w:pPr>
        <w:pStyle w:val="BodyText"/>
        <w:spacing w:after="0"/>
        <w:rPr>
          <w:sz w:val="22"/>
          <w:szCs w:val="22"/>
        </w:rPr>
      </w:pPr>
      <w:r w:rsidRPr="00041046">
        <w:rPr>
          <w:sz w:val="22"/>
          <w:szCs w:val="22"/>
        </w:rPr>
        <w:t>If previous year data is non-existent in FY 20</w:t>
      </w:r>
      <w:r w:rsidR="00BB5004">
        <w:rPr>
          <w:sz w:val="22"/>
          <w:szCs w:val="22"/>
        </w:rPr>
        <w:t>14</w:t>
      </w:r>
      <w:r w:rsidRPr="00041046">
        <w:rPr>
          <w:sz w:val="22"/>
          <w:szCs w:val="22"/>
        </w:rPr>
        <w:t xml:space="preserve">, input </w:t>
      </w:r>
      <w:r w:rsidRPr="00BB5004">
        <w:rPr>
          <w:sz w:val="22"/>
          <w:szCs w:val="22"/>
        </w:rPr>
        <w:t>N/A</w:t>
      </w:r>
      <w:r w:rsidRPr="00041046">
        <w:rPr>
          <w:sz w:val="22"/>
          <w:szCs w:val="22"/>
        </w:rPr>
        <w:t xml:space="preserve"> in (</w:t>
      </w:r>
      <w:r w:rsidRPr="00BB5004">
        <w:rPr>
          <w:sz w:val="22"/>
          <w:szCs w:val="22"/>
        </w:rPr>
        <w:t>Group 3</w:t>
      </w:r>
      <w:r w:rsidRPr="00041046">
        <w:rPr>
          <w:sz w:val="22"/>
          <w:szCs w:val="22"/>
        </w:rPr>
        <w:t>) cells.  Under the “Explanation” column please select:</w:t>
      </w:r>
    </w:p>
    <w:p w:rsidR="00BB5004" w:rsidRPr="00BB5004" w:rsidRDefault="00041046" w:rsidP="00C624C8">
      <w:pPr>
        <w:pStyle w:val="BodyText"/>
        <w:numPr>
          <w:ilvl w:val="2"/>
          <w:numId w:val="7"/>
        </w:numPr>
        <w:rPr>
          <w:b/>
          <w:bCs/>
          <w:sz w:val="22"/>
          <w:szCs w:val="22"/>
        </w:rPr>
      </w:pPr>
      <w:r w:rsidRPr="00041046">
        <w:rPr>
          <w:b/>
          <w:bCs/>
          <w:sz w:val="22"/>
          <w:szCs w:val="22"/>
        </w:rPr>
        <w:t>Non-exist</w:t>
      </w:r>
      <w:r w:rsidR="00BB5004">
        <w:rPr>
          <w:b/>
          <w:bCs/>
          <w:sz w:val="22"/>
          <w:szCs w:val="22"/>
        </w:rPr>
        <w:t>ing</w:t>
      </w:r>
    </w:p>
    <w:p w:rsidR="00953DA4" w:rsidRPr="005A2646" w:rsidRDefault="00953DA4" w:rsidP="00603F1C">
      <w:pPr>
        <w:pStyle w:val="Heading2"/>
        <w:tabs>
          <w:tab w:val="left" w:pos="0"/>
        </w:tabs>
        <w:rPr>
          <w:rFonts w:asciiTheme="minorHAnsi" w:hAnsiTheme="minorHAnsi"/>
          <w:b/>
          <w:bCs/>
          <w:color w:val="333399"/>
          <w:sz w:val="28"/>
          <w:szCs w:val="28"/>
        </w:rPr>
      </w:pPr>
      <w:bookmarkStart w:id="61" w:name="_Toc416337783"/>
      <w:r w:rsidRPr="005A2646">
        <w:rPr>
          <w:rFonts w:asciiTheme="minorHAnsi" w:hAnsiTheme="minorHAnsi"/>
          <w:b/>
          <w:bCs/>
          <w:color w:val="333399"/>
          <w:sz w:val="28"/>
          <w:szCs w:val="28"/>
        </w:rPr>
        <w:t>Data fields used in the collection tool</w:t>
      </w:r>
      <w:bookmarkEnd w:id="55"/>
      <w:bookmarkEnd w:id="56"/>
      <w:bookmarkEnd w:id="57"/>
      <w:bookmarkEnd w:id="61"/>
    </w:p>
    <w:bookmarkEnd w:id="58"/>
    <w:bookmarkEnd w:id="59"/>
    <w:p w:rsidR="004B00AD" w:rsidRDefault="004B00AD" w:rsidP="004B00AD">
      <w:pPr>
        <w:pStyle w:val="BodyText"/>
        <w:rPr>
          <w:sz w:val="22"/>
          <w:szCs w:val="22"/>
        </w:rPr>
      </w:pPr>
      <w:r w:rsidRPr="00B06B29">
        <w:rPr>
          <w:sz w:val="22"/>
          <w:szCs w:val="22"/>
        </w:rPr>
        <w:t xml:space="preserve">There are a total of </w:t>
      </w:r>
      <w:r w:rsidRPr="003325F3">
        <w:t>25</w:t>
      </w:r>
      <w:r w:rsidRPr="00B06B29">
        <w:rPr>
          <w:sz w:val="22"/>
          <w:szCs w:val="22"/>
        </w:rPr>
        <w:t xml:space="preserve"> data fields in the collection tool.  Every line of data (row) must have every data field (column) completed.  The tool has drop-down lists for several data fields – just click on the cell and select your option.  If no drop-down list is available please input the corresponding data.  Below is a list of the data fields and a description for each.</w:t>
      </w:r>
    </w:p>
    <w:p w:rsidR="00BB5004" w:rsidRDefault="00BB5004" w:rsidP="004B00AD">
      <w:pPr>
        <w:pStyle w:val="BodyText"/>
        <w:rPr>
          <w:sz w:val="22"/>
          <w:szCs w:val="22"/>
        </w:rPr>
      </w:pPr>
      <w:r>
        <w:rPr>
          <w:sz w:val="22"/>
          <w:szCs w:val="22"/>
        </w:rPr>
        <w:br w:type="page"/>
      </w:r>
    </w:p>
    <w:p w:rsidR="00146E29" w:rsidRPr="005A2646" w:rsidRDefault="00032B6E" w:rsidP="00247E64">
      <w:pPr>
        <w:pStyle w:val="BodyText"/>
      </w:pPr>
      <w:r w:rsidRPr="005A2646">
        <w:rPr>
          <w:b/>
        </w:rPr>
        <w:lastRenderedPageBreak/>
        <w:t>Bureau Code</w:t>
      </w:r>
      <w:r w:rsidR="00146E29" w:rsidRPr="005A2646">
        <w:t xml:space="preserve"> = </w:t>
      </w:r>
      <w:r w:rsidR="000F160D" w:rsidRPr="005A2646">
        <w:t>Please refer to the list below.</w:t>
      </w:r>
    </w:p>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7346"/>
      </w:tblGrid>
      <w:tr w:rsidR="00603F1C" w:rsidRPr="00B06B29" w:rsidTr="006436D1">
        <w:trPr>
          <w:trHeight w:hRule="exact" w:val="321"/>
          <w:jc w:val="center"/>
        </w:trPr>
        <w:tc>
          <w:tcPr>
            <w:tcW w:w="1186" w:type="pct"/>
            <w:shd w:val="clear" w:color="auto" w:fill="333399"/>
            <w:vAlign w:val="center"/>
          </w:tcPr>
          <w:p w:rsidR="00603F1C" w:rsidRPr="00B06B29" w:rsidRDefault="00603F1C" w:rsidP="00247E64">
            <w:pPr>
              <w:pStyle w:val="BodyText"/>
              <w:rPr>
                <w:color w:val="FFFFFF" w:themeColor="background1"/>
                <w:sz w:val="22"/>
                <w:szCs w:val="22"/>
              </w:rPr>
            </w:pPr>
            <w:r w:rsidRPr="00B06B29">
              <w:rPr>
                <w:color w:val="FFFFFF" w:themeColor="background1"/>
                <w:sz w:val="22"/>
                <w:szCs w:val="22"/>
              </w:rPr>
              <w:t>019-05</w:t>
            </w:r>
          </w:p>
        </w:tc>
        <w:tc>
          <w:tcPr>
            <w:tcW w:w="3814" w:type="pct"/>
            <w:vAlign w:val="center"/>
          </w:tcPr>
          <w:p w:rsidR="00603F1C" w:rsidRPr="00B06B29" w:rsidRDefault="00603F1C" w:rsidP="00247E64">
            <w:pPr>
              <w:pStyle w:val="BodyText"/>
              <w:rPr>
                <w:sz w:val="22"/>
                <w:szCs w:val="22"/>
              </w:rPr>
            </w:pPr>
            <w:r w:rsidRPr="00B06B29">
              <w:rPr>
                <w:sz w:val="22"/>
                <w:szCs w:val="22"/>
              </w:rPr>
              <w:t>National Nuclear Security Administration</w:t>
            </w:r>
          </w:p>
        </w:tc>
      </w:tr>
      <w:tr w:rsidR="00603F1C" w:rsidRPr="00B06B29" w:rsidTr="006436D1">
        <w:trPr>
          <w:trHeight w:hRule="exact" w:val="321"/>
          <w:jc w:val="center"/>
        </w:trPr>
        <w:tc>
          <w:tcPr>
            <w:tcW w:w="1186" w:type="pct"/>
            <w:shd w:val="clear" w:color="auto" w:fill="333399"/>
            <w:vAlign w:val="center"/>
          </w:tcPr>
          <w:p w:rsidR="00603F1C" w:rsidRPr="00B06B29" w:rsidRDefault="00603F1C" w:rsidP="00247E64">
            <w:pPr>
              <w:pStyle w:val="BodyText"/>
              <w:rPr>
                <w:color w:val="FFFFFF" w:themeColor="background1"/>
                <w:sz w:val="22"/>
                <w:szCs w:val="22"/>
              </w:rPr>
            </w:pPr>
            <w:r w:rsidRPr="00B06B29">
              <w:rPr>
                <w:color w:val="FFFFFF" w:themeColor="background1"/>
                <w:sz w:val="22"/>
                <w:szCs w:val="22"/>
              </w:rPr>
              <w:t>019-10</w:t>
            </w:r>
          </w:p>
        </w:tc>
        <w:tc>
          <w:tcPr>
            <w:tcW w:w="3814" w:type="pct"/>
            <w:vAlign w:val="center"/>
          </w:tcPr>
          <w:p w:rsidR="00603F1C" w:rsidRPr="00B06B29" w:rsidRDefault="00603F1C" w:rsidP="00247E64">
            <w:pPr>
              <w:pStyle w:val="BodyText"/>
              <w:rPr>
                <w:sz w:val="22"/>
                <w:szCs w:val="22"/>
              </w:rPr>
            </w:pPr>
            <w:r w:rsidRPr="00B06B29">
              <w:rPr>
                <w:sz w:val="22"/>
                <w:szCs w:val="22"/>
              </w:rPr>
              <w:t>Environmental and Other Defense Activities</w:t>
            </w:r>
          </w:p>
        </w:tc>
      </w:tr>
      <w:tr w:rsidR="00603F1C" w:rsidRPr="00B06B29" w:rsidTr="006436D1">
        <w:trPr>
          <w:trHeight w:hRule="exact" w:val="321"/>
          <w:jc w:val="center"/>
        </w:trPr>
        <w:tc>
          <w:tcPr>
            <w:tcW w:w="1186" w:type="pct"/>
            <w:shd w:val="clear" w:color="auto" w:fill="333399"/>
            <w:vAlign w:val="center"/>
          </w:tcPr>
          <w:p w:rsidR="00603F1C" w:rsidRPr="00B06B29" w:rsidRDefault="00603F1C" w:rsidP="00247E64">
            <w:pPr>
              <w:pStyle w:val="BodyText"/>
              <w:rPr>
                <w:color w:val="FFFFFF" w:themeColor="background1"/>
                <w:sz w:val="22"/>
                <w:szCs w:val="22"/>
              </w:rPr>
            </w:pPr>
            <w:r w:rsidRPr="00B06B29">
              <w:rPr>
                <w:color w:val="FFFFFF" w:themeColor="background1"/>
                <w:sz w:val="22"/>
                <w:szCs w:val="22"/>
              </w:rPr>
              <w:t>019-20</w:t>
            </w:r>
          </w:p>
        </w:tc>
        <w:tc>
          <w:tcPr>
            <w:tcW w:w="3814" w:type="pct"/>
            <w:vAlign w:val="center"/>
          </w:tcPr>
          <w:p w:rsidR="00603F1C" w:rsidRPr="00B06B29" w:rsidRDefault="00603F1C" w:rsidP="00247E64">
            <w:pPr>
              <w:pStyle w:val="BodyText"/>
              <w:rPr>
                <w:sz w:val="22"/>
                <w:szCs w:val="22"/>
              </w:rPr>
            </w:pPr>
            <w:r w:rsidRPr="00B06B29">
              <w:rPr>
                <w:sz w:val="22"/>
                <w:szCs w:val="22"/>
              </w:rPr>
              <w:t>Energy Programs</w:t>
            </w:r>
          </w:p>
        </w:tc>
      </w:tr>
      <w:tr w:rsidR="00603F1C" w:rsidRPr="00B06B29" w:rsidTr="006436D1">
        <w:trPr>
          <w:trHeight w:hRule="exact" w:val="321"/>
          <w:jc w:val="center"/>
        </w:trPr>
        <w:tc>
          <w:tcPr>
            <w:tcW w:w="1186" w:type="pct"/>
            <w:shd w:val="clear" w:color="auto" w:fill="333399"/>
            <w:vAlign w:val="center"/>
          </w:tcPr>
          <w:p w:rsidR="00603F1C" w:rsidRPr="00B06B29" w:rsidRDefault="00603F1C" w:rsidP="00247E64">
            <w:pPr>
              <w:pStyle w:val="BodyText"/>
              <w:rPr>
                <w:color w:val="FFFFFF" w:themeColor="background1"/>
                <w:sz w:val="22"/>
                <w:szCs w:val="22"/>
              </w:rPr>
            </w:pPr>
            <w:r w:rsidRPr="00B06B29">
              <w:rPr>
                <w:color w:val="FFFFFF" w:themeColor="background1"/>
                <w:sz w:val="22"/>
                <w:szCs w:val="22"/>
              </w:rPr>
              <w:t>019-50</w:t>
            </w:r>
          </w:p>
        </w:tc>
        <w:tc>
          <w:tcPr>
            <w:tcW w:w="3814" w:type="pct"/>
            <w:vAlign w:val="center"/>
          </w:tcPr>
          <w:p w:rsidR="00603F1C" w:rsidRPr="00B06B29" w:rsidRDefault="00603F1C" w:rsidP="00247E64">
            <w:pPr>
              <w:pStyle w:val="BodyText"/>
              <w:rPr>
                <w:sz w:val="22"/>
                <w:szCs w:val="22"/>
              </w:rPr>
            </w:pPr>
            <w:r w:rsidRPr="00B06B29">
              <w:rPr>
                <w:sz w:val="22"/>
                <w:szCs w:val="22"/>
              </w:rPr>
              <w:t>Power Marketing Administration</w:t>
            </w:r>
          </w:p>
        </w:tc>
      </w:tr>
      <w:tr w:rsidR="00603F1C" w:rsidRPr="00B06B29" w:rsidTr="006436D1">
        <w:trPr>
          <w:trHeight w:hRule="exact" w:val="321"/>
          <w:jc w:val="center"/>
        </w:trPr>
        <w:tc>
          <w:tcPr>
            <w:tcW w:w="1186" w:type="pct"/>
            <w:shd w:val="clear" w:color="auto" w:fill="333399"/>
            <w:vAlign w:val="center"/>
          </w:tcPr>
          <w:p w:rsidR="00603F1C" w:rsidRPr="00B06B29" w:rsidRDefault="00603F1C" w:rsidP="00247E64">
            <w:pPr>
              <w:pStyle w:val="BodyText"/>
              <w:rPr>
                <w:color w:val="FFFFFF" w:themeColor="background1"/>
                <w:sz w:val="22"/>
                <w:szCs w:val="22"/>
              </w:rPr>
            </w:pPr>
            <w:r w:rsidRPr="00B06B29">
              <w:rPr>
                <w:color w:val="FFFFFF" w:themeColor="background1"/>
                <w:sz w:val="22"/>
                <w:szCs w:val="22"/>
              </w:rPr>
              <w:t>019-60</w:t>
            </w:r>
          </w:p>
        </w:tc>
        <w:tc>
          <w:tcPr>
            <w:tcW w:w="3814" w:type="pct"/>
            <w:vAlign w:val="center"/>
          </w:tcPr>
          <w:p w:rsidR="00603F1C" w:rsidRPr="00B06B29" w:rsidRDefault="00603F1C" w:rsidP="00247E64">
            <w:pPr>
              <w:pStyle w:val="BodyText"/>
              <w:rPr>
                <w:sz w:val="22"/>
                <w:szCs w:val="22"/>
              </w:rPr>
            </w:pPr>
            <w:r w:rsidRPr="00B06B29">
              <w:rPr>
                <w:sz w:val="22"/>
                <w:szCs w:val="22"/>
              </w:rPr>
              <w:t>Departmental Administration</w:t>
            </w:r>
          </w:p>
        </w:tc>
      </w:tr>
    </w:tbl>
    <w:p w:rsidR="00041046" w:rsidRPr="005A2646" w:rsidRDefault="00041046" w:rsidP="00247E64">
      <w:pPr>
        <w:pStyle w:val="BodyText"/>
      </w:pPr>
    </w:p>
    <w:p w:rsidR="00043FE6" w:rsidRPr="00B06B29" w:rsidRDefault="007638F8" w:rsidP="00247E64">
      <w:pPr>
        <w:pStyle w:val="BodyText"/>
        <w:rPr>
          <w:sz w:val="22"/>
          <w:szCs w:val="22"/>
        </w:rPr>
      </w:pPr>
      <w:r>
        <w:rPr>
          <w:b/>
          <w:sz w:val="22"/>
          <w:szCs w:val="22"/>
        </w:rPr>
        <w:t>Departmental E</w:t>
      </w:r>
      <w:r w:rsidR="000E6DC4">
        <w:rPr>
          <w:b/>
          <w:sz w:val="22"/>
          <w:szCs w:val="22"/>
        </w:rPr>
        <w:t>l</w:t>
      </w:r>
      <w:r>
        <w:rPr>
          <w:b/>
          <w:sz w:val="22"/>
          <w:szCs w:val="22"/>
        </w:rPr>
        <w:t>ement</w:t>
      </w:r>
      <w:r w:rsidR="008168EC" w:rsidRPr="00B06B29">
        <w:rPr>
          <w:b/>
          <w:sz w:val="22"/>
          <w:szCs w:val="22"/>
        </w:rPr>
        <w:t xml:space="preserve"> Code</w:t>
      </w:r>
      <w:r w:rsidR="00146E29" w:rsidRPr="00B06B29">
        <w:rPr>
          <w:sz w:val="22"/>
          <w:szCs w:val="22"/>
        </w:rPr>
        <w:t xml:space="preserve"> = </w:t>
      </w:r>
      <w:r w:rsidR="00043FE6" w:rsidRPr="00B06B29">
        <w:rPr>
          <w:sz w:val="22"/>
          <w:szCs w:val="22"/>
        </w:rPr>
        <w:t xml:space="preserve">Identifies the </w:t>
      </w:r>
      <w:r>
        <w:rPr>
          <w:sz w:val="22"/>
          <w:szCs w:val="22"/>
        </w:rPr>
        <w:t xml:space="preserve">Departmental Element </w:t>
      </w:r>
      <w:r w:rsidR="008168EC" w:rsidRPr="00B06B29">
        <w:rPr>
          <w:sz w:val="22"/>
          <w:szCs w:val="22"/>
        </w:rPr>
        <w:t>Code</w:t>
      </w:r>
      <w:r w:rsidR="00032B6E" w:rsidRPr="00B06B29">
        <w:rPr>
          <w:sz w:val="22"/>
          <w:szCs w:val="22"/>
        </w:rPr>
        <w:t xml:space="preserve"> the FTE belongs to</w:t>
      </w:r>
      <w:r w:rsidR="00146E29" w:rsidRPr="00B06B29">
        <w:rPr>
          <w:sz w:val="22"/>
          <w:szCs w:val="22"/>
        </w:rPr>
        <w:t>.</w:t>
      </w:r>
      <w:r w:rsidR="00032B6E" w:rsidRPr="00B06B29">
        <w:rPr>
          <w:sz w:val="22"/>
          <w:szCs w:val="22"/>
        </w:rPr>
        <w:t xml:space="preserve">  S</w:t>
      </w:r>
      <w:r w:rsidR="008168EC" w:rsidRPr="00B06B29">
        <w:rPr>
          <w:sz w:val="22"/>
          <w:szCs w:val="22"/>
        </w:rPr>
        <w:t>ub-organization codes</w:t>
      </w:r>
      <w:r w:rsidR="00C75245" w:rsidRPr="00B06B29">
        <w:rPr>
          <w:sz w:val="22"/>
          <w:szCs w:val="22"/>
        </w:rPr>
        <w:t xml:space="preserve"> </w:t>
      </w:r>
      <w:r w:rsidR="00032B6E" w:rsidRPr="00B06B29">
        <w:rPr>
          <w:sz w:val="22"/>
          <w:szCs w:val="22"/>
        </w:rPr>
        <w:t xml:space="preserve">are also included in this data field.  </w:t>
      </w:r>
    </w:p>
    <w:tbl>
      <w:tblP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7508"/>
        <w:gridCol w:w="1348"/>
      </w:tblGrid>
      <w:tr w:rsidR="003325F3" w:rsidRPr="00EC67EE" w:rsidTr="000E6DC4">
        <w:trPr>
          <w:trHeight w:val="576"/>
          <w:tblHeader/>
        </w:trPr>
        <w:tc>
          <w:tcPr>
            <w:tcW w:w="4239" w:type="pct"/>
            <w:shd w:val="clear" w:color="auto" w:fill="333399"/>
            <w:noWrap/>
            <w:vAlign w:val="center"/>
          </w:tcPr>
          <w:p w:rsidR="003325F3" w:rsidRPr="00EC67EE" w:rsidRDefault="003325F3">
            <w:pPr>
              <w:ind w:left="162" w:right="208"/>
              <w:jc w:val="center"/>
              <w:rPr>
                <w:rFonts w:asciiTheme="minorHAnsi" w:hAnsiTheme="minorHAnsi" w:cs="Arial"/>
                <w:b/>
                <w:color w:val="FFFFFF"/>
                <w:sz w:val="22"/>
                <w:szCs w:val="22"/>
              </w:rPr>
            </w:pPr>
            <w:r w:rsidRPr="00EC67EE">
              <w:rPr>
                <w:rFonts w:asciiTheme="minorHAnsi" w:hAnsiTheme="minorHAnsi" w:cs="Arial"/>
                <w:b/>
                <w:color w:val="FFFFFF"/>
                <w:sz w:val="22"/>
                <w:szCs w:val="22"/>
              </w:rPr>
              <w:t>Departmental Element</w:t>
            </w:r>
          </w:p>
        </w:tc>
        <w:tc>
          <w:tcPr>
            <w:tcW w:w="761" w:type="pct"/>
            <w:shd w:val="clear" w:color="auto" w:fill="333399"/>
            <w:noWrap/>
            <w:vAlign w:val="center"/>
          </w:tcPr>
          <w:p w:rsidR="003325F3" w:rsidRPr="00EC67EE" w:rsidRDefault="003325F3" w:rsidP="000E6DC4">
            <w:pPr>
              <w:jc w:val="center"/>
              <w:rPr>
                <w:rFonts w:asciiTheme="minorHAnsi" w:hAnsiTheme="minorHAnsi" w:cs="Arial"/>
                <w:b/>
                <w:color w:val="FFFFFF"/>
                <w:sz w:val="22"/>
                <w:szCs w:val="22"/>
              </w:rPr>
            </w:pPr>
            <w:r w:rsidRPr="00EC67EE">
              <w:rPr>
                <w:rFonts w:asciiTheme="minorHAnsi" w:hAnsiTheme="minorHAnsi" w:cs="Arial"/>
                <w:b/>
                <w:color w:val="FFFFFF"/>
                <w:sz w:val="22"/>
                <w:szCs w:val="22"/>
              </w:rPr>
              <w:t>Code</w:t>
            </w:r>
          </w:p>
        </w:tc>
      </w:tr>
      <w:tr w:rsidR="003325F3" w:rsidRPr="00EC67EE" w:rsidTr="000E6DC4">
        <w:trPr>
          <w:trHeight w:val="255"/>
        </w:trPr>
        <w:tc>
          <w:tcPr>
            <w:tcW w:w="4239" w:type="pct"/>
            <w:shd w:val="clear" w:color="auto" w:fill="auto"/>
            <w:noWrap/>
            <w:vAlign w:val="center"/>
          </w:tcPr>
          <w:p w:rsidR="003325F3" w:rsidRPr="00EC67EE" w:rsidRDefault="003325F3" w:rsidP="00BB5004">
            <w:pPr>
              <w:ind w:left="162" w:right="208"/>
              <w:rPr>
                <w:rFonts w:asciiTheme="minorHAnsi" w:hAnsiTheme="minorHAnsi" w:cs="Arial"/>
                <w:sz w:val="22"/>
                <w:szCs w:val="22"/>
              </w:rPr>
            </w:pPr>
            <w:r w:rsidRPr="00EC67EE">
              <w:rPr>
                <w:rFonts w:asciiTheme="minorHAnsi" w:hAnsiTheme="minorHAnsi" w:cs="Arial"/>
                <w:sz w:val="22"/>
                <w:szCs w:val="22"/>
              </w:rPr>
              <w:t>Office of the Secretary</w:t>
            </w:r>
          </w:p>
        </w:tc>
        <w:tc>
          <w:tcPr>
            <w:tcW w:w="761" w:type="pct"/>
            <w:shd w:val="clear" w:color="auto" w:fill="auto"/>
            <w:noWrap/>
            <w:vAlign w:val="center"/>
          </w:tcPr>
          <w:p w:rsidR="003325F3" w:rsidRPr="00EC67EE" w:rsidRDefault="003325F3" w:rsidP="005275EE">
            <w:pPr>
              <w:jc w:val="center"/>
              <w:rPr>
                <w:rFonts w:asciiTheme="minorHAnsi" w:hAnsiTheme="minorHAnsi" w:cs="Arial"/>
                <w:sz w:val="22"/>
                <w:szCs w:val="22"/>
              </w:rPr>
            </w:pPr>
            <w:r w:rsidRPr="00EC67EE">
              <w:rPr>
                <w:rFonts w:asciiTheme="minorHAnsi" w:hAnsiTheme="minorHAnsi" w:cs="Arial"/>
                <w:sz w:val="22"/>
                <w:szCs w:val="22"/>
              </w:rPr>
              <w:t>S</w:t>
            </w:r>
          </w:p>
        </w:tc>
      </w:tr>
      <w:tr w:rsidR="003325F3" w:rsidRPr="003325F3" w:rsidTr="000E6DC4">
        <w:trPr>
          <w:trHeight w:val="255"/>
        </w:trPr>
        <w:tc>
          <w:tcPr>
            <w:tcW w:w="4239" w:type="pct"/>
            <w:shd w:val="clear" w:color="auto" w:fill="auto"/>
            <w:noWrap/>
            <w:vAlign w:val="center"/>
          </w:tcPr>
          <w:p w:rsidR="003325F3" w:rsidRPr="00EC67EE" w:rsidRDefault="003325F3" w:rsidP="000E6DC4">
            <w:pPr>
              <w:ind w:left="162" w:right="208"/>
              <w:rPr>
                <w:rFonts w:asciiTheme="minorHAnsi" w:hAnsiTheme="minorHAnsi" w:cs="Arial"/>
                <w:sz w:val="22"/>
                <w:szCs w:val="22"/>
              </w:rPr>
            </w:pPr>
            <w:r w:rsidRPr="000E6DC4">
              <w:rPr>
                <w:rFonts w:asciiTheme="minorHAnsi" w:hAnsiTheme="minorHAnsi" w:cs="Arial"/>
                <w:sz w:val="22"/>
                <w:szCs w:val="22"/>
              </w:rPr>
              <w:t>Advanced Research Projects Agency – Energy (</w:t>
            </w:r>
            <w:r w:rsidRPr="00EC67EE">
              <w:rPr>
                <w:rFonts w:asciiTheme="minorHAnsi" w:hAnsiTheme="minorHAnsi" w:cs="Arial"/>
                <w:sz w:val="22"/>
                <w:szCs w:val="22"/>
              </w:rPr>
              <w:t>ARPA-E</w:t>
            </w:r>
            <w:r w:rsidRPr="000E6DC4">
              <w:rPr>
                <w:rFonts w:asciiTheme="minorHAnsi" w:hAnsiTheme="minorHAnsi" w:cs="Arial"/>
                <w:sz w:val="22"/>
                <w:szCs w:val="22"/>
              </w:rPr>
              <w:t>)</w:t>
            </w:r>
          </w:p>
        </w:tc>
        <w:tc>
          <w:tcPr>
            <w:tcW w:w="761" w:type="pct"/>
            <w:shd w:val="clear" w:color="auto" w:fill="auto"/>
            <w:noWrap/>
            <w:vAlign w:val="center"/>
          </w:tcPr>
          <w:p w:rsidR="003325F3" w:rsidRPr="00EC67EE" w:rsidRDefault="003325F3" w:rsidP="000E6DC4">
            <w:pPr>
              <w:jc w:val="center"/>
              <w:rPr>
                <w:rFonts w:asciiTheme="minorHAnsi" w:hAnsiTheme="minorHAnsi" w:cs="Arial"/>
                <w:sz w:val="22"/>
                <w:szCs w:val="22"/>
              </w:rPr>
            </w:pPr>
            <w:r w:rsidRPr="00EC67EE">
              <w:rPr>
                <w:rFonts w:asciiTheme="minorHAnsi" w:hAnsiTheme="minorHAnsi" w:cs="Arial"/>
                <w:sz w:val="22"/>
                <w:szCs w:val="22"/>
              </w:rPr>
              <w:t>AR</w:t>
            </w:r>
          </w:p>
        </w:tc>
      </w:tr>
      <w:tr w:rsidR="003325F3" w:rsidRPr="00EC67EE" w:rsidTr="000E6DC4">
        <w:trPr>
          <w:trHeight w:val="255"/>
        </w:trPr>
        <w:tc>
          <w:tcPr>
            <w:tcW w:w="4239" w:type="pct"/>
            <w:shd w:val="clear" w:color="auto" w:fill="auto"/>
            <w:noWrap/>
            <w:vAlign w:val="center"/>
          </w:tcPr>
          <w:p w:rsidR="003325F3" w:rsidRPr="00EC67EE" w:rsidRDefault="003325F3" w:rsidP="00BB5004">
            <w:pPr>
              <w:ind w:left="162" w:right="208"/>
              <w:rPr>
                <w:rFonts w:asciiTheme="minorHAnsi" w:hAnsiTheme="minorHAnsi" w:cs="Arial"/>
                <w:sz w:val="22"/>
                <w:szCs w:val="22"/>
              </w:rPr>
            </w:pPr>
            <w:r w:rsidRPr="00EC67EE">
              <w:rPr>
                <w:rFonts w:asciiTheme="minorHAnsi" w:hAnsiTheme="minorHAnsi" w:cs="Arial"/>
                <w:sz w:val="22"/>
                <w:szCs w:val="22"/>
              </w:rPr>
              <w:t>Bonneville Power Administration</w:t>
            </w:r>
          </w:p>
        </w:tc>
        <w:tc>
          <w:tcPr>
            <w:tcW w:w="761" w:type="pct"/>
            <w:shd w:val="clear" w:color="auto" w:fill="auto"/>
            <w:noWrap/>
            <w:vAlign w:val="center"/>
          </w:tcPr>
          <w:p w:rsidR="003325F3" w:rsidRPr="00EC67EE" w:rsidRDefault="003325F3" w:rsidP="005275EE">
            <w:pPr>
              <w:jc w:val="center"/>
              <w:rPr>
                <w:rFonts w:asciiTheme="minorHAnsi" w:hAnsiTheme="minorHAnsi" w:cs="Arial"/>
                <w:sz w:val="22"/>
                <w:szCs w:val="22"/>
              </w:rPr>
            </w:pPr>
            <w:r w:rsidRPr="00EC67EE">
              <w:rPr>
                <w:rFonts w:asciiTheme="minorHAnsi" w:hAnsiTheme="minorHAnsi" w:cs="Arial"/>
                <w:sz w:val="22"/>
                <w:szCs w:val="22"/>
              </w:rPr>
              <w:t>BPA</w:t>
            </w:r>
          </w:p>
        </w:tc>
      </w:tr>
      <w:tr w:rsidR="003325F3" w:rsidRPr="00EC67EE" w:rsidTr="000E6DC4">
        <w:trPr>
          <w:trHeight w:val="255"/>
        </w:trPr>
        <w:tc>
          <w:tcPr>
            <w:tcW w:w="4239" w:type="pct"/>
            <w:shd w:val="clear" w:color="auto" w:fill="auto"/>
            <w:noWrap/>
            <w:vAlign w:val="center"/>
          </w:tcPr>
          <w:p w:rsidR="003325F3" w:rsidRPr="00EC67EE" w:rsidRDefault="003325F3" w:rsidP="00BB5004">
            <w:pPr>
              <w:ind w:left="162" w:right="208"/>
              <w:rPr>
                <w:rFonts w:asciiTheme="minorHAnsi" w:hAnsiTheme="minorHAnsi" w:cs="Arial"/>
                <w:sz w:val="22"/>
                <w:szCs w:val="22"/>
              </w:rPr>
            </w:pPr>
            <w:r w:rsidRPr="00EC67EE">
              <w:rPr>
                <w:rFonts w:asciiTheme="minorHAnsi" w:hAnsiTheme="minorHAnsi" w:cs="Arial"/>
                <w:sz w:val="22"/>
                <w:szCs w:val="22"/>
              </w:rPr>
              <w:t>Chief Financial Officer</w:t>
            </w:r>
          </w:p>
        </w:tc>
        <w:tc>
          <w:tcPr>
            <w:tcW w:w="761" w:type="pct"/>
            <w:shd w:val="clear" w:color="auto" w:fill="auto"/>
            <w:noWrap/>
            <w:vAlign w:val="center"/>
          </w:tcPr>
          <w:p w:rsidR="003325F3" w:rsidRPr="00EC67EE" w:rsidRDefault="003325F3" w:rsidP="005275EE">
            <w:pPr>
              <w:jc w:val="center"/>
              <w:rPr>
                <w:rFonts w:asciiTheme="minorHAnsi" w:hAnsiTheme="minorHAnsi" w:cs="Arial"/>
                <w:sz w:val="22"/>
                <w:szCs w:val="22"/>
              </w:rPr>
            </w:pPr>
            <w:r w:rsidRPr="00EC67EE">
              <w:rPr>
                <w:rFonts w:asciiTheme="minorHAnsi" w:hAnsiTheme="minorHAnsi" w:cs="Arial"/>
                <w:sz w:val="22"/>
                <w:szCs w:val="22"/>
              </w:rPr>
              <w:t>CF</w:t>
            </w:r>
          </w:p>
        </w:tc>
      </w:tr>
      <w:tr w:rsidR="003325F3" w:rsidRPr="00EC67EE" w:rsidTr="000E6DC4">
        <w:trPr>
          <w:trHeight w:val="255"/>
        </w:trPr>
        <w:tc>
          <w:tcPr>
            <w:tcW w:w="4239" w:type="pct"/>
            <w:shd w:val="clear" w:color="auto" w:fill="auto"/>
            <w:noWrap/>
            <w:vAlign w:val="center"/>
          </w:tcPr>
          <w:p w:rsidR="003325F3" w:rsidRPr="00EC67EE" w:rsidRDefault="003325F3" w:rsidP="00BB5004">
            <w:pPr>
              <w:ind w:left="162" w:right="208"/>
              <w:rPr>
                <w:rFonts w:asciiTheme="minorHAnsi" w:hAnsiTheme="minorHAnsi" w:cs="Arial"/>
                <w:sz w:val="22"/>
                <w:szCs w:val="22"/>
              </w:rPr>
            </w:pPr>
            <w:r w:rsidRPr="00EC67EE">
              <w:rPr>
                <w:rFonts w:asciiTheme="minorHAnsi" w:hAnsiTheme="minorHAnsi" w:cs="Arial"/>
                <w:sz w:val="22"/>
                <w:szCs w:val="22"/>
              </w:rPr>
              <w:t xml:space="preserve">Chief Human Capital Officer </w:t>
            </w:r>
          </w:p>
        </w:tc>
        <w:tc>
          <w:tcPr>
            <w:tcW w:w="761" w:type="pct"/>
            <w:shd w:val="clear" w:color="auto" w:fill="auto"/>
            <w:noWrap/>
            <w:vAlign w:val="center"/>
          </w:tcPr>
          <w:p w:rsidR="003325F3" w:rsidRPr="00EC67EE" w:rsidRDefault="003325F3" w:rsidP="005275EE">
            <w:pPr>
              <w:jc w:val="center"/>
              <w:rPr>
                <w:rFonts w:asciiTheme="minorHAnsi" w:hAnsiTheme="minorHAnsi" w:cs="Arial"/>
                <w:sz w:val="22"/>
                <w:szCs w:val="22"/>
              </w:rPr>
            </w:pPr>
            <w:r w:rsidRPr="00EC67EE">
              <w:rPr>
                <w:rFonts w:asciiTheme="minorHAnsi" w:hAnsiTheme="minorHAnsi" w:cs="Arial"/>
                <w:sz w:val="22"/>
                <w:szCs w:val="22"/>
              </w:rPr>
              <w:t>HC</w:t>
            </w:r>
          </w:p>
        </w:tc>
      </w:tr>
      <w:tr w:rsidR="003325F3" w:rsidRPr="00EC67EE" w:rsidTr="000E6DC4">
        <w:trPr>
          <w:trHeight w:val="255"/>
        </w:trPr>
        <w:tc>
          <w:tcPr>
            <w:tcW w:w="4239" w:type="pct"/>
            <w:shd w:val="clear" w:color="auto" w:fill="auto"/>
            <w:noWrap/>
            <w:vAlign w:val="center"/>
          </w:tcPr>
          <w:p w:rsidR="003325F3" w:rsidRPr="00EC67EE" w:rsidRDefault="003325F3" w:rsidP="00BB5004">
            <w:pPr>
              <w:ind w:left="162" w:right="208"/>
              <w:rPr>
                <w:rFonts w:asciiTheme="minorHAnsi" w:hAnsiTheme="minorHAnsi" w:cs="Arial"/>
                <w:sz w:val="22"/>
                <w:szCs w:val="22"/>
              </w:rPr>
            </w:pPr>
            <w:r w:rsidRPr="00EC67EE">
              <w:rPr>
                <w:rFonts w:asciiTheme="minorHAnsi" w:hAnsiTheme="minorHAnsi" w:cs="Arial"/>
                <w:sz w:val="22"/>
                <w:szCs w:val="22"/>
              </w:rPr>
              <w:t>Chief Information Officer</w:t>
            </w:r>
          </w:p>
        </w:tc>
        <w:tc>
          <w:tcPr>
            <w:tcW w:w="761" w:type="pct"/>
            <w:shd w:val="clear" w:color="auto" w:fill="auto"/>
            <w:noWrap/>
            <w:vAlign w:val="center"/>
          </w:tcPr>
          <w:p w:rsidR="003325F3" w:rsidRPr="00EC67EE" w:rsidRDefault="003325F3" w:rsidP="005275EE">
            <w:pPr>
              <w:jc w:val="center"/>
              <w:rPr>
                <w:rFonts w:asciiTheme="minorHAnsi" w:hAnsiTheme="minorHAnsi" w:cs="Arial"/>
                <w:sz w:val="22"/>
                <w:szCs w:val="22"/>
              </w:rPr>
            </w:pPr>
            <w:r w:rsidRPr="00EC67EE">
              <w:rPr>
                <w:rFonts w:asciiTheme="minorHAnsi" w:hAnsiTheme="minorHAnsi" w:cs="Arial"/>
                <w:sz w:val="22"/>
                <w:szCs w:val="22"/>
              </w:rPr>
              <w:t>IM</w:t>
            </w:r>
          </w:p>
        </w:tc>
      </w:tr>
      <w:tr w:rsidR="003325F3" w:rsidRPr="00EC67EE" w:rsidTr="000E6DC4">
        <w:trPr>
          <w:trHeight w:val="255"/>
        </w:trPr>
        <w:tc>
          <w:tcPr>
            <w:tcW w:w="4239" w:type="pct"/>
            <w:shd w:val="clear" w:color="auto" w:fill="auto"/>
            <w:noWrap/>
            <w:vAlign w:val="center"/>
          </w:tcPr>
          <w:p w:rsidR="003325F3" w:rsidRPr="00EC67EE" w:rsidRDefault="003325F3" w:rsidP="00BB5004">
            <w:pPr>
              <w:ind w:left="162" w:right="208"/>
              <w:rPr>
                <w:rFonts w:asciiTheme="minorHAnsi" w:hAnsiTheme="minorHAnsi" w:cs="Arial"/>
                <w:sz w:val="22"/>
                <w:szCs w:val="22"/>
              </w:rPr>
            </w:pPr>
            <w:r w:rsidRPr="00EC67EE">
              <w:rPr>
                <w:rFonts w:asciiTheme="minorHAnsi" w:hAnsiTheme="minorHAnsi" w:cs="Arial"/>
                <w:sz w:val="22"/>
                <w:szCs w:val="22"/>
              </w:rPr>
              <w:t>Congressional &amp; Intergovernmental Affairs</w:t>
            </w:r>
          </w:p>
        </w:tc>
        <w:tc>
          <w:tcPr>
            <w:tcW w:w="761" w:type="pct"/>
            <w:shd w:val="clear" w:color="auto" w:fill="auto"/>
            <w:noWrap/>
            <w:vAlign w:val="center"/>
          </w:tcPr>
          <w:p w:rsidR="003325F3" w:rsidRPr="00EC67EE" w:rsidRDefault="003325F3" w:rsidP="005275EE">
            <w:pPr>
              <w:jc w:val="center"/>
              <w:rPr>
                <w:rFonts w:asciiTheme="minorHAnsi" w:hAnsiTheme="minorHAnsi" w:cs="Arial"/>
                <w:sz w:val="22"/>
                <w:szCs w:val="22"/>
              </w:rPr>
            </w:pPr>
            <w:r w:rsidRPr="00EC67EE">
              <w:rPr>
                <w:rFonts w:asciiTheme="minorHAnsi" w:hAnsiTheme="minorHAnsi" w:cs="Arial"/>
                <w:sz w:val="22"/>
                <w:szCs w:val="22"/>
              </w:rPr>
              <w:t>CI</w:t>
            </w:r>
          </w:p>
        </w:tc>
      </w:tr>
      <w:tr w:rsidR="003325F3" w:rsidRPr="00EC67EE" w:rsidTr="000E6DC4">
        <w:trPr>
          <w:trHeight w:val="255"/>
        </w:trPr>
        <w:tc>
          <w:tcPr>
            <w:tcW w:w="4239" w:type="pct"/>
            <w:shd w:val="clear" w:color="auto" w:fill="auto"/>
            <w:noWrap/>
            <w:vAlign w:val="center"/>
          </w:tcPr>
          <w:p w:rsidR="003325F3" w:rsidRPr="00EC67EE" w:rsidRDefault="003325F3" w:rsidP="00BB5004">
            <w:pPr>
              <w:ind w:left="162" w:right="208"/>
              <w:rPr>
                <w:rFonts w:asciiTheme="minorHAnsi" w:hAnsiTheme="minorHAnsi" w:cs="Arial"/>
                <w:sz w:val="22"/>
                <w:szCs w:val="22"/>
              </w:rPr>
            </w:pPr>
            <w:r w:rsidRPr="00EC67EE">
              <w:rPr>
                <w:rFonts w:asciiTheme="minorHAnsi" w:hAnsiTheme="minorHAnsi" w:cs="Arial"/>
                <w:sz w:val="22"/>
                <w:szCs w:val="22"/>
              </w:rPr>
              <w:t>Economic Impact and Diversity</w:t>
            </w:r>
          </w:p>
        </w:tc>
        <w:tc>
          <w:tcPr>
            <w:tcW w:w="761" w:type="pct"/>
            <w:shd w:val="clear" w:color="auto" w:fill="auto"/>
            <w:noWrap/>
            <w:vAlign w:val="center"/>
          </w:tcPr>
          <w:p w:rsidR="003325F3" w:rsidRPr="00EC67EE" w:rsidRDefault="003325F3" w:rsidP="005275EE">
            <w:pPr>
              <w:jc w:val="center"/>
              <w:rPr>
                <w:rFonts w:asciiTheme="minorHAnsi" w:hAnsiTheme="minorHAnsi" w:cs="Arial"/>
                <w:sz w:val="22"/>
                <w:szCs w:val="22"/>
              </w:rPr>
            </w:pPr>
            <w:r w:rsidRPr="00EC67EE">
              <w:rPr>
                <w:rFonts w:asciiTheme="minorHAnsi" w:hAnsiTheme="minorHAnsi" w:cs="Arial"/>
                <w:sz w:val="22"/>
                <w:szCs w:val="22"/>
              </w:rPr>
              <w:t>ED</w:t>
            </w:r>
          </w:p>
        </w:tc>
      </w:tr>
      <w:tr w:rsidR="003325F3" w:rsidRPr="00EC67EE" w:rsidTr="000E6DC4">
        <w:trPr>
          <w:trHeight w:val="255"/>
        </w:trPr>
        <w:tc>
          <w:tcPr>
            <w:tcW w:w="4239" w:type="pct"/>
            <w:shd w:val="clear" w:color="auto" w:fill="auto"/>
            <w:noWrap/>
            <w:vAlign w:val="center"/>
          </w:tcPr>
          <w:p w:rsidR="003325F3" w:rsidRPr="00EC67EE" w:rsidRDefault="003325F3" w:rsidP="00BB5004">
            <w:pPr>
              <w:ind w:left="162" w:right="208"/>
              <w:rPr>
                <w:rFonts w:asciiTheme="minorHAnsi" w:hAnsiTheme="minorHAnsi" w:cs="Arial"/>
                <w:sz w:val="22"/>
                <w:szCs w:val="22"/>
              </w:rPr>
            </w:pPr>
            <w:r w:rsidRPr="00EC67EE">
              <w:rPr>
                <w:rFonts w:asciiTheme="minorHAnsi" w:hAnsiTheme="minorHAnsi" w:cs="Arial"/>
                <w:sz w:val="22"/>
                <w:szCs w:val="22"/>
              </w:rPr>
              <w:t>Energy Efficiency and Renewable Energy</w:t>
            </w:r>
          </w:p>
        </w:tc>
        <w:tc>
          <w:tcPr>
            <w:tcW w:w="761" w:type="pct"/>
            <w:shd w:val="clear" w:color="auto" w:fill="auto"/>
            <w:noWrap/>
            <w:vAlign w:val="center"/>
          </w:tcPr>
          <w:p w:rsidR="003325F3" w:rsidRPr="00EC67EE" w:rsidRDefault="003325F3" w:rsidP="005275EE">
            <w:pPr>
              <w:jc w:val="center"/>
              <w:rPr>
                <w:rFonts w:asciiTheme="minorHAnsi" w:hAnsiTheme="minorHAnsi" w:cs="Arial"/>
                <w:sz w:val="22"/>
                <w:szCs w:val="22"/>
              </w:rPr>
            </w:pPr>
            <w:r w:rsidRPr="00EC67EE">
              <w:rPr>
                <w:rFonts w:asciiTheme="minorHAnsi" w:hAnsiTheme="minorHAnsi" w:cs="Arial"/>
                <w:sz w:val="22"/>
                <w:szCs w:val="22"/>
              </w:rPr>
              <w:t>EE</w:t>
            </w:r>
          </w:p>
        </w:tc>
      </w:tr>
      <w:tr w:rsidR="003325F3" w:rsidRPr="00EC67EE" w:rsidTr="000E6DC4">
        <w:trPr>
          <w:trHeight w:val="255"/>
        </w:trPr>
        <w:tc>
          <w:tcPr>
            <w:tcW w:w="4239" w:type="pct"/>
            <w:shd w:val="clear" w:color="auto" w:fill="auto"/>
            <w:noWrap/>
            <w:vAlign w:val="center"/>
          </w:tcPr>
          <w:p w:rsidR="003325F3" w:rsidRPr="00EC67EE" w:rsidRDefault="003325F3" w:rsidP="00BB5004">
            <w:pPr>
              <w:ind w:left="162" w:right="208"/>
              <w:rPr>
                <w:rFonts w:asciiTheme="minorHAnsi" w:hAnsiTheme="minorHAnsi" w:cs="Arial"/>
                <w:sz w:val="22"/>
                <w:szCs w:val="22"/>
              </w:rPr>
            </w:pPr>
            <w:r w:rsidRPr="00EC67EE">
              <w:rPr>
                <w:rFonts w:asciiTheme="minorHAnsi" w:hAnsiTheme="minorHAnsi" w:cs="Arial"/>
                <w:sz w:val="22"/>
                <w:szCs w:val="22"/>
              </w:rPr>
              <w:t>Energy Policy and Systems Analysis</w:t>
            </w:r>
          </w:p>
        </w:tc>
        <w:tc>
          <w:tcPr>
            <w:tcW w:w="761" w:type="pct"/>
            <w:shd w:val="clear" w:color="auto" w:fill="auto"/>
            <w:noWrap/>
            <w:vAlign w:val="center"/>
          </w:tcPr>
          <w:p w:rsidR="003325F3" w:rsidRPr="00EC67EE" w:rsidRDefault="003325F3" w:rsidP="005275EE">
            <w:pPr>
              <w:jc w:val="center"/>
              <w:rPr>
                <w:rFonts w:asciiTheme="minorHAnsi" w:hAnsiTheme="minorHAnsi" w:cs="Arial"/>
                <w:sz w:val="22"/>
                <w:szCs w:val="22"/>
              </w:rPr>
            </w:pPr>
            <w:r w:rsidRPr="00EC67EE">
              <w:rPr>
                <w:rFonts w:asciiTheme="minorHAnsi" w:hAnsiTheme="minorHAnsi" w:cs="Arial"/>
                <w:sz w:val="22"/>
                <w:szCs w:val="22"/>
              </w:rPr>
              <w:t>EPSA</w:t>
            </w:r>
          </w:p>
        </w:tc>
      </w:tr>
      <w:tr w:rsidR="003325F3" w:rsidRPr="00EC67EE" w:rsidTr="000E6DC4">
        <w:trPr>
          <w:trHeight w:val="255"/>
        </w:trPr>
        <w:tc>
          <w:tcPr>
            <w:tcW w:w="4239" w:type="pct"/>
            <w:shd w:val="clear" w:color="auto" w:fill="auto"/>
            <w:noWrap/>
            <w:vAlign w:val="center"/>
          </w:tcPr>
          <w:p w:rsidR="003325F3" w:rsidRPr="00EC67EE" w:rsidRDefault="003325F3" w:rsidP="00BB5004">
            <w:pPr>
              <w:ind w:left="162" w:right="208"/>
              <w:rPr>
                <w:rFonts w:asciiTheme="minorHAnsi" w:hAnsiTheme="minorHAnsi" w:cs="Arial"/>
                <w:sz w:val="22"/>
                <w:szCs w:val="22"/>
              </w:rPr>
            </w:pPr>
            <w:r w:rsidRPr="00EC67EE">
              <w:rPr>
                <w:rFonts w:asciiTheme="minorHAnsi" w:hAnsiTheme="minorHAnsi" w:cs="Arial"/>
                <w:sz w:val="22"/>
                <w:szCs w:val="22"/>
              </w:rPr>
              <w:t>U.S. Energy Information Administration</w:t>
            </w:r>
          </w:p>
        </w:tc>
        <w:tc>
          <w:tcPr>
            <w:tcW w:w="761" w:type="pct"/>
            <w:shd w:val="clear" w:color="auto" w:fill="auto"/>
            <w:noWrap/>
            <w:vAlign w:val="center"/>
          </w:tcPr>
          <w:p w:rsidR="003325F3" w:rsidRPr="00EC67EE" w:rsidRDefault="003325F3" w:rsidP="005275EE">
            <w:pPr>
              <w:jc w:val="center"/>
              <w:rPr>
                <w:rFonts w:asciiTheme="minorHAnsi" w:hAnsiTheme="minorHAnsi" w:cs="Arial"/>
                <w:sz w:val="22"/>
                <w:szCs w:val="22"/>
              </w:rPr>
            </w:pPr>
            <w:r w:rsidRPr="00EC67EE">
              <w:rPr>
                <w:rFonts w:asciiTheme="minorHAnsi" w:hAnsiTheme="minorHAnsi" w:cs="Arial"/>
                <w:sz w:val="22"/>
                <w:szCs w:val="22"/>
              </w:rPr>
              <w:t>EIA</w:t>
            </w:r>
          </w:p>
        </w:tc>
      </w:tr>
      <w:tr w:rsidR="003325F3" w:rsidRPr="00EC67EE" w:rsidTr="000E6DC4">
        <w:trPr>
          <w:trHeight w:val="255"/>
        </w:trPr>
        <w:tc>
          <w:tcPr>
            <w:tcW w:w="4239" w:type="pct"/>
            <w:shd w:val="clear" w:color="auto" w:fill="auto"/>
            <w:noWrap/>
            <w:vAlign w:val="center"/>
          </w:tcPr>
          <w:p w:rsidR="003325F3" w:rsidRPr="00EC67EE" w:rsidRDefault="003325F3" w:rsidP="00BB5004">
            <w:pPr>
              <w:ind w:left="162" w:right="208"/>
              <w:rPr>
                <w:rFonts w:asciiTheme="minorHAnsi" w:hAnsiTheme="minorHAnsi" w:cs="Arial"/>
                <w:sz w:val="22"/>
                <w:szCs w:val="22"/>
              </w:rPr>
            </w:pPr>
            <w:r w:rsidRPr="00EC67EE">
              <w:rPr>
                <w:rFonts w:asciiTheme="minorHAnsi" w:hAnsiTheme="minorHAnsi" w:cs="Arial"/>
                <w:sz w:val="22"/>
                <w:szCs w:val="22"/>
              </w:rPr>
              <w:t xml:space="preserve">Environment, Health, Safety &amp; Security </w:t>
            </w:r>
          </w:p>
        </w:tc>
        <w:tc>
          <w:tcPr>
            <w:tcW w:w="761" w:type="pct"/>
            <w:shd w:val="clear" w:color="auto" w:fill="auto"/>
            <w:noWrap/>
            <w:vAlign w:val="center"/>
          </w:tcPr>
          <w:p w:rsidR="003325F3" w:rsidRPr="00EC67EE" w:rsidRDefault="003325F3" w:rsidP="005275EE">
            <w:pPr>
              <w:jc w:val="center"/>
              <w:rPr>
                <w:rFonts w:asciiTheme="minorHAnsi" w:hAnsiTheme="minorHAnsi" w:cs="Arial"/>
                <w:sz w:val="22"/>
                <w:szCs w:val="22"/>
              </w:rPr>
            </w:pPr>
            <w:r w:rsidRPr="00EC67EE">
              <w:rPr>
                <w:rFonts w:asciiTheme="minorHAnsi" w:hAnsiTheme="minorHAnsi" w:cs="Arial"/>
                <w:sz w:val="22"/>
                <w:szCs w:val="22"/>
              </w:rPr>
              <w:t>AU</w:t>
            </w:r>
          </w:p>
        </w:tc>
      </w:tr>
      <w:tr w:rsidR="003325F3" w:rsidRPr="00EC67EE" w:rsidTr="000E6DC4">
        <w:trPr>
          <w:trHeight w:val="255"/>
        </w:trPr>
        <w:tc>
          <w:tcPr>
            <w:tcW w:w="4239" w:type="pct"/>
            <w:shd w:val="clear" w:color="auto" w:fill="auto"/>
            <w:noWrap/>
            <w:vAlign w:val="center"/>
          </w:tcPr>
          <w:p w:rsidR="003325F3" w:rsidRPr="00EC67EE" w:rsidRDefault="003325F3" w:rsidP="00BB5004">
            <w:pPr>
              <w:ind w:left="162" w:right="208"/>
              <w:rPr>
                <w:rFonts w:asciiTheme="minorHAnsi" w:hAnsiTheme="minorHAnsi" w:cs="Arial"/>
                <w:sz w:val="22"/>
                <w:szCs w:val="22"/>
              </w:rPr>
            </w:pPr>
            <w:r w:rsidRPr="00EC67EE">
              <w:rPr>
                <w:rFonts w:asciiTheme="minorHAnsi" w:hAnsiTheme="minorHAnsi" w:cs="Arial"/>
                <w:sz w:val="22"/>
                <w:szCs w:val="22"/>
              </w:rPr>
              <w:t>Environmental Management</w:t>
            </w:r>
          </w:p>
        </w:tc>
        <w:tc>
          <w:tcPr>
            <w:tcW w:w="761" w:type="pct"/>
            <w:shd w:val="clear" w:color="auto" w:fill="auto"/>
            <w:noWrap/>
            <w:vAlign w:val="center"/>
          </w:tcPr>
          <w:p w:rsidR="003325F3" w:rsidRPr="00EC67EE" w:rsidRDefault="003325F3" w:rsidP="005275EE">
            <w:pPr>
              <w:jc w:val="center"/>
              <w:rPr>
                <w:rFonts w:asciiTheme="minorHAnsi" w:hAnsiTheme="minorHAnsi" w:cs="Arial"/>
                <w:sz w:val="22"/>
                <w:szCs w:val="22"/>
              </w:rPr>
            </w:pPr>
            <w:r w:rsidRPr="00EC67EE">
              <w:rPr>
                <w:rFonts w:asciiTheme="minorHAnsi" w:hAnsiTheme="minorHAnsi" w:cs="Arial"/>
                <w:sz w:val="22"/>
                <w:szCs w:val="22"/>
              </w:rPr>
              <w:t>EM</w:t>
            </w:r>
          </w:p>
        </w:tc>
      </w:tr>
      <w:tr w:rsidR="003325F3" w:rsidRPr="00EC67EE" w:rsidTr="000E6DC4">
        <w:trPr>
          <w:trHeight w:val="255"/>
        </w:trPr>
        <w:tc>
          <w:tcPr>
            <w:tcW w:w="4239" w:type="pct"/>
            <w:shd w:val="clear" w:color="auto" w:fill="auto"/>
            <w:noWrap/>
            <w:vAlign w:val="center"/>
          </w:tcPr>
          <w:p w:rsidR="003325F3" w:rsidRPr="00EC67EE" w:rsidRDefault="003325F3" w:rsidP="00BB5004">
            <w:pPr>
              <w:ind w:left="162" w:right="208"/>
              <w:rPr>
                <w:rFonts w:asciiTheme="minorHAnsi" w:hAnsiTheme="minorHAnsi" w:cs="Arial"/>
                <w:sz w:val="22"/>
                <w:szCs w:val="22"/>
              </w:rPr>
            </w:pPr>
            <w:r w:rsidRPr="00EC67EE">
              <w:rPr>
                <w:rFonts w:asciiTheme="minorHAnsi" w:hAnsiTheme="minorHAnsi" w:cs="Arial"/>
                <w:sz w:val="22"/>
                <w:szCs w:val="22"/>
              </w:rPr>
              <w:t>Fossil Energy</w:t>
            </w:r>
          </w:p>
        </w:tc>
        <w:tc>
          <w:tcPr>
            <w:tcW w:w="761" w:type="pct"/>
            <w:shd w:val="clear" w:color="auto" w:fill="auto"/>
            <w:noWrap/>
            <w:vAlign w:val="center"/>
          </w:tcPr>
          <w:p w:rsidR="003325F3" w:rsidRPr="00EC67EE" w:rsidRDefault="003325F3" w:rsidP="005275EE">
            <w:pPr>
              <w:jc w:val="center"/>
              <w:rPr>
                <w:rFonts w:asciiTheme="minorHAnsi" w:hAnsiTheme="minorHAnsi" w:cs="Arial"/>
                <w:sz w:val="22"/>
                <w:szCs w:val="22"/>
              </w:rPr>
            </w:pPr>
            <w:r w:rsidRPr="00EC67EE">
              <w:rPr>
                <w:rFonts w:asciiTheme="minorHAnsi" w:hAnsiTheme="minorHAnsi" w:cs="Arial"/>
                <w:sz w:val="22"/>
                <w:szCs w:val="22"/>
              </w:rPr>
              <w:t>FE</w:t>
            </w:r>
          </w:p>
        </w:tc>
      </w:tr>
      <w:tr w:rsidR="003325F3" w:rsidRPr="00EC67EE" w:rsidTr="000E6DC4">
        <w:trPr>
          <w:trHeight w:val="255"/>
        </w:trPr>
        <w:tc>
          <w:tcPr>
            <w:tcW w:w="4239" w:type="pct"/>
            <w:shd w:val="clear" w:color="auto" w:fill="auto"/>
            <w:noWrap/>
            <w:vAlign w:val="center"/>
          </w:tcPr>
          <w:p w:rsidR="003325F3" w:rsidRPr="00EC67EE" w:rsidRDefault="003325F3" w:rsidP="00BB5004">
            <w:pPr>
              <w:ind w:left="162" w:right="208"/>
              <w:rPr>
                <w:rFonts w:asciiTheme="minorHAnsi" w:hAnsiTheme="minorHAnsi" w:cs="Arial"/>
                <w:sz w:val="22"/>
                <w:szCs w:val="22"/>
              </w:rPr>
            </w:pPr>
            <w:r w:rsidRPr="00EC67EE">
              <w:rPr>
                <w:rFonts w:asciiTheme="minorHAnsi" w:hAnsiTheme="minorHAnsi" w:cs="Arial"/>
                <w:sz w:val="22"/>
                <w:szCs w:val="22"/>
              </w:rPr>
              <w:t>General Counsel</w:t>
            </w:r>
          </w:p>
        </w:tc>
        <w:tc>
          <w:tcPr>
            <w:tcW w:w="761" w:type="pct"/>
            <w:shd w:val="clear" w:color="auto" w:fill="auto"/>
            <w:noWrap/>
            <w:vAlign w:val="center"/>
          </w:tcPr>
          <w:p w:rsidR="003325F3" w:rsidRPr="00EC67EE" w:rsidRDefault="003325F3" w:rsidP="005275EE">
            <w:pPr>
              <w:jc w:val="center"/>
              <w:rPr>
                <w:rFonts w:asciiTheme="minorHAnsi" w:hAnsiTheme="minorHAnsi" w:cs="Arial"/>
                <w:sz w:val="22"/>
                <w:szCs w:val="22"/>
              </w:rPr>
            </w:pPr>
            <w:r w:rsidRPr="00EC67EE">
              <w:rPr>
                <w:rFonts w:asciiTheme="minorHAnsi" w:hAnsiTheme="minorHAnsi" w:cs="Arial"/>
                <w:sz w:val="22"/>
                <w:szCs w:val="22"/>
              </w:rPr>
              <w:t>GC</w:t>
            </w:r>
          </w:p>
        </w:tc>
      </w:tr>
      <w:tr w:rsidR="003325F3" w:rsidRPr="00EC67EE" w:rsidTr="000E6DC4">
        <w:trPr>
          <w:trHeight w:val="255"/>
        </w:trPr>
        <w:tc>
          <w:tcPr>
            <w:tcW w:w="4239" w:type="pct"/>
            <w:shd w:val="clear" w:color="auto" w:fill="auto"/>
            <w:noWrap/>
            <w:vAlign w:val="center"/>
          </w:tcPr>
          <w:p w:rsidR="003325F3" w:rsidRPr="00EC67EE" w:rsidRDefault="003325F3" w:rsidP="00BB5004">
            <w:pPr>
              <w:ind w:left="162" w:right="208"/>
              <w:rPr>
                <w:rFonts w:asciiTheme="minorHAnsi" w:hAnsiTheme="minorHAnsi" w:cs="Arial"/>
                <w:sz w:val="22"/>
                <w:szCs w:val="22"/>
              </w:rPr>
            </w:pPr>
            <w:r w:rsidRPr="00EC67EE">
              <w:rPr>
                <w:rFonts w:asciiTheme="minorHAnsi" w:hAnsiTheme="minorHAnsi" w:cs="Arial"/>
                <w:sz w:val="22"/>
                <w:szCs w:val="22"/>
              </w:rPr>
              <w:t>Independent Enterprise Assessment</w:t>
            </w:r>
          </w:p>
        </w:tc>
        <w:tc>
          <w:tcPr>
            <w:tcW w:w="761" w:type="pct"/>
            <w:shd w:val="clear" w:color="auto" w:fill="auto"/>
            <w:noWrap/>
            <w:vAlign w:val="center"/>
          </w:tcPr>
          <w:p w:rsidR="003325F3" w:rsidRPr="00EC67EE" w:rsidRDefault="003325F3" w:rsidP="005275EE">
            <w:pPr>
              <w:jc w:val="center"/>
              <w:rPr>
                <w:rFonts w:asciiTheme="minorHAnsi" w:hAnsiTheme="minorHAnsi" w:cs="Arial"/>
                <w:sz w:val="22"/>
                <w:szCs w:val="22"/>
              </w:rPr>
            </w:pPr>
            <w:r w:rsidRPr="00EC67EE">
              <w:rPr>
                <w:rFonts w:asciiTheme="minorHAnsi" w:hAnsiTheme="minorHAnsi" w:cs="Arial"/>
                <w:sz w:val="22"/>
                <w:szCs w:val="22"/>
              </w:rPr>
              <w:t>EA</w:t>
            </w:r>
          </w:p>
        </w:tc>
      </w:tr>
      <w:tr w:rsidR="003325F3" w:rsidRPr="00EC67EE" w:rsidTr="000E6DC4">
        <w:trPr>
          <w:trHeight w:val="255"/>
        </w:trPr>
        <w:tc>
          <w:tcPr>
            <w:tcW w:w="4239" w:type="pct"/>
            <w:shd w:val="clear" w:color="auto" w:fill="auto"/>
            <w:noWrap/>
            <w:vAlign w:val="center"/>
          </w:tcPr>
          <w:p w:rsidR="003325F3" w:rsidRPr="00EC67EE" w:rsidRDefault="003325F3" w:rsidP="00BB5004">
            <w:pPr>
              <w:ind w:left="162" w:right="208"/>
              <w:rPr>
                <w:rFonts w:asciiTheme="minorHAnsi" w:hAnsiTheme="minorHAnsi" w:cs="Arial"/>
                <w:sz w:val="22"/>
                <w:szCs w:val="22"/>
              </w:rPr>
            </w:pPr>
            <w:r w:rsidRPr="00EC67EE">
              <w:rPr>
                <w:rFonts w:asciiTheme="minorHAnsi" w:hAnsiTheme="minorHAnsi" w:cs="Arial"/>
                <w:sz w:val="22"/>
                <w:szCs w:val="22"/>
              </w:rPr>
              <w:t>Indian Energy Policy &amp; Programs</w:t>
            </w:r>
          </w:p>
        </w:tc>
        <w:tc>
          <w:tcPr>
            <w:tcW w:w="761" w:type="pct"/>
            <w:shd w:val="clear" w:color="auto" w:fill="auto"/>
            <w:noWrap/>
            <w:vAlign w:val="center"/>
          </w:tcPr>
          <w:p w:rsidR="003325F3" w:rsidRPr="00EC67EE" w:rsidRDefault="003325F3" w:rsidP="005275EE">
            <w:pPr>
              <w:jc w:val="center"/>
              <w:rPr>
                <w:rFonts w:asciiTheme="minorHAnsi" w:hAnsiTheme="minorHAnsi" w:cs="Arial"/>
                <w:sz w:val="22"/>
                <w:szCs w:val="22"/>
              </w:rPr>
            </w:pPr>
            <w:r w:rsidRPr="00EC67EE">
              <w:rPr>
                <w:rFonts w:asciiTheme="minorHAnsi" w:hAnsiTheme="minorHAnsi" w:cs="Arial"/>
                <w:sz w:val="22"/>
                <w:szCs w:val="22"/>
              </w:rPr>
              <w:t>IE</w:t>
            </w:r>
          </w:p>
        </w:tc>
      </w:tr>
      <w:tr w:rsidR="003325F3" w:rsidRPr="00EC67EE" w:rsidTr="000E6DC4">
        <w:trPr>
          <w:trHeight w:val="255"/>
        </w:trPr>
        <w:tc>
          <w:tcPr>
            <w:tcW w:w="4239" w:type="pct"/>
            <w:shd w:val="clear" w:color="auto" w:fill="auto"/>
            <w:noWrap/>
            <w:vAlign w:val="center"/>
          </w:tcPr>
          <w:p w:rsidR="003325F3" w:rsidRPr="00EC67EE" w:rsidRDefault="003325F3" w:rsidP="00BB5004">
            <w:pPr>
              <w:ind w:left="162" w:right="208"/>
              <w:rPr>
                <w:rFonts w:asciiTheme="minorHAnsi" w:hAnsiTheme="minorHAnsi" w:cs="Arial"/>
                <w:sz w:val="22"/>
                <w:szCs w:val="22"/>
              </w:rPr>
            </w:pPr>
            <w:r w:rsidRPr="00EC67EE">
              <w:rPr>
                <w:rFonts w:asciiTheme="minorHAnsi" w:hAnsiTheme="minorHAnsi" w:cs="Arial"/>
                <w:sz w:val="22"/>
                <w:szCs w:val="22"/>
              </w:rPr>
              <w:t>International Affairs</w:t>
            </w:r>
          </w:p>
        </w:tc>
        <w:tc>
          <w:tcPr>
            <w:tcW w:w="761" w:type="pct"/>
            <w:shd w:val="clear" w:color="auto" w:fill="auto"/>
            <w:noWrap/>
            <w:vAlign w:val="center"/>
          </w:tcPr>
          <w:p w:rsidR="003325F3" w:rsidRPr="00EC67EE" w:rsidRDefault="003325F3" w:rsidP="005275EE">
            <w:pPr>
              <w:jc w:val="center"/>
              <w:rPr>
                <w:rFonts w:asciiTheme="minorHAnsi" w:hAnsiTheme="minorHAnsi" w:cs="Arial"/>
                <w:sz w:val="22"/>
                <w:szCs w:val="22"/>
              </w:rPr>
            </w:pPr>
            <w:r w:rsidRPr="00EC67EE">
              <w:rPr>
                <w:rFonts w:asciiTheme="minorHAnsi" w:hAnsiTheme="minorHAnsi" w:cs="Arial"/>
                <w:sz w:val="22"/>
                <w:szCs w:val="22"/>
              </w:rPr>
              <w:t>IA</w:t>
            </w:r>
          </w:p>
        </w:tc>
      </w:tr>
      <w:tr w:rsidR="003325F3" w:rsidRPr="00EC67EE" w:rsidTr="000E6DC4">
        <w:trPr>
          <w:trHeight w:val="255"/>
        </w:trPr>
        <w:tc>
          <w:tcPr>
            <w:tcW w:w="4239" w:type="pct"/>
            <w:shd w:val="clear" w:color="auto" w:fill="auto"/>
            <w:noWrap/>
            <w:vAlign w:val="center"/>
          </w:tcPr>
          <w:p w:rsidR="003325F3" w:rsidRPr="00EC67EE" w:rsidRDefault="003325F3" w:rsidP="00BB5004">
            <w:pPr>
              <w:ind w:left="162" w:right="208"/>
              <w:rPr>
                <w:rFonts w:asciiTheme="minorHAnsi" w:hAnsiTheme="minorHAnsi" w:cs="Arial"/>
                <w:sz w:val="22"/>
                <w:szCs w:val="22"/>
              </w:rPr>
            </w:pPr>
            <w:r w:rsidRPr="00EC67EE">
              <w:rPr>
                <w:rFonts w:asciiTheme="minorHAnsi" w:hAnsiTheme="minorHAnsi" w:cs="Arial"/>
                <w:sz w:val="22"/>
                <w:szCs w:val="22"/>
              </w:rPr>
              <w:t>Hearings And Appeals</w:t>
            </w:r>
          </w:p>
        </w:tc>
        <w:tc>
          <w:tcPr>
            <w:tcW w:w="761" w:type="pct"/>
            <w:shd w:val="clear" w:color="auto" w:fill="auto"/>
            <w:noWrap/>
            <w:vAlign w:val="center"/>
          </w:tcPr>
          <w:p w:rsidR="003325F3" w:rsidRPr="00EC67EE" w:rsidRDefault="003325F3" w:rsidP="005275EE">
            <w:pPr>
              <w:jc w:val="center"/>
              <w:rPr>
                <w:rFonts w:asciiTheme="minorHAnsi" w:hAnsiTheme="minorHAnsi" w:cs="Arial"/>
                <w:sz w:val="22"/>
                <w:szCs w:val="22"/>
              </w:rPr>
            </w:pPr>
            <w:r w:rsidRPr="00EC67EE">
              <w:rPr>
                <w:rFonts w:asciiTheme="minorHAnsi" w:hAnsiTheme="minorHAnsi" w:cs="Arial"/>
                <w:sz w:val="22"/>
                <w:szCs w:val="22"/>
              </w:rPr>
              <w:t>HG</w:t>
            </w:r>
          </w:p>
        </w:tc>
      </w:tr>
      <w:tr w:rsidR="003325F3" w:rsidRPr="00EC67EE" w:rsidTr="000E6DC4">
        <w:trPr>
          <w:trHeight w:val="255"/>
        </w:trPr>
        <w:tc>
          <w:tcPr>
            <w:tcW w:w="4239" w:type="pct"/>
            <w:shd w:val="clear" w:color="auto" w:fill="auto"/>
            <w:noWrap/>
            <w:vAlign w:val="center"/>
          </w:tcPr>
          <w:p w:rsidR="003325F3" w:rsidRPr="00EC67EE" w:rsidRDefault="003325F3" w:rsidP="00BB5004">
            <w:pPr>
              <w:ind w:left="162" w:right="208"/>
              <w:rPr>
                <w:rFonts w:asciiTheme="minorHAnsi" w:hAnsiTheme="minorHAnsi" w:cs="Arial"/>
                <w:sz w:val="22"/>
                <w:szCs w:val="22"/>
              </w:rPr>
            </w:pPr>
            <w:r w:rsidRPr="00EC67EE">
              <w:rPr>
                <w:rFonts w:asciiTheme="minorHAnsi" w:hAnsiTheme="minorHAnsi" w:cs="Arial"/>
                <w:sz w:val="22"/>
                <w:szCs w:val="22"/>
              </w:rPr>
              <w:t>Inspector General</w:t>
            </w:r>
          </w:p>
        </w:tc>
        <w:tc>
          <w:tcPr>
            <w:tcW w:w="761" w:type="pct"/>
            <w:shd w:val="clear" w:color="auto" w:fill="auto"/>
            <w:noWrap/>
            <w:vAlign w:val="center"/>
          </w:tcPr>
          <w:p w:rsidR="003325F3" w:rsidRPr="00EC67EE" w:rsidRDefault="003325F3" w:rsidP="005275EE">
            <w:pPr>
              <w:jc w:val="center"/>
              <w:rPr>
                <w:rFonts w:asciiTheme="minorHAnsi" w:hAnsiTheme="minorHAnsi" w:cs="Arial"/>
                <w:sz w:val="22"/>
                <w:szCs w:val="22"/>
              </w:rPr>
            </w:pPr>
            <w:r w:rsidRPr="00EC67EE">
              <w:rPr>
                <w:rFonts w:asciiTheme="minorHAnsi" w:hAnsiTheme="minorHAnsi" w:cs="Arial"/>
                <w:sz w:val="22"/>
                <w:szCs w:val="22"/>
              </w:rPr>
              <w:t>IG</w:t>
            </w:r>
          </w:p>
        </w:tc>
      </w:tr>
      <w:tr w:rsidR="003325F3" w:rsidRPr="00EC67EE" w:rsidTr="000E6DC4">
        <w:trPr>
          <w:trHeight w:val="255"/>
        </w:trPr>
        <w:tc>
          <w:tcPr>
            <w:tcW w:w="4239" w:type="pct"/>
            <w:shd w:val="clear" w:color="auto" w:fill="auto"/>
            <w:noWrap/>
            <w:vAlign w:val="center"/>
          </w:tcPr>
          <w:p w:rsidR="003325F3" w:rsidRPr="00EC67EE" w:rsidRDefault="003325F3" w:rsidP="00BB5004">
            <w:pPr>
              <w:ind w:left="162" w:right="208"/>
              <w:rPr>
                <w:rFonts w:asciiTheme="minorHAnsi" w:hAnsiTheme="minorHAnsi" w:cs="Arial"/>
                <w:sz w:val="22"/>
                <w:szCs w:val="22"/>
              </w:rPr>
            </w:pPr>
            <w:r w:rsidRPr="00EC67EE">
              <w:rPr>
                <w:rFonts w:asciiTheme="minorHAnsi" w:hAnsiTheme="minorHAnsi" w:cs="Arial"/>
                <w:sz w:val="22"/>
                <w:szCs w:val="22"/>
              </w:rPr>
              <w:t>Intelligence &amp; Counterintelligence</w:t>
            </w:r>
          </w:p>
        </w:tc>
        <w:tc>
          <w:tcPr>
            <w:tcW w:w="761" w:type="pct"/>
            <w:shd w:val="clear" w:color="auto" w:fill="auto"/>
            <w:noWrap/>
            <w:vAlign w:val="center"/>
          </w:tcPr>
          <w:p w:rsidR="003325F3" w:rsidRPr="00EC67EE" w:rsidRDefault="003325F3" w:rsidP="005275EE">
            <w:pPr>
              <w:jc w:val="center"/>
              <w:rPr>
                <w:rFonts w:asciiTheme="minorHAnsi" w:hAnsiTheme="minorHAnsi" w:cs="Arial"/>
                <w:sz w:val="22"/>
                <w:szCs w:val="22"/>
              </w:rPr>
            </w:pPr>
            <w:r w:rsidRPr="00EC67EE">
              <w:rPr>
                <w:rFonts w:asciiTheme="minorHAnsi" w:hAnsiTheme="minorHAnsi" w:cs="Arial"/>
                <w:sz w:val="22"/>
                <w:szCs w:val="22"/>
              </w:rPr>
              <w:t>IN</w:t>
            </w:r>
          </w:p>
        </w:tc>
      </w:tr>
      <w:tr w:rsidR="003325F3" w:rsidRPr="00EC67EE" w:rsidTr="000E6DC4">
        <w:trPr>
          <w:trHeight w:val="255"/>
        </w:trPr>
        <w:tc>
          <w:tcPr>
            <w:tcW w:w="4239" w:type="pct"/>
            <w:shd w:val="clear" w:color="auto" w:fill="auto"/>
            <w:noWrap/>
            <w:vAlign w:val="center"/>
          </w:tcPr>
          <w:p w:rsidR="003325F3" w:rsidRPr="00EC67EE" w:rsidRDefault="003325F3" w:rsidP="00BB5004">
            <w:pPr>
              <w:ind w:left="162" w:right="208"/>
              <w:rPr>
                <w:rFonts w:asciiTheme="minorHAnsi" w:hAnsiTheme="minorHAnsi" w:cs="Arial"/>
                <w:sz w:val="22"/>
                <w:szCs w:val="22"/>
              </w:rPr>
            </w:pPr>
            <w:r w:rsidRPr="00EC67EE">
              <w:rPr>
                <w:rFonts w:asciiTheme="minorHAnsi" w:hAnsiTheme="minorHAnsi" w:cs="Arial"/>
                <w:sz w:val="22"/>
                <w:szCs w:val="22"/>
              </w:rPr>
              <w:t>Loan Programs Office</w:t>
            </w:r>
          </w:p>
        </w:tc>
        <w:tc>
          <w:tcPr>
            <w:tcW w:w="761" w:type="pct"/>
            <w:shd w:val="clear" w:color="auto" w:fill="auto"/>
            <w:noWrap/>
            <w:vAlign w:val="center"/>
          </w:tcPr>
          <w:p w:rsidR="003325F3" w:rsidRPr="00EC67EE" w:rsidRDefault="003325F3" w:rsidP="005275EE">
            <w:pPr>
              <w:jc w:val="center"/>
              <w:rPr>
                <w:rFonts w:asciiTheme="minorHAnsi" w:hAnsiTheme="minorHAnsi" w:cs="Arial"/>
                <w:sz w:val="22"/>
                <w:szCs w:val="22"/>
              </w:rPr>
            </w:pPr>
            <w:r w:rsidRPr="00EC67EE">
              <w:rPr>
                <w:rFonts w:asciiTheme="minorHAnsi" w:hAnsiTheme="minorHAnsi" w:cs="Arial"/>
                <w:sz w:val="22"/>
                <w:szCs w:val="22"/>
              </w:rPr>
              <w:t>LP</w:t>
            </w:r>
          </w:p>
        </w:tc>
      </w:tr>
      <w:tr w:rsidR="003325F3" w:rsidRPr="00EC67EE" w:rsidTr="000E6DC4">
        <w:trPr>
          <w:trHeight w:val="255"/>
        </w:trPr>
        <w:tc>
          <w:tcPr>
            <w:tcW w:w="4239" w:type="pct"/>
            <w:shd w:val="clear" w:color="auto" w:fill="auto"/>
            <w:noWrap/>
            <w:vAlign w:val="center"/>
          </w:tcPr>
          <w:p w:rsidR="003325F3" w:rsidRPr="00EC67EE" w:rsidRDefault="003325F3" w:rsidP="00BB5004">
            <w:pPr>
              <w:ind w:left="162" w:right="208"/>
              <w:rPr>
                <w:rFonts w:asciiTheme="minorHAnsi" w:hAnsiTheme="minorHAnsi" w:cs="Arial"/>
                <w:sz w:val="22"/>
                <w:szCs w:val="22"/>
              </w:rPr>
            </w:pPr>
            <w:r w:rsidRPr="00EC67EE">
              <w:rPr>
                <w:rFonts w:asciiTheme="minorHAnsi" w:hAnsiTheme="minorHAnsi" w:cs="Arial"/>
                <w:sz w:val="22"/>
                <w:szCs w:val="22"/>
              </w:rPr>
              <w:t>Nuclear Energy</w:t>
            </w:r>
          </w:p>
        </w:tc>
        <w:tc>
          <w:tcPr>
            <w:tcW w:w="761" w:type="pct"/>
            <w:shd w:val="clear" w:color="auto" w:fill="auto"/>
            <w:noWrap/>
            <w:vAlign w:val="center"/>
          </w:tcPr>
          <w:p w:rsidR="003325F3" w:rsidRPr="00EC67EE" w:rsidRDefault="003325F3" w:rsidP="005275EE">
            <w:pPr>
              <w:jc w:val="center"/>
              <w:rPr>
                <w:rFonts w:asciiTheme="minorHAnsi" w:hAnsiTheme="minorHAnsi" w:cs="Arial"/>
                <w:sz w:val="22"/>
                <w:szCs w:val="22"/>
              </w:rPr>
            </w:pPr>
            <w:r w:rsidRPr="00EC67EE">
              <w:rPr>
                <w:rFonts w:asciiTheme="minorHAnsi" w:hAnsiTheme="minorHAnsi" w:cs="Arial"/>
                <w:sz w:val="22"/>
                <w:szCs w:val="22"/>
              </w:rPr>
              <w:t>NE</w:t>
            </w:r>
          </w:p>
        </w:tc>
      </w:tr>
      <w:tr w:rsidR="003325F3" w:rsidRPr="00EC67EE" w:rsidTr="000E6DC4">
        <w:trPr>
          <w:trHeight w:val="255"/>
        </w:trPr>
        <w:tc>
          <w:tcPr>
            <w:tcW w:w="4239" w:type="pct"/>
            <w:shd w:val="clear" w:color="auto" w:fill="auto"/>
            <w:noWrap/>
            <w:vAlign w:val="center"/>
          </w:tcPr>
          <w:p w:rsidR="003325F3" w:rsidRPr="00EC67EE" w:rsidRDefault="003325F3" w:rsidP="00BB5004">
            <w:pPr>
              <w:ind w:left="162" w:right="208"/>
              <w:rPr>
                <w:rFonts w:asciiTheme="minorHAnsi" w:hAnsiTheme="minorHAnsi" w:cs="Arial"/>
                <w:sz w:val="22"/>
                <w:szCs w:val="22"/>
              </w:rPr>
            </w:pPr>
            <w:r w:rsidRPr="00EC67EE">
              <w:rPr>
                <w:rFonts w:asciiTheme="minorHAnsi" w:hAnsiTheme="minorHAnsi" w:cs="Arial"/>
                <w:sz w:val="22"/>
                <w:szCs w:val="22"/>
              </w:rPr>
              <w:t>Electricity Delivery and Energy Reliability</w:t>
            </w:r>
          </w:p>
        </w:tc>
        <w:tc>
          <w:tcPr>
            <w:tcW w:w="761" w:type="pct"/>
            <w:shd w:val="clear" w:color="auto" w:fill="auto"/>
            <w:noWrap/>
            <w:vAlign w:val="center"/>
          </w:tcPr>
          <w:p w:rsidR="003325F3" w:rsidRPr="00EC67EE" w:rsidRDefault="003325F3" w:rsidP="005275EE">
            <w:pPr>
              <w:jc w:val="center"/>
              <w:rPr>
                <w:rFonts w:asciiTheme="minorHAnsi" w:hAnsiTheme="minorHAnsi" w:cs="Arial"/>
                <w:sz w:val="22"/>
                <w:szCs w:val="22"/>
              </w:rPr>
            </w:pPr>
            <w:r w:rsidRPr="00EC67EE">
              <w:rPr>
                <w:rFonts w:asciiTheme="minorHAnsi" w:hAnsiTheme="minorHAnsi" w:cs="Arial"/>
                <w:sz w:val="22"/>
                <w:szCs w:val="22"/>
              </w:rPr>
              <w:t>OE</w:t>
            </w:r>
          </w:p>
        </w:tc>
      </w:tr>
      <w:tr w:rsidR="003325F3" w:rsidRPr="00EC67EE" w:rsidTr="000E6DC4">
        <w:trPr>
          <w:trHeight w:val="255"/>
        </w:trPr>
        <w:tc>
          <w:tcPr>
            <w:tcW w:w="4239" w:type="pct"/>
            <w:shd w:val="clear" w:color="auto" w:fill="auto"/>
            <w:noWrap/>
            <w:vAlign w:val="center"/>
          </w:tcPr>
          <w:p w:rsidR="003325F3" w:rsidRPr="00EC67EE" w:rsidRDefault="003325F3" w:rsidP="00BB5004">
            <w:pPr>
              <w:ind w:left="162" w:right="208"/>
              <w:rPr>
                <w:rFonts w:asciiTheme="minorHAnsi" w:hAnsiTheme="minorHAnsi" w:cs="Arial"/>
                <w:sz w:val="22"/>
                <w:szCs w:val="22"/>
              </w:rPr>
            </w:pPr>
            <w:r w:rsidRPr="00EC67EE">
              <w:rPr>
                <w:rFonts w:asciiTheme="minorHAnsi" w:hAnsiTheme="minorHAnsi" w:cs="Arial"/>
                <w:sz w:val="22"/>
                <w:szCs w:val="22"/>
              </w:rPr>
              <w:t>Legacy Management</w:t>
            </w:r>
          </w:p>
        </w:tc>
        <w:tc>
          <w:tcPr>
            <w:tcW w:w="761" w:type="pct"/>
            <w:shd w:val="clear" w:color="auto" w:fill="auto"/>
            <w:noWrap/>
            <w:vAlign w:val="center"/>
          </w:tcPr>
          <w:p w:rsidR="003325F3" w:rsidRPr="00EC67EE" w:rsidRDefault="003325F3" w:rsidP="005275EE">
            <w:pPr>
              <w:jc w:val="center"/>
              <w:rPr>
                <w:rFonts w:asciiTheme="minorHAnsi" w:hAnsiTheme="minorHAnsi" w:cs="Arial"/>
                <w:sz w:val="22"/>
                <w:szCs w:val="22"/>
              </w:rPr>
            </w:pPr>
            <w:r w:rsidRPr="00EC67EE">
              <w:rPr>
                <w:rFonts w:asciiTheme="minorHAnsi" w:hAnsiTheme="minorHAnsi" w:cs="Arial"/>
                <w:sz w:val="22"/>
                <w:szCs w:val="22"/>
              </w:rPr>
              <w:t>LM</w:t>
            </w:r>
          </w:p>
        </w:tc>
      </w:tr>
      <w:tr w:rsidR="003325F3" w:rsidRPr="00EC67EE" w:rsidTr="000E6DC4">
        <w:trPr>
          <w:trHeight w:val="255"/>
        </w:trPr>
        <w:tc>
          <w:tcPr>
            <w:tcW w:w="4239" w:type="pct"/>
            <w:shd w:val="clear" w:color="auto" w:fill="auto"/>
            <w:noWrap/>
            <w:vAlign w:val="center"/>
          </w:tcPr>
          <w:p w:rsidR="003325F3" w:rsidRPr="00EC67EE" w:rsidRDefault="003325F3" w:rsidP="00BB5004">
            <w:pPr>
              <w:ind w:left="162" w:right="208"/>
              <w:rPr>
                <w:rFonts w:asciiTheme="minorHAnsi" w:hAnsiTheme="minorHAnsi" w:cs="Arial"/>
                <w:sz w:val="22"/>
                <w:szCs w:val="22"/>
              </w:rPr>
            </w:pPr>
            <w:r w:rsidRPr="00EC67EE">
              <w:rPr>
                <w:rFonts w:asciiTheme="minorHAnsi" w:hAnsiTheme="minorHAnsi" w:cs="Arial"/>
                <w:sz w:val="22"/>
                <w:szCs w:val="22"/>
              </w:rPr>
              <w:t>Management</w:t>
            </w:r>
          </w:p>
        </w:tc>
        <w:tc>
          <w:tcPr>
            <w:tcW w:w="761" w:type="pct"/>
            <w:shd w:val="clear" w:color="auto" w:fill="auto"/>
            <w:noWrap/>
            <w:vAlign w:val="center"/>
          </w:tcPr>
          <w:p w:rsidR="003325F3" w:rsidRPr="00EC67EE" w:rsidRDefault="003325F3" w:rsidP="005275EE">
            <w:pPr>
              <w:jc w:val="center"/>
              <w:rPr>
                <w:rFonts w:asciiTheme="minorHAnsi" w:hAnsiTheme="minorHAnsi" w:cs="Arial"/>
                <w:sz w:val="22"/>
                <w:szCs w:val="22"/>
              </w:rPr>
            </w:pPr>
            <w:r w:rsidRPr="00EC67EE">
              <w:rPr>
                <w:rFonts w:asciiTheme="minorHAnsi" w:hAnsiTheme="minorHAnsi" w:cs="Arial"/>
                <w:sz w:val="22"/>
                <w:szCs w:val="22"/>
              </w:rPr>
              <w:t>MA</w:t>
            </w:r>
          </w:p>
        </w:tc>
      </w:tr>
      <w:tr w:rsidR="003325F3" w:rsidRPr="00EC67EE" w:rsidTr="000E6DC4">
        <w:trPr>
          <w:trHeight w:val="259"/>
        </w:trPr>
        <w:tc>
          <w:tcPr>
            <w:tcW w:w="4239" w:type="pct"/>
            <w:shd w:val="clear" w:color="auto" w:fill="auto"/>
            <w:noWrap/>
            <w:vAlign w:val="center"/>
          </w:tcPr>
          <w:p w:rsidR="003325F3" w:rsidRPr="00EC67EE" w:rsidRDefault="003325F3" w:rsidP="00BB5004">
            <w:pPr>
              <w:ind w:left="162" w:right="208"/>
              <w:rPr>
                <w:rFonts w:asciiTheme="minorHAnsi" w:hAnsiTheme="minorHAnsi" w:cs="Arial"/>
                <w:sz w:val="22"/>
                <w:szCs w:val="22"/>
              </w:rPr>
            </w:pPr>
            <w:r w:rsidRPr="00EC67EE">
              <w:rPr>
                <w:rFonts w:asciiTheme="minorHAnsi" w:hAnsiTheme="minorHAnsi" w:cs="Arial"/>
                <w:sz w:val="22"/>
                <w:szCs w:val="22"/>
              </w:rPr>
              <w:t>Public Affairs</w:t>
            </w:r>
          </w:p>
        </w:tc>
        <w:tc>
          <w:tcPr>
            <w:tcW w:w="761" w:type="pct"/>
            <w:shd w:val="clear" w:color="auto" w:fill="auto"/>
            <w:noWrap/>
            <w:vAlign w:val="center"/>
          </w:tcPr>
          <w:p w:rsidR="003325F3" w:rsidRPr="00EC67EE" w:rsidRDefault="003325F3" w:rsidP="005275EE">
            <w:pPr>
              <w:jc w:val="center"/>
              <w:rPr>
                <w:rFonts w:asciiTheme="minorHAnsi" w:hAnsiTheme="minorHAnsi" w:cs="Arial"/>
                <w:sz w:val="22"/>
                <w:szCs w:val="22"/>
              </w:rPr>
            </w:pPr>
            <w:r w:rsidRPr="00EC67EE">
              <w:rPr>
                <w:rFonts w:asciiTheme="minorHAnsi" w:hAnsiTheme="minorHAnsi" w:cs="Arial"/>
                <w:sz w:val="22"/>
                <w:szCs w:val="22"/>
              </w:rPr>
              <w:t>PA</w:t>
            </w:r>
          </w:p>
        </w:tc>
      </w:tr>
      <w:tr w:rsidR="003325F3" w:rsidRPr="00EC67EE" w:rsidTr="000E6DC4">
        <w:trPr>
          <w:trHeight w:val="278"/>
        </w:trPr>
        <w:tc>
          <w:tcPr>
            <w:tcW w:w="4239" w:type="pct"/>
            <w:shd w:val="clear" w:color="auto" w:fill="auto"/>
            <w:noWrap/>
            <w:vAlign w:val="center"/>
          </w:tcPr>
          <w:p w:rsidR="003325F3" w:rsidRPr="00EC67EE" w:rsidRDefault="003325F3" w:rsidP="00BB5004">
            <w:pPr>
              <w:ind w:left="162" w:right="208"/>
              <w:rPr>
                <w:rFonts w:asciiTheme="minorHAnsi" w:hAnsiTheme="minorHAnsi" w:cs="Arial"/>
                <w:sz w:val="22"/>
                <w:szCs w:val="22"/>
              </w:rPr>
            </w:pPr>
            <w:r w:rsidRPr="00EC67EE">
              <w:rPr>
                <w:rFonts w:asciiTheme="minorHAnsi" w:hAnsiTheme="minorHAnsi" w:cs="Arial"/>
                <w:sz w:val="22"/>
                <w:szCs w:val="22"/>
              </w:rPr>
              <w:t>Science</w:t>
            </w:r>
          </w:p>
        </w:tc>
        <w:tc>
          <w:tcPr>
            <w:tcW w:w="761" w:type="pct"/>
            <w:shd w:val="clear" w:color="auto" w:fill="auto"/>
            <w:vAlign w:val="center"/>
          </w:tcPr>
          <w:p w:rsidR="003325F3" w:rsidRPr="00EC67EE" w:rsidRDefault="003325F3" w:rsidP="005275EE">
            <w:pPr>
              <w:jc w:val="center"/>
              <w:rPr>
                <w:rFonts w:asciiTheme="minorHAnsi" w:hAnsiTheme="minorHAnsi" w:cs="Arial"/>
                <w:sz w:val="22"/>
                <w:szCs w:val="22"/>
              </w:rPr>
            </w:pPr>
            <w:r w:rsidRPr="00EC67EE">
              <w:rPr>
                <w:rFonts w:asciiTheme="minorHAnsi" w:hAnsiTheme="minorHAnsi" w:cs="Arial"/>
                <w:sz w:val="22"/>
                <w:szCs w:val="22"/>
              </w:rPr>
              <w:t>SC</w:t>
            </w:r>
          </w:p>
        </w:tc>
      </w:tr>
      <w:tr w:rsidR="003325F3" w:rsidRPr="00EC67EE" w:rsidTr="000E6DC4">
        <w:trPr>
          <w:trHeight w:val="278"/>
        </w:trPr>
        <w:tc>
          <w:tcPr>
            <w:tcW w:w="4239" w:type="pct"/>
            <w:shd w:val="clear" w:color="auto" w:fill="auto"/>
            <w:noWrap/>
            <w:vAlign w:val="center"/>
          </w:tcPr>
          <w:p w:rsidR="003325F3" w:rsidRPr="00EC67EE" w:rsidRDefault="003325F3" w:rsidP="00BB5004">
            <w:pPr>
              <w:ind w:left="162" w:right="208"/>
              <w:rPr>
                <w:rFonts w:asciiTheme="minorHAnsi" w:hAnsiTheme="minorHAnsi" w:cs="Arial"/>
                <w:sz w:val="22"/>
                <w:szCs w:val="22"/>
              </w:rPr>
            </w:pPr>
            <w:r w:rsidRPr="00EC67EE">
              <w:rPr>
                <w:rFonts w:asciiTheme="minorHAnsi" w:hAnsiTheme="minorHAnsi" w:cs="Arial"/>
                <w:sz w:val="22"/>
                <w:szCs w:val="22"/>
              </w:rPr>
              <w:t>Small and Disadvantaged Business Utilization</w:t>
            </w:r>
          </w:p>
        </w:tc>
        <w:tc>
          <w:tcPr>
            <w:tcW w:w="761" w:type="pct"/>
            <w:shd w:val="clear" w:color="auto" w:fill="auto"/>
            <w:vAlign w:val="center"/>
          </w:tcPr>
          <w:p w:rsidR="003325F3" w:rsidRPr="00EC67EE" w:rsidRDefault="003325F3" w:rsidP="005275EE">
            <w:pPr>
              <w:jc w:val="center"/>
              <w:rPr>
                <w:rFonts w:asciiTheme="minorHAnsi" w:hAnsiTheme="minorHAnsi" w:cs="Arial"/>
                <w:sz w:val="22"/>
                <w:szCs w:val="22"/>
              </w:rPr>
            </w:pPr>
            <w:r w:rsidRPr="00EC67EE">
              <w:rPr>
                <w:rFonts w:asciiTheme="minorHAnsi" w:hAnsiTheme="minorHAnsi" w:cs="Arial"/>
                <w:sz w:val="22"/>
                <w:szCs w:val="22"/>
              </w:rPr>
              <w:t>SB</w:t>
            </w:r>
          </w:p>
        </w:tc>
      </w:tr>
      <w:tr w:rsidR="003325F3" w:rsidRPr="00EC67EE" w:rsidTr="000E6DC4">
        <w:trPr>
          <w:trHeight w:val="278"/>
        </w:trPr>
        <w:tc>
          <w:tcPr>
            <w:tcW w:w="4239" w:type="pct"/>
            <w:shd w:val="clear" w:color="auto" w:fill="auto"/>
            <w:noWrap/>
            <w:vAlign w:val="center"/>
          </w:tcPr>
          <w:p w:rsidR="003325F3" w:rsidRPr="00EC67EE" w:rsidRDefault="003325F3" w:rsidP="00BB5004">
            <w:pPr>
              <w:ind w:left="162" w:right="208"/>
              <w:rPr>
                <w:rFonts w:asciiTheme="minorHAnsi" w:hAnsiTheme="minorHAnsi" w:cs="Arial"/>
                <w:sz w:val="22"/>
                <w:szCs w:val="22"/>
              </w:rPr>
            </w:pPr>
            <w:r w:rsidRPr="00EC67EE">
              <w:rPr>
                <w:rFonts w:asciiTheme="minorHAnsi" w:hAnsiTheme="minorHAnsi" w:cs="Arial"/>
                <w:sz w:val="22"/>
                <w:szCs w:val="22"/>
              </w:rPr>
              <w:t>National Nuclear Security Agency</w:t>
            </w:r>
          </w:p>
        </w:tc>
        <w:tc>
          <w:tcPr>
            <w:tcW w:w="761" w:type="pct"/>
            <w:shd w:val="clear" w:color="auto" w:fill="auto"/>
            <w:vAlign w:val="center"/>
          </w:tcPr>
          <w:p w:rsidR="003325F3" w:rsidRPr="00EC67EE" w:rsidRDefault="003325F3" w:rsidP="005275EE">
            <w:pPr>
              <w:jc w:val="center"/>
              <w:rPr>
                <w:rFonts w:asciiTheme="minorHAnsi" w:hAnsiTheme="minorHAnsi" w:cs="Arial"/>
                <w:sz w:val="22"/>
                <w:szCs w:val="22"/>
              </w:rPr>
            </w:pPr>
            <w:r w:rsidRPr="00EC67EE">
              <w:rPr>
                <w:rFonts w:asciiTheme="minorHAnsi" w:hAnsiTheme="minorHAnsi" w:cs="Arial"/>
                <w:sz w:val="22"/>
                <w:szCs w:val="22"/>
              </w:rPr>
              <w:t>NNSA</w:t>
            </w:r>
          </w:p>
        </w:tc>
      </w:tr>
      <w:tr w:rsidR="003325F3" w:rsidRPr="00EC67EE" w:rsidTr="000E6DC4">
        <w:trPr>
          <w:trHeight w:val="278"/>
        </w:trPr>
        <w:tc>
          <w:tcPr>
            <w:tcW w:w="4239" w:type="pct"/>
            <w:shd w:val="clear" w:color="auto" w:fill="auto"/>
            <w:noWrap/>
            <w:vAlign w:val="center"/>
          </w:tcPr>
          <w:p w:rsidR="003325F3" w:rsidRPr="00EC67EE" w:rsidRDefault="003325F3" w:rsidP="00BB5004">
            <w:pPr>
              <w:ind w:left="162" w:right="208"/>
              <w:rPr>
                <w:rFonts w:asciiTheme="minorHAnsi" w:hAnsiTheme="minorHAnsi" w:cs="Arial"/>
                <w:sz w:val="22"/>
                <w:szCs w:val="22"/>
              </w:rPr>
            </w:pPr>
            <w:r w:rsidRPr="00EC67EE">
              <w:rPr>
                <w:rFonts w:asciiTheme="minorHAnsi" w:hAnsiTheme="minorHAnsi" w:cs="Arial"/>
                <w:sz w:val="22"/>
                <w:szCs w:val="22"/>
              </w:rPr>
              <w:t>Southeastern Power Administration</w:t>
            </w:r>
          </w:p>
        </w:tc>
        <w:tc>
          <w:tcPr>
            <w:tcW w:w="761" w:type="pct"/>
            <w:shd w:val="clear" w:color="auto" w:fill="auto"/>
            <w:vAlign w:val="center"/>
          </w:tcPr>
          <w:p w:rsidR="003325F3" w:rsidRPr="00EC67EE" w:rsidRDefault="003325F3" w:rsidP="005275EE">
            <w:pPr>
              <w:jc w:val="center"/>
              <w:rPr>
                <w:rFonts w:asciiTheme="minorHAnsi" w:hAnsiTheme="minorHAnsi" w:cs="Arial"/>
                <w:sz w:val="22"/>
                <w:szCs w:val="22"/>
              </w:rPr>
            </w:pPr>
            <w:r w:rsidRPr="00EC67EE">
              <w:rPr>
                <w:rFonts w:asciiTheme="minorHAnsi" w:hAnsiTheme="minorHAnsi" w:cs="Arial"/>
                <w:sz w:val="22"/>
                <w:szCs w:val="22"/>
              </w:rPr>
              <w:t>SEPA</w:t>
            </w:r>
          </w:p>
        </w:tc>
      </w:tr>
      <w:tr w:rsidR="003325F3" w:rsidRPr="00EC67EE" w:rsidTr="000E6DC4">
        <w:trPr>
          <w:trHeight w:val="278"/>
        </w:trPr>
        <w:tc>
          <w:tcPr>
            <w:tcW w:w="4239" w:type="pct"/>
            <w:shd w:val="clear" w:color="auto" w:fill="auto"/>
            <w:noWrap/>
            <w:vAlign w:val="center"/>
          </w:tcPr>
          <w:p w:rsidR="003325F3" w:rsidRPr="00EC67EE" w:rsidRDefault="003325F3" w:rsidP="00BB5004">
            <w:pPr>
              <w:ind w:left="180"/>
              <w:rPr>
                <w:rFonts w:asciiTheme="minorHAnsi" w:hAnsiTheme="minorHAnsi" w:cs="Arial"/>
                <w:sz w:val="22"/>
                <w:szCs w:val="22"/>
              </w:rPr>
            </w:pPr>
            <w:r w:rsidRPr="00EC67EE">
              <w:rPr>
                <w:rFonts w:asciiTheme="minorHAnsi" w:hAnsiTheme="minorHAnsi" w:cs="Arial"/>
                <w:sz w:val="22"/>
                <w:szCs w:val="22"/>
              </w:rPr>
              <w:t>Southwestern Power Administration</w:t>
            </w:r>
          </w:p>
        </w:tc>
        <w:tc>
          <w:tcPr>
            <w:tcW w:w="761" w:type="pct"/>
            <w:shd w:val="clear" w:color="auto" w:fill="auto"/>
            <w:vAlign w:val="center"/>
          </w:tcPr>
          <w:p w:rsidR="003325F3" w:rsidRPr="00EC67EE" w:rsidRDefault="003325F3" w:rsidP="005275EE">
            <w:pPr>
              <w:jc w:val="center"/>
              <w:rPr>
                <w:rFonts w:asciiTheme="minorHAnsi" w:hAnsiTheme="minorHAnsi" w:cs="Arial"/>
                <w:sz w:val="22"/>
                <w:szCs w:val="22"/>
              </w:rPr>
            </w:pPr>
            <w:r w:rsidRPr="00EC67EE">
              <w:rPr>
                <w:rFonts w:asciiTheme="minorHAnsi" w:hAnsiTheme="minorHAnsi" w:cs="Arial"/>
                <w:sz w:val="22"/>
                <w:szCs w:val="22"/>
              </w:rPr>
              <w:t>SWPA</w:t>
            </w:r>
          </w:p>
        </w:tc>
      </w:tr>
      <w:tr w:rsidR="003325F3" w:rsidRPr="00EC67EE" w:rsidTr="000E6DC4">
        <w:trPr>
          <w:trHeight w:val="278"/>
        </w:trPr>
        <w:tc>
          <w:tcPr>
            <w:tcW w:w="4239" w:type="pct"/>
            <w:shd w:val="clear" w:color="auto" w:fill="auto"/>
            <w:noWrap/>
            <w:vAlign w:val="center"/>
          </w:tcPr>
          <w:p w:rsidR="003325F3" w:rsidRPr="00EC67EE" w:rsidRDefault="003325F3" w:rsidP="00BB5004">
            <w:pPr>
              <w:ind w:left="180"/>
              <w:rPr>
                <w:rFonts w:asciiTheme="minorHAnsi" w:hAnsiTheme="minorHAnsi" w:cs="Arial"/>
                <w:sz w:val="22"/>
                <w:szCs w:val="22"/>
              </w:rPr>
            </w:pPr>
            <w:r w:rsidRPr="00EC67EE">
              <w:rPr>
                <w:rFonts w:asciiTheme="minorHAnsi" w:hAnsiTheme="minorHAnsi" w:cs="Arial"/>
                <w:sz w:val="22"/>
                <w:szCs w:val="22"/>
              </w:rPr>
              <w:t>Western Area Power Administration</w:t>
            </w:r>
          </w:p>
        </w:tc>
        <w:tc>
          <w:tcPr>
            <w:tcW w:w="761" w:type="pct"/>
            <w:shd w:val="clear" w:color="auto" w:fill="auto"/>
            <w:vAlign w:val="center"/>
          </w:tcPr>
          <w:p w:rsidR="003325F3" w:rsidRPr="00EC67EE" w:rsidRDefault="003325F3" w:rsidP="005275EE">
            <w:pPr>
              <w:jc w:val="center"/>
              <w:rPr>
                <w:rFonts w:asciiTheme="minorHAnsi" w:hAnsiTheme="minorHAnsi" w:cs="Arial"/>
                <w:sz w:val="22"/>
                <w:szCs w:val="22"/>
              </w:rPr>
            </w:pPr>
            <w:r w:rsidRPr="00EC67EE">
              <w:rPr>
                <w:rFonts w:asciiTheme="minorHAnsi" w:hAnsiTheme="minorHAnsi" w:cs="Arial"/>
                <w:sz w:val="22"/>
                <w:szCs w:val="22"/>
              </w:rPr>
              <w:t>WAPA</w:t>
            </w:r>
          </w:p>
        </w:tc>
      </w:tr>
    </w:tbl>
    <w:p w:rsidR="00AD5706" w:rsidRPr="00B06B29" w:rsidRDefault="00500561" w:rsidP="0003179F">
      <w:pPr>
        <w:pStyle w:val="BodyText"/>
        <w:spacing w:before="120" w:after="120"/>
        <w:rPr>
          <w:b/>
          <w:sz w:val="22"/>
          <w:szCs w:val="22"/>
        </w:rPr>
      </w:pPr>
      <w:r w:rsidRPr="00B06B29">
        <w:rPr>
          <w:b/>
          <w:sz w:val="22"/>
          <w:szCs w:val="22"/>
        </w:rPr>
        <w:lastRenderedPageBreak/>
        <w:t>O</w:t>
      </w:r>
      <w:r>
        <w:rPr>
          <w:b/>
          <w:sz w:val="22"/>
          <w:szCs w:val="22"/>
        </w:rPr>
        <w:t>rganization</w:t>
      </w:r>
      <w:r w:rsidR="00343AA5">
        <w:rPr>
          <w:b/>
          <w:sz w:val="22"/>
          <w:szCs w:val="22"/>
        </w:rPr>
        <w:t xml:space="preserve"> Code</w:t>
      </w:r>
      <w:r w:rsidR="00AD5706" w:rsidRPr="00B06B29">
        <w:rPr>
          <w:b/>
          <w:sz w:val="22"/>
          <w:szCs w:val="22"/>
        </w:rPr>
        <w:t xml:space="preserve"> </w:t>
      </w:r>
      <w:r w:rsidR="00AD5706" w:rsidRPr="00B06B29">
        <w:rPr>
          <w:sz w:val="22"/>
          <w:szCs w:val="22"/>
        </w:rPr>
        <w:t xml:space="preserve">= Identifies the </w:t>
      </w:r>
      <w:r w:rsidR="00343AA5">
        <w:rPr>
          <w:sz w:val="22"/>
          <w:szCs w:val="22"/>
        </w:rPr>
        <w:t>Organization</w:t>
      </w:r>
      <w:r w:rsidR="00611E11" w:rsidRPr="00B06B29">
        <w:rPr>
          <w:sz w:val="22"/>
          <w:szCs w:val="22"/>
        </w:rPr>
        <w:t xml:space="preserve"> </w:t>
      </w:r>
      <w:r w:rsidR="003A3486" w:rsidRPr="00B06B29">
        <w:rPr>
          <w:sz w:val="22"/>
          <w:szCs w:val="22"/>
        </w:rPr>
        <w:t>code</w:t>
      </w:r>
      <w:r w:rsidR="003A3486" w:rsidRPr="00B06B29">
        <w:rPr>
          <w:b/>
          <w:sz w:val="22"/>
          <w:szCs w:val="22"/>
        </w:rPr>
        <w:t xml:space="preserve"> </w:t>
      </w:r>
      <w:r w:rsidR="001045E4" w:rsidRPr="00B06B29">
        <w:rPr>
          <w:sz w:val="22"/>
          <w:szCs w:val="22"/>
        </w:rPr>
        <w:t>associated with the FTE</w:t>
      </w:r>
      <w:r w:rsidR="00C95B52" w:rsidRPr="00B06B29">
        <w:rPr>
          <w:sz w:val="22"/>
          <w:szCs w:val="22"/>
        </w:rPr>
        <w:t>’</w:t>
      </w:r>
      <w:r w:rsidR="001045E4" w:rsidRPr="00B06B29">
        <w:rPr>
          <w:sz w:val="22"/>
          <w:szCs w:val="22"/>
        </w:rPr>
        <w:t>s office/branch/division.</w:t>
      </w:r>
    </w:p>
    <w:p w:rsidR="003B150A" w:rsidRPr="00B06B29" w:rsidRDefault="007A39ED" w:rsidP="0003179F">
      <w:pPr>
        <w:pStyle w:val="BodyText"/>
        <w:spacing w:before="120" w:after="120"/>
        <w:rPr>
          <w:sz w:val="22"/>
          <w:szCs w:val="22"/>
        </w:rPr>
      </w:pPr>
      <w:r w:rsidRPr="00B06B29">
        <w:rPr>
          <w:b/>
          <w:sz w:val="22"/>
          <w:szCs w:val="22"/>
        </w:rPr>
        <w:t>Facility</w:t>
      </w:r>
      <w:r w:rsidRPr="00B06B29">
        <w:rPr>
          <w:sz w:val="22"/>
          <w:szCs w:val="22"/>
        </w:rPr>
        <w:t xml:space="preserve"> = Identifies the actual physical location w</w:t>
      </w:r>
      <w:r w:rsidR="003A3486" w:rsidRPr="00B06B29">
        <w:rPr>
          <w:sz w:val="22"/>
          <w:szCs w:val="22"/>
        </w:rPr>
        <w:t>h</w:t>
      </w:r>
      <w:r w:rsidRPr="00B06B29">
        <w:rPr>
          <w:sz w:val="22"/>
          <w:szCs w:val="22"/>
        </w:rPr>
        <w:t xml:space="preserve">ere the FTE is located.  </w:t>
      </w:r>
    </w:p>
    <w:p w:rsidR="00C75245" w:rsidRPr="00B06B29" w:rsidRDefault="00611E11" w:rsidP="0003179F">
      <w:pPr>
        <w:pStyle w:val="BodyText"/>
        <w:spacing w:before="120" w:after="120"/>
        <w:rPr>
          <w:sz w:val="22"/>
          <w:szCs w:val="22"/>
        </w:rPr>
      </w:pPr>
      <w:r w:rsidRPr="00B06B29">
        <w:rPr>
          <w:b/>
          <w:sz w:val="22"/>
          <w:szCs w:val="22"/>
        </w:rPr>
        <w:t xml:space="preserve">Inventory </w:t>
      </w:r>
      <w:r w:rsidR="00C75245" w:rsidRPr="00B06B29">
        <w:rPr>
          <w:b/>
          <w:sz w:val="22"/>
          <w:szCs w:val="22"/>
        </w:rPr>
        <w:t xml:space="preserve">First Year </w:t>
      </w:r>
      <w:r w:rsidR="00BD21BB" w:rsidRPr="00B06B29">
        <w:rPr>
          <w:sz w:val="22"/>
          <w:szCs w:val="22"/>
        </w:rPr>
        <w:t>= Identifies the first year the FTE was reported.</w:t>
      </w:r>
    </w:p>
    <w:p w:rsidR="00C75245" w:rsidRPr="00B06B29" w:rsidRDefault="00C671A4" w:rsidP="0003179F">
      <w:pPr>
        <w:pStyle w:val="BodyText"/>
        <w:spacing w:before="120" w:after="120"/>
        <w:rPr>
          <w:sz w:val="22"/>
          <w:szCs w:val="22"/>
        </w:rPr>
      </w:pPr>
      <w:r w:rsidRPr="00B06B29">
        <w:rPr>
          <w:b/>
          <w:sz w:val="22"/>
          <w:szCs w:val="22"/>
        </w:rPr>
        <w:t>State</w:t>
      </w:r>
      <w:r w:rsidRPr="00B06B29">
        <w:rPr>
          <w:sz w:val="22"/>
          <w:szCs w:val="22"/>
        </w:rPr>
        <w:t xml:space="preserve"> </w:t>
      </w:r>
      <w:r w:rsidR="00331235" w:rsidRPr="00B06B29">
        <w:rPr>
          <w:sz w:val="22"/>
          <w:szCs w:val="22"/>
        </w:rPr>
        <w:t>= Identifies the state w</w:t>
      </w:r>
      <w:r w:rsidR="003A3486" w:rsidRPr="00B06B29">
        <w:rPr>
          <w:sz w:val="22"/>
          <w:szCs w:val="22"/>
        </w:rPr>
        <w:t>h</w:t>
      </w:r>
      <w:r w:rsidR="00331235" w:rsidRPr="00B06B29">
        <w:rPr>
          <w:sz w:val="22"/>
          <w:szCs w:val="22"/>
        </w:rPr>
        <w:t>ere the FTE is located.</w:t>
      </w:r>
    </w:p>
    <w:p w:rsidR="00152A7E" w:rsidRPr="00B06B29" w:rsidRDefault="00331235" w:rsidP="0003179F">
      <w:pPr>
        <w:pStyle w:val="BodyText"/>
        <w:spacing w:before="120" w:after="120"/>
        <w:rPr>
          <w:sz w:val="22"/>
          <w:szCs w:val="22"/>
        </w:rPr>
      </w:pPr>
      <w:r w:rsidRPr="00B06B29">
        <w:rPr>
          <w:b/>
          <w:sz w:val="22"/>
          <w:szCs w:val="22"/>
        </w:rPr>
        <w:t>City</w:t>
      </w:r>
      <w:r w:rsidRPr="00B06B29">
        <w:rPr>
          <w:sz w:val="22"/>
          <w:szCs w:val="22"/>
        </w:rPr>
        <w:t xml:space="preserve"> = Identifies the city w</w:t>
      </w:r>
      <w:r w:rsidR="003A3486" w:rsidRPr="00B06B29">
        <w:rPr>
          <w:sz w:val="22"/>
          <w:szCs w:val="22"/>
        </w:rPr>
        <w:t>h</w:t>
      </w:r>
      <w:r w:rsidRPr="00B06B29">
        <w:rPr>
          <w:sz w:val="22"/>
          <w:szCs w:val="22"/>
        </w:rPr>
        <w:t>ere the FTE is located.</w:t>
      </w:r>
    </w:p>
    <w:p w:rsidR="00152A7E" w:rsidRPr="00B06B29" w:rsidRDefault="00C671A4" w:rsidP="0003179F">
      <w:pPr>
        <w:pStyle w:val="BodyText"/>
        <w:spacing w:before="120" w:after="120"/>
        <w:rPr>
          <w:sz w:val="22"/>
          <w:szCs w:val="22"/>
        </w:rPr>
      </w:pPr>
      <w:r w:rsidRPr="00B06B29">
        <w:rPr>
          <w:b/>
          <w:sz w:val="22"/>
          <w:szCs w:val="22"/>
        </w:rPr>
        <w:t>Country</w:t>
      </w:r>
      <w:r w:rsidRPr="00B06B29">
        <w:rPr>
          <w:sz w:val="22"/>
          <w:szCs w:val="22"/>
        </w:rPr>
        <w:t xml:space="preserve"> </w:t>
      </w:r>
      <w:r w:rsidR="00331235" w:rsidRPr="00B06B29">
        <w:rPr>
          <w:sz w:val="22"/>
          <w:szCs w:val="22"/>
        </w:rPr>
        <w:t>= Identifies the country w</w:t>
      </w:r>
      <w:r w:rsidR="003A3486" w:rsidRPr="00B06B29">
        <w:rPr>
          <w:sz w:val="22"/>
          <w:szCs w:val="22"/>
        </w:rPr>
        <w:t>h</w:t>
      </w:r>
      <w:r w:rsidR="00331235" w:rsidRPr="00B06B29">
        <w:rPr>
          <w:sz w:val="22"/>
          <w:szCs w:val="22"/>
        </w:rPr>
        <w:t>ere the FTE is located.</w:t>
      </w:r>
    </w:p>
    <w:p w:rsidR="00152A7E" w:rsidRPr="00B06B29" w:rsidRDefault="00C671A4" w:rsidP="0003179F">
      <w:pPr>
        <w:pStyle w:val="BodyText"/>
        <w:spacing w:before="120" w:after="120"/>
        <w:rPr>
          <w:sz w:val="22"/>
          <w:szCs w:val="22"/>
        </w:rPr>
      </w:pPr>
      <w:r w:rsidRPr="00B06B29">
        <w:rPr>
          <w:b/>
          <w:sz w:val="22"/>
          <w:szCs w:val="22"/>
        </w:rPr>
        <w:t>Function Code</w:t>
      </w:r>
      <w:r w:rsidRPr="00B06B29">
        <w:rPr>
          <w:sz w:val="22"/>
          <w:szCs w:val="22"/>
        </w:rPr>
        <w:t xml:space="preserve"> </w:t>
      </w:r>
      <w:r w:rsidR="00BD21BB" w:rsidRPr="00B06B29">
        <w:rPr>
          <w:sz w:val="22"/>
          <w:szCs w:val="22"/>
        </w:rPr>
        <w:t>= Identifies the Function Code the FTE represents.  Please review the coding rules for the IGCA Inventory</w:t>
      </w:r>
      <w:r w:rsidR="00147965" w:rsidRPr="00B06B29">
        <w:rPr>
          <w:sz w:val="22"/>
          <w:szCs w:val="22"/>
        </w:rPr>
        <w:t xml:space="preserve"> as described above.  </w:t>
      </w:r>
    </w:p>
    <w:p w:rsidR="00152A7E" w:rsidRPr="00B06B29" w:rsidRDefault="00C671A4" w:rsidP="0003179F">
      <w:pPr>
        <w:pStyle w:val="BodyText"/>
        <w:spacing w:before="120" w:after="120"/>
        <w:rPr>
          <w:sz w:val="22"/>
          <w:szCs w:val="22"/>
        </w:rPr>
      </w:pPr>
      <w:r w:rsidRPr="00B06B29">
        <w:rPr>
          <w:b/>
          <w:sz w:val="22"/>
          <w:szCs w:val="22"/>
        </w:rPr>
        <w:t>Pos</w:t>
      </w:r>
      <w:r w:rsidR="00BD21BB" w:rsidRPr="00B06B29">
        <w:rPr>
          <w:b/>
          <w:sz w:val="22"/>
          <w:szCs w:val="22"/>
        </w:rPr>
        <w:t>ition</w:t>
      </w:r>
      <w:r w:rsidRPr="00B06B29">
        <w:rPr>
          <w:b/>
          <w:sz w:val="22"/>
          <w:szCs w:val="22"/>
        </w:rPr>
        <w:t xml:space="preserve"> Title</w:t>
      </w:r>
      <w:r w:rsidRPr="00B06B29">
        <w:rPr>
          <w:sz w:val="22"/>
          <w:szCs w:val="22"/>
        </w:rPr>
        <w:t xml:space="preserve"> </w:t>
      </w:r>
      <w:r w:rsidR="00331235" w:rsidRPr="00B06B29">
        <w:rPr>
          <w:sz w:val="22"/>
          <w:szCs w:val="22"/>
        </w:rPr>
        <w:t>= Identifies the current position title of the FTE.  This may not correspond to the Function Code.</w:t>
      </w:r>
    </w:p>
    <w:p w:rsidR="00152A7E" w:rsidRPr="00B06B29" w:rsidRDefault="00C671A4" w:rsidP="0003179F">
      <w:pPr>
        <w:pStyle w:val="BodyText"/>
        <w:spacing w:before="120" w:after="120"/>
        <w:rPr>
          <w:sz w:val="22"/>
          <w:szCs w:val="22"/>
        </w:rPr>
      </w:pPr>
      <w:r w:rsidRPr="00B06B29">
        <w:rPr>
          <w:b/>
          <w:sz w:val="22"/>
          <w:szCs w:val="22"/>
        </w:rPr>
        <w:t xml:space="preserve">Pay </w:t>
      </w:r>
      <w:r w:rsidR="00331235" w:rsidRPr="00B06B29">
        <w:rPr>
          <w:b/>
          <w:sz w:val="22"/>
          <w:szCs w:val="22"/>
        </w:rPr>
        <w:t>Plan</w:t>
      </w:r>
      <w:r w:rsidR="00331235" w:rsidRPr="00B06B29">
        <w:rPr>
          <w:sz w:val="22"/>
          <w:szCs w:val="22"/>
        </w:rPr>
        <w:t xml:space="preserve"> = Identifies the current pay plan of the FTE.  This may not correspond to the Function Code.</w:t>
      </w:r>
    </w:p>
    <w:p w:rsidR="00152A7E" w:rsidRPr="00B06B29" w:rsidRDefault="00C671A4" w:rsidP="0003179F">
      <w:pPr>
        <w:pStyle w:val="BodyText"/>
        <w:spacing w:before="120" w:after="120"/>
        <w:rPr>
          <w:sz w:val="22"/>
          <w:szCs w:val="22"/>
        </w:rPr>
      </w:pPr>
      <w:r w:rsidRPr="00B06B29">
        <w:rPr>
          <w:b/>
          <w:sz w:val="22"/>
          <w:szCs w:val="22"/>
        </w:rPr>
        <w:t>Pos</w:t>
      </w:r>
      <w:r w:rsidR="00BD21BB" w:rsidRPr="00B06B29">
        <w:rPr>
          <w:b/>
          <w:sz w:val="22"/>
          <w:szCs w:val="22"/>
        </w:rPr>
        <w:t>ition</w:t>
      </w:r>
      <w:r w:rsidRPr="00B06B29">
        <w:rPr>
          <w:b/>
          <w:sz w:val="22"/>
          <w:szCs w:val="22"/>
        </w:rPr>
        <w:t xml:space="preserve"> Series</w:t>
      </w:r>
      <w:r w:rsidR="00331235" w:rsidRPr="00B06B29">
        <w:rPr>
          <w:sz w:val="22"/>
          <w:szCs w:val="22"/>
        </w:rPr>
        <w:t xml:space="preserve"> = Identifies the current position series of the FTE.</w:t>
      </w:r>
      <w:r w:rsidRPr="00B06B29">
        <w:rPr>
          <w:sz w:val="22"/>
          <w:szCs w:val="22"/>
        </w:rPr>
        <w:t xml:space="preserve">  </w:t>
      </w:r>
      <w:r w:rsidR="00331235" w:rsidRPr="00B06B29">
        <w:rPr>
          <w:sz w:val="22"/>
          <w:szCs w:val="22"/>
        </w:rPr>
        <w:t>This may not correspond to the Function Code.</w:t>
      </w:r>
    </w:p>
    <w:p w:rsidR="00152A7E" w:rsidRPr="00B06B29" w:rsidRDefault="00C671A4" w:rsidP="0003179F">
      <w:pPr>
        <w:pStyle w:val="BodyText"/>
        <w:spacing w:before="120" w:after="120"/>
        <w:rPr>
          <w:sz w:val="22"/>
          <w:szCs w:val="22"/>
        </w:rPr>
      </w:pPr>
      <w:r w:rsidRPr="00B06B29">
        <w:rPr>
          <w:b/>
          <w:sz w:val="22"/>
          <w:szCs w:val="22"/>
        </w:rPr>
        <w:t>Pos</w:t>
      </w:r>
      <w:r w:rsidR="00BD21BB" w:rsidRPr="00B06B29">
        <w:rPr>
          <w:b/>
          <w:sz w:val="22"/>
          <w:szCs w:val="22"/>
        </w:rPr>
        <w:t>ition</w:t>
      </w:r>
      <w:r w:rsidRPr="00B06B29">
        <w:rPr>
          <w:b/>
          <w:sz w:val="22"/>
          <w:szCs w:val="22"/>
        </w:rPr>
        <w:t xml:space="preserve"> </w:t>
      </w:r>
      <w:r w:rsidR="00331235" w:rsidRPr="00B06B29">
        <w:rPr>
          <w:b/>
          <w:sz w:val="22"/>
          <w:szCs w:val="22"/>
        </w:rPr>
        <w:t>Grade</w:t>
      </w:r>
      <w:r w:rsidR="00331235" w:rsidRPr="00B06B29">
        <w:rPr>
          <w:sz w:val="22"/>
          <w:szCs w:val="22"/>
        </w:rPr>
        <w:t xml:space="preserve"> = Identifies the current position grade of the FTE.</w:t>
      </w:r>
    </w:p>
    <w:p w:rsidR="00152A7E" w:rsidRPr="00B06B29" w:rsidRDefault="00C671A4" w:rsidP="0003179F">
      <w:pPr>
        <w:pStyle w:val="BodyText"/>
        <w:spacing w:before="120" w:after="120"/>
        <w:rPr>
          <w:sz w:val="22"/>
          <w:szCs w:val="22"/>
        </w:rPr>
      </w:pPr>
      <w:r w:rsidRPr="00B06B29">
        <w:rPr>
          <w:b/>
          <w:sz w:val="22"/>
          <w:szCs w:val="22"/>
        </w:rPr>
        <w:t>FTE</w:t>
      </w:r>
      <w:r w:rsidR="00331235" w:rsidRPr="00B06B29">
        <w:rPr>
          <w:sz w:val="22"/>
          <w:szCs w:val="22"/>
        </w:rPr>
        <w:t xml:space="preserve"> = Identifies the number of FTEs reported for that specific </w:t>
      </w:r>
      <w:r w:rsidR="00225AA8" w:rsidRPr="00B06B29">
        <w:rPr>
          <w:sz w:val="22"/>
          <w:szCs w:val="22"/>
        </w:rPr>
        <w:t>entry</w:t>
      </w:r>
      <w:r w:rsidR="00331235" w:rsidRPr="00B06B29">
        <w:rPr>
          <w:sz w:val="22"/>
          <w:szCs w:val="22"/>
        </w:rPr>
        <w:t>.  Grouping of FTEs is allowed</w:t>
      </w:r>
      <w:r w:rsidR="00364EA9" w:rsidRPr="00B06B29">
        <w:rPr>
          <w:sz w:val="22"/>
          <w:szCs w:val="22"/>
        </w:rPr>
        <w:t xml:space="preserve"> as long as they share identical data fields (example: </w:t>
      </w:r>
      <w:r w:rsidR="002B1558" w:rsidRPr="00B06B29">
        <w:rPr>
          <w:sz w:val="22"/>
          <w:szCs w:val="22"/>
        </w:rPr>
        <w:t xml:space="preserve">Function Code, </w:t>
      </w:r>
      <w:r w:rsidR="00331235" w:rsidRPr="00B06B29">
        <w:rPr>
          <w:sz w:val="22"/>
          <w:szCs w:val="22"/>
        </w:rPr>
        <w:t xml:space="preserve">Position Title, Plan, </w:t>
      </w:r>
      <w:r w:rsidR="00364EA9" w:rsidRPr="00B06B29">
        <w:rPr>
          <w:sz w:val="22"/>
          <w:szCs w:val="22"/>
        </w:rPr>
        <w:t>and Series).</w:t>
      </w:r>
    </w:p>
    <w:p w:rsidR="00152A7E" w:rsidRPr="00B06B29" w:rsidRDefault="00364EA9" w:rsidP="0003179F">
      <w:pPr>
        <w:pStyle w:val="BodyText"/>
        <w:spacing w:before="120" w:after="120"/>
        <w:rPr>
          <w:sz w:val="22"/>
          <w:szCs w:val="22"/>
        </w:rPr>
      </w:pPr>
      <w:r w:rsidRPr="00B06B29">
        <w:rPr>
          <w:b/>
          <w:sz w:val="22"/>
          <w:szCs w:val="22"/>
        </w:rPr>
        <w:t>Status</w:t>
      </w:r>
      <w:r w:rsidRPr="00B06B29">
        <w:rPr>
          <w:sz w:val="22"/>
          <w:szCs w:val="22"/>
        </w:rPr>
        <w:t xml:space="preserve"> = Identifies if the FTE is Inherently Governmental (I) or Commercial (C). </w:t>
      </w:r>
    </w:p>
    <w:p w:rsidR="00152A7E" w:rsidRPr="00B06B29" w:rsidRDefault="00C671A4" w:rsidP="0003179F">
      <w:pPr>
        <w:pStyle w:val="BodyText"/>
        <w:spacing w:before="120" w:after="120"/>
        <w:rPr>
          <w:sz w:val="22"/>
          <w:szCs w:val="22"/>
        </w:rPr>
      </w:pPr>
      <w:r w:rsidRPr="00B06B29">
        <w:rPr>
          <w:b/>
          <w:sz w:val="22"/>
          <w:szCs w:val="22"/>
        </w:rPr>
        <w:t>Reason Code</w:t>
      </w:r>
      <w:r w:rsidRPr="00B06B29">
        <w:rPr>
          <w:sz w:val="22"/>
          <w:szCs w:val="22"/>
        </w:rPr>
        <w:t xml:space="preserve"> </w:t>
      </w:r>
      <w:r w:rsidR="00364EA9" w:rsidRPr="00B06B29">
        <w:rPr>
          <w:sz w:val="22"/>
          <w:szCs w:val="22"/>
        </w:rPr>
        <w:t>= Identifies which reason code corresponds to th</w:t>
      </w:r>
      <w:r w:rsidR="003A3486" w:rsidRPr="00B06B29">
        <w:rPr>
          <w:sz w:val="22"/>
          <w:szCs w:val="22"/>
        </w:rPr>
        <w:t>e</w:t>
      </w:r>
      <w:r w:rsidR="00364EA9" w:rsidRPr="00B06B29">
        <w:rPr>
          <w:sz w:val="22"/>
          <w:szCs w:val="22"/>
        </w:rPr>
        <w:t xml:space="preserve"> entry</w:t>
      </w:r>
      <w:r w:rsidR="00147965" w:rsidRPr="00B06B29">
        <w:rPr>
          <w:sz w:val="22"/>
          <w:szCs w:val="22"/>
        </w:rPr>
        <w:t xml:space="preserve"> as described above.</w:t>
      </w:r>
    </w:p>
    <w:p w:rsidR="004B00AD" w:rsidRPr="00343AA5" w:rsidRDefault="004B00AD" w:rsidP="0003179F">
      <w:pPr>
        <w:pStyle w:val="BodyText"/>
        <w:spacing w:before="120" w:after="120"/>
        <w:rPr>
          <w:sz w:val="22"/>
          <w:szCs w:val="22"/>
        </w:rPr>
      </w:pPr>
      <w:r w:rsidRPr="000E6DC4">
        <w:rPr>
          <w:b/>
          <w:sz w:val="22"/>
          <w:szCs w:val="22"/>
        </w:rPr>
        <w:t xml:space="preserve">Critical Function = </w:t>
      </w:r>
      <w:r w:rsidRPr="000E6DC4">
        <w:rPr>
          <w:sz w:val="22"/>
          <w:szCs w:val="22"/>
        </w:rPr>
        <w:t>Identifies if the function is critical or not (example:  Y for Yes or N for No).</w:t>
      </w:r>
    </w:p>
    <w:p w:rsidR="00C671A4" w:rsidRPr="00B06B29" w:rsidRDefault="00C671A4" w:rsidP="0003179F">
      <w:pPr>
        <w:pStyle w:val="BodyText"/>
        <w:spacing w:before="120" w:after="120"/>
        <w:rPr>
          <w:sz w:val="22"/>
          <w:szCs w:val="22"/>
        </w:rPr>
      </w:pPr>
      <w:r w:rsidRPr="00B06B29">
        <w:rPr>
          <w:b/>
          <w:sz w:val="22"/>
          <w:szCs w:val="22"/>
        </w:rPr>
        <w:t>Explanation</w:t>
      </w:r>
      <w:r w:rsidR="00364EA9" w:rsidRPr="00B06B29">
        <w:rPr>
          <w:sz w:val="22"/>
          <w:szCs w:val="22"/>
        </w:rPr>
        <w:t xml:space="preserve"> = Identifies an explanation for </w:t>
      </w:r>
      <w:r w:rsidR="002A264E" w:rsidRPr="00B06B29">
        <w:rPr>
          <w:sz w:val="22"/>
          <w:szCs w:val="22"/>
        </w:rPr>
        <w:t>a</w:t>
      </w:r>
      <w:r w:rsidR="00364EA9" w:rsidRPr="00B06B29">
        <w:rPr>
          <w:sz w:val="22"/>
          <w:szCs w:val="22"/>
        </w:rPr>
        <w:t xml:space="preserve"> change between the previous and current year.</w:t>
      </w:r>
      <w:r w:rsidR="002A264E" w:rsidRPr="00B06B29">
        <w:rPr>
          <w:sz w:val="22"/>
          <w:szCs w:val="22"/>
        </w:rPr>
        <w:t xml:space="preserve">  The list below describes the available explanations:</w:t>
      </w:r>
    </w:p>
    <w:tbl>
      <w:tblPr>
        <w:tblW w:w="9455" w:type="dxa"/>
        <w:tblInd w:w="103" w:type="dxa"/>
        <w:tblLook w:val="0000" w:firstRow="0" w:lastRow="0" w:firstColumn="0" w:lastColumn="0" w:noHBand="0" w:noVBand="0"/>
      </w:tblPr>
      <w:tblGrid>
        <w:gridCol w:w="2031"/>
        <w:gridCol w:w="7424"/>
      </w:tblGrid>
      <w:tr w:rsidR="002A264E" w:rsidRPr="00B06B29" w:rsidTr="002A264E">
        <w:trPr>
          <w:trHeight w:val="937"/>
        </w:trPr>
        <w:tc>
          <w:tcPr>
            <w:tcW w:w="2031" w:type="dxa"/>
            <w:tcBorders>
              <w:top w:val="single" w:sz="4" w:space="0" w:color="auto"/>
              <w:left w:val="single" w:sz="4" w:space="0" w:color="auto"/>
              <w:bottom w:val="single" w:sz="4" w:space="0" w:color="auto"/>
              <w:right w:val="single" w:sz="4" w:space="0" w:color="auto"/>
            </w:tcBorders>
            <w:shd w:val="clear" w:color="auto" w:fill="333399"/>
            <w:noWrap/>
            <w:vAlign w:val="center"/>
          </w:tcPr>
          <w:p w:rsidR="002A264E" w:rsidRPr="00B06B29" w:rsidRDefault="002A264E" w:rsidP="0003179F">
            <w:pPr>
              <w:rPr>
                <w:rFonts w:asciiTheme="minorHAnsi" w:hAnsiTheme="minorHAnsi" w:cs="Arial"/>
                <w:b/>
                <w:color w:val="FFFFFF"/>
                <w:sz w:val="22"/>
                <w:szCs w:val="22"/>
              </w:rPr>
            </w:pPr>
            <w:bookmarkStart w:id="62" w:name="RANGE!A2:A9"/>
            <w:r w:rsidRPr="00B06B29">
              <w:rPr>
                <w:rFonts w:asciiTheme="minorHAnsi" w:hAnsiTheme="minorHAnsi" w:cs="Arial"/>
                <w:b/>
                <w:color w:val="FFFFFF"/>
                <w:sz w:val="22"/>
                <w:szCs w:val="22"/>
              </w:rPr>
              <w:t xml:space="preserve">Reason Code Change </w:t>
            </w:r>
            <w:bookmarkEnd w:id="62"/>
          </w:p>
        </w:tc>
        <w:tc>
          <w:tcPr>
            <w:tcW w:w="7424" w:type="dxa"/>
            <w:tcBorders>
              <w:top w:val="single" w:sz="4" w:space="0" w:color="auto"/>
              <w:left w:val="nil"/>
              <w:bottom w:val="single" w:sz="4" w:space="0" w:color="auto"/>
              <w:right w:val="single" w:sz="4" w:space="0" w:color="auto"/>
            </w:tcBorders>
            <w:shd w:val="clear" w:color="auto" w:fill="auto"/>
            <w:vAlign w:val="center"/>
          </w:tcPr>
          <w:p w:rsidR="002A264E" w:rsidRPr="00B06B29" w:rsidRDefault="002A264E" w:rsidP="0003179F">
            <w:pPr>
              <w:rPr>
                <w:rFonts w:asciiTheme="minorHAnsi" w:hAnsiTheme="minorHAnsi" w:cs="Arial"/>
                <w:sz w:val="22"/>
                <w:szCs w:val="22"/>
              </w:rPr>
            </w:pPr>
            <w:r w:rsidRPr="00B06B29">
              <w:rPr>
                <w:rFonts w:asciiTheme="minorHAnsi" w:hAnsiTheme="minorHAnsi" w:cs="Arial"/>
                <w:sz w:val="22"/>
                <w:szCs w:val="22"/>
              </w:rPr>
              <w:t>If during this fiscal year the function has been classified with a different reason code please select this option.  This could be the result of a reorganization or management decision.</w:t>
            </w:r>
          </w:p>
        </w:tc>
      </w:tr>
      <w:tr w:rsidR="002A264E" w:rsidRPr="00B06B29" w:rsidTr="002A264E">
        <w:trPr>
          <w:trHeight w:val="937"/>
        </w:trPr>
        <w:tc>
          <w:tcPr>
            <w:tcW w:w="2031" w:type="dxa"/>
            <w:tcBorders>
              <w:top w:val="single" w:sz="4" w:space="0" w:color="auto"/>
              <w:left w:val="single" w:sz="4" w:space="0" w:color="auto"/>
              <w:bottom w:val="single" w:sz="4" w:space="0" w:color="auto"/>
              <w:right w:val="single" w:sz="4" w:space="0" w:color="auto"/>
            </w:tcBorders>
            <w:shd w:val="clear" w:color="auto" w:fill="333399"/>
            <w:noWrap/>
            <w:vAlign w:val="center"/>
          </w:tcPr>
          <w:p w:rsidR="002A264E" w:rsidRPr="00B06B29" w:rsidRDefault="002A264E" w:rsidP="0003179F">
            <w:pPr>
              <w:rPr>
                <w:rFonts w:asciiTheme="minorHAnsi" w:hAnsiTheme="minorHAnsi" w:cs="Arial"/>
                <w:b/>
                <w:color w:val="FFFFFF"/>
                <w:sz w:val="22"/>
                <w:szCs w:val="22"/>
              </w:rPr>
            </w:pPr>
            <w:r w:rsidRPr="00B06B29">
              <w:rPr>
                <w:rFonts w:asciiTheme="minorHAnsi" w:hAnsiTheme="minorHAnsi" w:cs="Arial"/>
                <w:b/>
                <w:color w:val="FFFFFF"/>
                <w:sz w:val="22"/>
                <w:szCs w:val="22"/>
              </w:rPr>
              <w:t>Function Code Change</w:t>
            </w:r>
          </w:p>
        </w:tc>
        <w:tc>
          <w:tcPr>
            <w:tcW w:w="7424" w:type="dxa"/>
            <w:tcBorders>
              <w:top w:val="single" w:sz="4" w:space="0" w:color="auto"/>
              <w:left w:val="nil"/>
              <w:bottom w:val="single" w:sz="4" w:space="0" w:color="auto"/>
              <w:right w:val="single" w:sz="4" w:space="0" w:color="auto"/>
            </w:tcBorders>
            <w:shd w:val="clear" w:color="auto" w:fill="auto"/>
            <w:vAlign w:val="center"/>
          </w:tcPr>
          <w:p w:rsidR="002A264E" w:rsidRPr="00B06B29" w:rsidRDefault="002A264E" w:rsidP="0003179F">
            <w:pPr>
              <w:rPr>
                <w:rFonts w:asciiTheme="minorHAnsi" w:hAnsiTheme="minorHAnsi" w:cs="Arial"/>
                <w:sz w:val="22"/>
                <w:szCs w:val="22"/>
              </w:rPr>
            </w:pPr>
            <w:r w:rsidRPr="00B06B29">
              <w:rPr>
                <w:rFonts w:asciiTheme="minorHAnsi" w:hAnsiTheme="minorHAnsi" w:cs="Arial"/>
                <w:sz w:val="22"/>
                <w:szCs w:val="22"/>
              </w:rPr>
              <w:t>If during this fiscal year the function has been classified with a different function code please select this option.  This could be the result of a reorganization or management decision.</w:t>
            </w:r>
          </w:p>
        </w:tc>
      </w:tr>
      <w:tr w:rsidR="002A264E" w:rsidRPr="00B06B29" w:rsidTr="002A264E">
        <w:trPr>
          <w:trHeight w:val="317"/>
        </w:trPr>
        <w:tc>
          <w:tcPr>
            <w:tcW w:w="2031" w:type="dxa"/>
            <w:tcBorders>
              <w:top w:val="single" w:sz="4" w:space="0" w:color="auto"/>
              <w:left w:val="single" w:sz="4" w:space="0" w:color="auto"/>
              <w:bottom w:val="single" w:sz="4" w:space="0" w:color="auto"/>
              <w:right w:val="single" w:sz="4" w:space="0" w:color="auto"/>
            </w:tcBorders>
            <w:shd w:val="clear" w:color="auto" w:fill="333399"/>
            <w:noWrap/>
            <w:vAlign w:val="center"/>
          </w:tcPr>
          <w:p w:rsidR="002A264E" w:rsidRPr="00B06B29" w:rsidRDefault="002A264E" w:rsidP="0003179F">
            <w:pPr>
              <w:rPr>
                <w:rFonts w:asciiTheme="minorHAnsi" w:hAnsiTheme="minorHAnsi" w:cs="Arial"/>
                <w:b/>
                <w:color w:val="FFFFFF"/>
                <w:sz w:val="22"/>
                <w:szCs w:val="22"/>
              </w:rPr>
            </w:pPr>
            <w:r w:rsidRPr="00B06B29">
              <w:rPr>
                <w:rFonts w:asciiTheme="minorHAnsi" w:hAnsiTheme="minorHAnsi" w:cs="Arial"/>
                <w:b/>
                <w:color w:val="FFFFFF"/>
                <w:sz w:val="22"/>
                <w:szCs w:val="22"/>
              </w:rPr>
              <w:t xml:space="preserve">No Change </w:t>
            </w:r>
          </w:p>
        </w:tc>
        <w:tc>
          <w:tcPr>
            <w:tcW w:w="7424" w:type="dxa"/>
            <w:tcBorders>
              <w:top w:val="single" w:sz="4" w:space="0" w:color="auto"/>
              <w:left w:val="nil"/>
              <w:bottom w:val="single" w:sz="4" w:space="0" w:color="auto"/>
              <w:right w:val="single" w:sz="4" w:space="0" w:color="auto"/>
            </w:tcBorders>
            <w:shd w:val="clear" w:color="auto" w:fill="auto"/>
            <w:vAlign w:val="center"/>
          </w:tcPr>
          <w:p w:rsidR="002A264E" w:rsidRPr="00B06B29" w:rsidRDefault="002A264E" w:rsidP="0003179F">
            <w:pPr>
              <w:rPr>
                <w:rFonts w:asciiTheme="minorHAnsi" w:hAnsiTheme="minorHAnsi" w:cs="Arial"/>
                <w:sz w:val="22"/>
                <w:szCs w:val="22"/>
              </w:rPr>
            </w:pPr>
            <w:r w:rsidRPr="00B06B29">
              <w:rPr>
                <w:rFonts w:asciiTheme="minorHAnsi" w:hAnsiTheme="minorHAnsi" w:cs="Arial"/>
                <w:sz w:val="22"/>
                <w:szCs w:val="22"/>
              </w:rPr>
              <w:t>If there has been no change please select this option.</w:t>
            </w:r>
          </w:p>
        </w:tc>
      </w:tr>
      <w:tr w:rsidR="002A264E" w:rsidRPr="00B06B29" w:rsidTr="002A264E">
        <w:trPr>
          <w:trHeight w:val="317"/>
        </w:trPr>
        <w:tc>
          <w:tcPr>
            <w:tcW w:w="2031" w:type="dxa"/>
            <w:tcBorders>
              <w:top w:val="single" w:sz="4" w:space="0" w:color="auto"/>
              <w:left w:val="single" w:sz="4" w:space="0" w:color="auto"/>
              <w:bottom w:val="single" w:sz="4" w:space="0" w:color="auto"/>
              <w:right w:val="single" w:sz="4" w:space="0" w:color="auto"/>
            </w:tcBorders>
            <w:shd w:val="clear" w:color="auto" w:fill="333399"/>
            <w:noWrap/>
            <w:vAlign w:val="center"/>
          </w:tcPr>
          <w:p w:rsidR="002A264E" w:rsidRPr="00B06B29" w:rsidRDefault="002A264E" w:rsidP="0003179F">
            <w:pPr>
              <w:rPr>
                <w:rFonts w:asciiTheme="minorHAnsi" w:hAnsiTheme="minorHAnsi" w:cs="Arial"/>
                <w:b/>
                <w:color w:val="FFFFFF"/>
                <w:sz w:val="22"/>
                <w:szCs w:val="22"/>
              </w:rPr>
            </w:pPr>
            <w:r w:rsidRPr="00B06B29">
              <w:rPr>
                <w:rFonts w:asciiTheme="minorHAnsi" w:hAnsiTheme="minorHAnsi" w:cs="Arial"/>
                <w:b/>
                <w:color w:val="FFFFFF"/>
                <w:sz w:val="22"/>
                <w:szCs w:val="22"/>
              </w:rPr>
              <w:t xml:space="preserve">More FTEs </w:t>
            </w:r>
          </w:p>
        </w:tc>
        <w:tc>
          <w:tcPr>
            <w:tcW w:w="7424" w:type="dxa"/>
            <w:tcBorders>
              <w:top w:val="single" w:sz="4" w:space="0" w:color="auto"/>
              <w:left w:val="nil"/>
              <w:bottom w:val="single" w:sz="4" w:space="0" w:color="auto"/>
              <w:right w:val="single" w:sz="4" w:space="0" w:color="auto"/>
            </w:tcBorders>
            <w:shd w:val="clear" w:color="auto" w:fill="auto"/>
            <w:vAlign w:val="center"/>
          </w:tcPr>
          <w:p w:rsidR="002A264E" w:rsidRPr="00B06B29" w:rsidRDefault="002A264E" w:rsidP="0003179F">
            <w:pPr>
              <w:rPr>
                <w:rFonts w:asciiTheme="minorHAnsi" w:hAnsiTheme="minorHAnsi" w:cs="Arial"/>
                <w:sz w:val="22"/>
                <w:szCs w:val="22"/>
              </w:rPr>
            </w:pPr>
            <w:r w:rsidRPr="00B06B29">
              <w:rPr>
                <w:rFonts w:asciiTheme="minorHAnsi" w:hAnsiTheme="minorHAnsi" w:cs="Arial"/>
                <w:sz w:val="22"/>
                <w:szCs w:val="22"/>
              </w:rPr>
              <w:t>If the function includes more FTEs please select this option.</w:t>
            </w:r>
          </w:p>
        </w:tc>
      </w:tr>
      <w:tr w:rsidR="002A264E" w:rsidRPr="00B06B29" w:rsidTr="002A264E">
        <w:trPr>
          <w:trHeight w:val="317"/>
        </w:trPr>
        <w:tc>
          <w:tcPr>
            <w:tcW w:w="2031" w:type="dxa"/>
            <w:tcBorders>
              <w:top w:val="single" w:sz="4" w:space="0" w:color="auto"/>
              <w:left w:val="single" w:sz="4" w:space="0" w:color="auto"/>
              <w:bottom w:val="single" w:sz="4" w:space="0" w:color="auto"/>
              <w:right w:val="single" w:sz="4" w:space="0" w:color="auto"/>
            </w:tcBorders>
            <w:shd w:val="clear" w:color="auto" w:fill="333399"/>
            <w:noWrap/>
            <w:vAlign w:val="center"/>
          </w:tcPr>
          <w:p w:rsidR="002A264E" w:rsidRPr="00B06B29" w:rsidRDefault="002A264E" w:rsidP="0003179F">
            <w:pPr>
              <w:rPr>
                <w:rFonts w:asciiTheme="minorHAnsi" w:hAnsiTheme="minorHAnsi" w:cs="Arial"/>
                <w:b/>
                <w:color w:val="FFFFFF"/>
                <w:sz w:val="22"/>
                <w:szCs w:val="22"/>
              </w:rPr>
            </w:pPr>
            <w:r w:rsidRPr="00B06B29">
              <w:rPr>
                <w:rFonts w:asciiTheme="minorHAnsi" w:hAnsiTheme="minorHAnsi" w:cs="Arial"/>
                <w:b/>
                <w:color w:val="FFFFFF"/>
                <w:sz w:val="22"/>
                <w:szCs w:val="22"/>
              </w:rPr>
              <w:t xml:space="preserve">Less FTEs </w:t>
            </w:r>
          </w:p>
        </w:tc>
        <w:tc>
          <w:tcPr>
            <w:tcW w:w="7424" w:type="dxa"/>
            <w:tcBorders>
              <w:top w:val="single" w:sz="4" w:space="0" w:color="auto"/>
              <w:left w:val="nil"/>
              <w:bottom w:val="single" w:sz="4" w:space="0" w:color="auto"/>
              <w:right w:val="single" w:sz="4" w:space="0" w:color="auto"/>
            </w:tcBorders>
            <w:shd w:val="clear" w:color="auto" w:fill="auto"/>
            <w:vAlign w:val="center"/>
          </w:tcPr>
          <w:p w:rsidR="002A264E" w:rsidRPr="00B06B29" w:rsidRDefault="002A264E" w:rsidP="0003179F">
            <w:pPr>
              <w:rPr>
                <w:rFonts w:asciiTheme="minorHAnsi" w:hAnsiTheme="minorHAnsi" w:cs="Arial"/>
                <w:sz w:val="22"/>
                <w:szCs w:val="22"/>
              </w:rPr>
            </w:pPr>
            <w:r w:rsidRPr="00B06B29">
              <w:rPr>
                <w:rFonts w:asciiTheme="minorHAnsi" w:hAnsiTheme="minorHAnsi" w:cs="Arial"/>
                <w:sz w:val="22"/>
                <w:szCs w:val="22"/>
              </w:rPr>
              <w:t>If the function includes less FTEs please select this option.</w:t>
            </w:r>
          </w:p>
        </w:tc>
      </w:tr>
      <w:tr w:rsidR="002A264E" w:rsidRPr="00B06B29" w:rsidTr="002A264E">
        <w:trPr>
          <w:trHeight w:val="1420"/>
        </w:trPr>
        <w:tc>
          <w:tcPr>
            <w:tcW w:w="2031" w:type="dxa"/>
            <w:tcBorders>
              <w:top w:val="single" w:sz="4" w:space="0" w:color="auto"/>
              <w:left w:val="single" w:sz="4" w:space="0" w:color="auto"/>
              <w:bottom w:val="single" w:sz="4" w:space="0" w:color="auto"/>
              <w:right w:val="single" w:sz="4" w:space="0" w:color="auto"/>
            </w:tcBorders>
            <w:shd w:val="clear" w:color="auto" w:fill="333399"/>
            <w:noWrap/>
            <w:vAlign w:val="center"/>
          </w:tcPr>
          <w:p w:rsidR="002A264E" w:rsidRPr="00B06B29" w:rsidRDefault="002A264E" w:rsidP="0003179F">
            <w:pPr>
              <w:rPr>
                <w:rFonts w:asciiTheme="minorHAnsi" w:hAnsiTheme="minorHAnsi" w:cs="Arial"/>
                <w:b/>
                <w:color w:val="FFFFFF"/>
                <w:sz w:val="22"/>
                <w:szCs w:val="22"/>
              </w:rPr>
            </w:pPr>
            <w:r w:rsidRPr="00B06B29">
              <w:rPr>
                <w:rFonts w:asciiTheme="minorHAnsi" w:hAnsiTheme="minorHAnsi" w:cs="Arial"/>
                <w:b/>
                <w:color w:val="FFFFFF"/>
                <w:sz w:val="22"/>
                <w:szCs w:val="22"/>
              </w:rPr>
              <w:t xml:space="preserve">New Entry </w:t>
            </w:r>
          </w:p>
        </w:tc>
        <w:tc>
          <w:tcPr>
            <w:tcW w:w="7424" w:type="dxa"/>
            <w:tcBorders>
              <w:top w:val="single" w:sz="4" w:space="0" w:color="auto"/>
              <w:left w:val="nil"/>
              <w:bottom w:val="single" w:sz="4" w:space="0" w:color="auto"/>
              <w:right w:val="single" w:sz="4" w:space="0" w:color="auto"/>
            </w:tcBorders>
            <w:shd w:val="clear" w:color="auto" w:fill="auto"/>
            <w:vAlign w:val="center"/>
          </w:tcPr>
          <w:p w:rsidR="002A264E" w:rsidRPr="00B06B29" w:rsidRDefault="002A264E" w:rsidP="0003179F">
            <w:pPr>
              <w:rPr>
                <w:rFonts w:asciiTheme="minorHAnsi" w:hAnsiTheme="minorHAnsi" w:cs="Arial"/>
                <w:sz w:val="22"/>
                <w:szCs w:val="22"/>
              </w:rPr>
            </w:pPr>
            <w:r w:rsidRPr="00B06B29">
              <w:rPr>
                <w:rFonts w:asciiTheme="minorHAnsi" w:hAnsiTheme="minorHAnsi" w:cs="Arial"/>
                <w:sz w:val="22"/>
                <w:szCs w:val="22"/>
              </w:rPr>
              <w:t>If the function is new to your organization please select this option.  Keep in mind that you must include the current year in the 'First year on Inventory' column.  A new entry could be derived from a.  If the new entry belonged to a different organization on the previous fiscal year, please coordinate with the respective organization so that the FTE is not accounted for twice.</w:t>
            </w:r>
          </w:p>
        </w:tc>
      </w:tr>
      <w:tr w:rsidR="002A264E" w:rsidRPr="00B06B29" w:rsidTr="00F93D79">
        <w:trPr>
          <w:trHeight w:val="1133"/>
        </w:trPr>
        <w:tc>
          <w:tcPr>
            <w:tcW w:w="2031" w:type="dxa"/>
            <w:tcBorders>
              <w:top w:val="single" w:sz="4" w:space="0" w:color="auto"/>
              <w:left w:val="single" w:sz="4" w:space="0" w:color="auto"/>
              <w:bottom w:val="single" w:sz="4" w:space="0" w:color="auto"/>
              <w:right w:val="single" w:sz="4" w:space="0" w:color="auto"/>
            </w:tcBorders>
            <w:shd w:val="clear" w:color="auto" w:fill="333399"/>
            <w:noWrap/>
            <w:vAlign w:val="center"/>
          </w:tcPr>
          <w:p w:rsidR="002A264E" w:rsidRPr="00B06B29" w:rsidRDefault="002A264E" w:rsidP="0003179F">
            <w:pPr>
              <w:rPr>
                <w:rFonts w:asciiTheme="minorHAnsi" w:hAnsiTheme="minorHAnsi" w:cs="Arial"/>
                <w:b/>
                <w:color w:val="FFFFFF"/>
                <w:sz w:val="22"/>
                <w:szCs w:val="22"/>
              </w:rPr>
            </w:pPr>
            <w:r w:rsidRPr="00B06B29">
              <w:rPr>
                <w:rFonts w:asciiTheme="minorHAnsi" w:hAnsiTheme="minorHAnsi" w:cs="Arial"/>
                <w:b/>
                <w:color w:val="FFFFFF"/>
                <w:sz w:val="22"/>
                <w:szCs w:val="22"/>
              </w:rPr>
              <w:t xml:space="preserve">Non-existing  </w:t>
            </w:r>
          </w:p>
        </w:tc>
        <w:tc>
          <w:tcPr>
            <w:tcW w:w="7424" w:type="dxa"/>
            <w:tcBorders>
              <w:top w:val="single" w:sz="4" w:space="0" w:color="auto"/>
              <w:left w:val="nil"/>
              <w:bottom w:val="single" w:sz="4" w:space="0" w:color="auto"/>
              <w:right w:val="single" w:sz="4" w:space="0" w:color="auto"/>
            </w:tcBorders>
            <w:shd w:val="clear" w:color="auto" w:fill="auto"/>
            <w:vAlign w:val="bottom"/>
          </w:tcPr>
          <w:p w:rsidR="002A264E" w:rsidRPr="00B06B29" w:rsidRDefault="002A264E" w:rsidP="0003179F">
            <w:pPr>
              <w:rPr>
                <w:rFonts w:asciiTheme="minorHAnsi" w:hAnsiTheme="minorHAnsi" w:cs="Arial"/>
                <w:sz w:val="22"/>
                <w:szCs w:val="22"/>
              </w:rPr>
            </w:pPr>
            <w:r w:rsidRPr="00B06B29">
              <w:rPr>
                <w:rFonts w:asciiTheme="minorHAnsi" w:hAnsiTheme="minorHAnsi" w:cs="Arial"/>
                <w:sz w:val="22"/>
                <w:szCs w:val="22"/>
              </w:rPr>
              <w:t xml:space="preserve">If the function no longer exists within your organization please use this option.  If the function was eliminated due to </w:t>
            </w:r>
            <w:r w:rsidR="00602D28" w:rsidRPr="00B06B29">
              <w:rPr>
                <w:rFonts w:asciiTheme="minorHAnsi" w:hAnsiTheme="minorHAnsi" w:cs="Arial"/>
                <w:sz w:val="22"/>
                <w:szCs w:val="22"/>
              </w:rPr>
              <w:t>reorganization</w:t>
            </w:r>
            <w:r w:rsidRPr="00B06B29">
              <w:rPr>
                <w:rFonts w:asciiTheme="minorHAnsi" w:hAnsiTheme="minorHAnsi" w:cs="Arial"/>
                <w:sz w:val="22"/>
                <w:szCs w:val="22"/>
              </w:rPr>
              <w:t xml:space="preserve"> please select this option.  If the function was inherited by a different organization please coordinate with the respective organization so that the FTE is not accounted for twice.</w:t>
            </w:r>
          </w:p>
        </w:tc>
      </w:tr>
      <w:tr w:rsidR="002A264E" w:rsidRPr="00B06B29" w:rsidTr="002A264E">
        <w:trPr>
          <w:trHeight w:val="665"/>
        </w:trPr>
        <w:tc>
          <w:tcPr>
            <w:tcW w:w="2031" w:type="dxa"/>
            <w:tcBorders>
              <w:top w:val="single" w:sz="4" w:space="0" w:color="auto"/>
              <w:left w:val="single" w:sz="4" w:space="0" w:color="auto"/>
              <w:bottom w:val="single" w:sz="4" w:space="0" w:color="auto"/>
              <w:right w:val="single" w:sz="4" w:space="0" w:color="auto"/>
            </w:tcBorders>
            <w:shd w:val="clear" w:color="auto" w:fill="333399"/>
            <w:noWrap/>
            <w:vAlign w:val="center"/>
          </w:tcPr>
          <w:p w:rsidR="002A264E" w:rsidRPr="00B06B29" w:rsidRDefault="002A264E" w:rsidP="0003179F">
            <w:pPr>
              <w:rPr>
                <w:rFonts w:asciiTheme="minorHAnsi" w:hAnsiTheme="minorHAnsi" w:cs="Arial"/>
                <w:b/>
                <w:color w:val="FFFFFF"/>
                <w:sz w:val="22"/>
                <w:szCs w:val="22"/>
              </w:rPr>
            </w:pPr>
            <w:r w:rsidRPr="00B06B29">
              <w:rPr>
                <w:rFonts w:asciiTheme="minorHAnsi" w:hAnsiTheme="minorHAnsi" w:cs="Arial"/>
                <w:b/>
                <w:color w:val="FFFFFF"/>
                <w:sz w:val="22"/>
                <w:szCs w:val="22"/>
              </w:rPr>
              <w:t>Other</w:t>
            </w:r>
          </w:p>
        </w:tc>
        <w:tc>
          <w:tcPr>
            <w:tcW w:w="7424" w:type="dxa"/>
            <w:tcBorders>
              <w:top w:val="nil"/>
              <w:left w:val="nil"/>
              <w:bottom w:val="single" w:sz="4" w:space="0" w:color="auto"/>
              <w:right w:val="single" w:sz="4" w:space="0" w:color="auto"/>
            </w:tcBorders>
            <w:shd w:val="clear" w:color="auto" w:fill="auto"/>
            <w:noWrap/>
            <w:vAlign w:val="center"/>
          </w:tcPr>
          <w:p w:rsidR="002A264E" w:rsidRPr="00B06B29" w:rsidRDefault="002A264E" w:rsidP="0003179F">
            <w:pPr>
              <w:rPr>
                <w:rFonts w:asciiTheme="minorHAnsi" w:hAnsiTheme="minorHAnsi" w:cs="Arial"/>
                <w:sz w:val="22"/>
                <w:szCs w:val="22"/>
              </w:rPr>
            </w:pPr>
            <w:r w:rsidRPr="00B06B29">
              <w:rPr>
                <w:rFonts w:asciiTheme="minorHAnsi" w:hAnsiTheme="minorHAnsi" w:cs="Arial"/>
                <w:sz w:val="22"/>
                <w:szCs w:val="22"/>
              </w:rPr>
              <w:t xml:space="preserve">If the change is not described by any of the above </w:t>
            </w:r>
            <w:r w:rsidR="00602D28" w:rsidRPr="00B06B29">
              <w:rPr>
                <w:rFonts w:asciiTheme="minorHAnsi" w:hAnsiTheme="minorHAnsi" w:cs="Arial"/>
                <w:sz w:val="22"/>
                <w:szCs w:val="22"/>
              </w:rPr>
              <w:t>options please use this option.</w:t>
            </w:r>
          </w:p>
        </w:tc>
      </w:tr>
    </w:tbl>
    <w:p w:rsidR="00343AA5" w:rsidRDefault="00343AA5" w:rsidP="00AD456C">
      <w:pPr>
        <w:pStyle w:val="Heading1"/>
        <w:sectPr w:rsidR="00343AA5" w:rsidSect="00611E11">
          <w:pgSz w:w="12240" w:h="15840" w:code="1"/>
          <w:pgMar w:top="1152" w:right="1440" w:bottom="1152" w:left="1440" w:header="720" w:footer="720" w:gutter="0"/>
          <w:cols w:space="720"/>
        </w:sectPr>
      </w:pPr>
      <w:bookmarkStart w:id="63" w:name="_Toc285023624"/>
      <w:bookmarkStart w:id="64" w:name="_Toc285028618"/>
      <w:bookmarkStart w:id="65" w:name="_Toc320867584"/>
      <w:bookmarkEnd w:id="52"/>
      <w:bookmarkEnd w:id="53"/>
    </w:p>
    <w:p w:rsidR="00ED67EB" w:rsidRPr="005A2646" w:rsidRDefault="007533A6" w:rsidP="00AD456C">
      <w:pPr>
        <w:pStyle w:val="Heading1"/>
      </w:pPr>
      <w:bookmarkStart w:id="66" w:name="_Toc416337784"/>
      <w:r w:rsidRPr="005A2646">
        <w:lastRenderedPageBreak/>
        <w:t xml:space="preserve">Appendix A - </w:t>
      </w:r>
      <w:r w:rsidR="00ED67EB" w:rsidRPr="005A2646">
        <w:t>References</w:t>
      </w:r>
      <w:bookmarkEnd w:id="63"/>
      <w:bookmarkEnd w:id="64"/>
      <w:bookmarkEnd w:id="65"/>
      <w:bookmarkEnd w:id="66"/>
    </w:p>
    <w:p w:rsidR="00510D2A" w:rsidRPr="0003179F" w:rsidRDefault="00510D2A" w:rsidP="00247E64">
      <w:pPr>
        <w:pStyle w:val="BodyText"/>
        <w:rPr>
          <w:sz w:val="22"/>
          <w:szCs w:val="22"/>
        </w:rPr>
      </w:pPr>
      <w:r w:rsidRPr="0003179F">
        <w:rPr>
          <w:sz w:val="22"/>
          <w:szCs w:val="22"/>
        </w:rPr>
        <w:t xml:space="preserve">References are available through our website, under the operating guidelines link. </w:t>
      </w:r>
      <w:r w:rsidR="00147965" w:rsidRPr="0003179F">
        <w:rPr>
          <w:sz w:val="22"/>
          <w:szCs w:val="22"/>
        </w:rPr>
        <w:t xml:space="preserve"> </w:t>
      </w:r>
    </w:p>
    <w:p w:rsidR="00510D2A" w:rsidRPr="0003179F" w:rsidRDefault="00ED0499" w:rsidP="00247E64">
      <w:pPr>
        <w:pStyle w:val="BodyText"/>
        <w:rPr>
          <w:sz w:val="22"/>
          <w:szCs w:val="22"/>
        </w:rPr>
      </w:pPr>
      <w:hyperlink r:id="rId16" w:history="1">
        <w:r w:rsidR="00F75083" w:rsidRPr="0003179F">
          <w:rPr>
            <w:rStyle w:val="Hyperlink"/>
            <w:sz w:val="22"/>
            <w:szCs w:val="22"/>
          </w:rPr>
          <w:t>http://energy.gov/management/fair-act-inventory</w:t>
        </w:r>
      </w:hyperlink>
    </w:p>
    <w:p w:rsidR="00510D2A" w:rsidRPr="0003179F" w:rsidRDefault="00510D2A" w:rsidP="00247E64">
      <w:pPr>
        <w:pStyle w:val="BodyText"/>
        <w:rPr>
          <w:sz w:val="22"/>
          <w:szCs w:val="22"/>
        </w:rPr>
      </w:pPr>
      <w:r w:rsidRPr="0003179F">
        <w:rPr>
          <w:sz w:val="22"/>
          <w:szCs w:val="22"/>
        </w:rPr>
        <w:t>You could also use the links below:</w:t>
      </w:r>
    </w:p>
    <w:p w:rsidR="0045714D" w:rsidRPr="0003179F" w:rsidRDefault="0045714D" w:rsidP="00247E64">
      <w:pPr>
        <w:pStyle w:val="BodyText"/>
        <w:rPr>
          <w:sz w:val="22"/>
          <w:szCs w:val="22"/>
        </w:rPr>
      </w:pPr>
      <w:r w:rsidRPr="0003179F">
        <w:rPr>
          <w:sz w:val="22"/>
          <w:szCs w:val="22"/>
        </w:rPr>
        <w:t xml:space="preserve">The FAIR Act </w:t>
      </w:r>
    </w:p>
    <w:p w:rsidR="0045714D" w:rsidRPr="0003179F" w:rsidRDefault="00ED0499" w:rsidP="00247E64">
      <w:pPr>
        <w:pStyle w:val="BodyText"/>
        <w:rPr>
          <w:sz w:val="22"/>
          <w:szCs w:val="22"/>
        </w:rPr>
      </w:pPr>
      <w:hyperlink r:id="rId17" w:history="1">
        <w:r w:rsidR="00F75083" w:rsidRPr="0003179F">
          <w:rPr>
            <w:rStyle w:val="Hyperlink"/>
            <w:sz w:val="22"/>
            <w:szCs w:val="22"/>
          </w:rPr>
          <w:t>http://www.whitehouse.gov/omb/procurement_fair-default/</w:t>
        </w:r>
      </w:hyperlink>
      <w:r w:rsidR="00F75083" w:rsidRPr="0003179F">
        <w:rPr>
          <w:sz w:val="22"/>
          <w:szCs w:val="22"/>
        </w:rPr>
        <w:t xml:space="preserve"> </w:t>
      </w:r>
    </w:p>
    <w:p w:rsidR="0045714D" w:rsidRPr="0003179F" w:rsidRDefault="00385A1A" w:rsidP="00247E64">
      <w:pPr>
        <w:pStyle w:val="BodyText"/>
        <w:rPr>
          <w:sz w:val="22"/>
          <w:szCs w:val="22"/>
        </w:rPr>
      </w:pPr>
      <w:r w:rsidRPr="0003179F">
        <w:rPr>
          <w:sz w:val="22"/>
          <w:szCs w:val="22"/>
        </w:rPr>
        <w:t>OMB Circular</w:t>
      </w:r>
      <w:r w:rsidR="00557D37" w:rsidRPr="0003179F">
        <w:rPr>
          <w:sz w:val="22"/>
          <w:szCs w:val="22"/>
        </w:rPr>
        <w:t xml:space="preserve"> No. A-76</w:t>
      </w:r>
      <w:r w:rsidR="0045714D" w:rsidRPr="0003179F">
        <w:rPr>
          <w:sz w:val="22"/>
          <w:szCs w:val="22"/>
        </w:rPr>
        <w:t xml:space="preserve"> </w:t>
      </w:r>
    </w:p>
    <w:p w:rsidR="0045714D" w:rsidRPr="0003179F" w:rsidRDefault="00ED0499" w:rsidP="00247E64">
      <w:pPr>
        <w:pStyle w:val="BodyText"/>
        <w:rPr>
          <w:sz w:val="22"/>
          <w:szCs w:val="22"/>
        </w:rPr>
      </w:pPr>
      <w:hyperlink r:id="rId18" w:history="1">
        <w:r w:rsidR="0045714D" w:rsidRPr="0003179F">
          <w:rPr>
            <w:rStyle w:val="Hyperlink"/>
            <w:sz w:val="22"/>
            <w:szCs w:val="22"/>
          </w:rPr>
          <w:t>http://www.whitehouse.gov/omb/circulars/a076/a76_incl_tech_correction.html</w:t>
        </w:r>
      </w:hyperlink>
    </w:p>
    <w:p w:rsidR="0045714D" w:rsidRPr="0003179F" w:rsidRDefault="00DD5D5F" w:rsidP="00247E64">
      <w:pPr>
        <w:pStyle w:val="BodyText"/>
        <w:rPr>
          <w:sz w:val="22"/>
          <w:szCs w:val="22"/>
        </w:rPr>
      </w:pPr>
      <w:r w:rsidRPr="0003179F">
        <w:rPr>
          <w:sz w:val="22"/>
          <w:szCs w:val="22"/>
        </w:rPr>
        <w:t>OMB Guidance</w:t>
      </w:r>
    </w:p>
    <w:p w:rsidR="00F75083" w:rsidRPr="0003179F" w:rsidRDefault="00ED0499" w:rsidP="00F75083">
      <w:pPr>
        <w:pStyle w:val="BodyText"/>
        <w:rPr>
          <w:sz w:val="22"/>
          <w:szCs w:val="22"/>
        </w:rPr>
      </w:pPr>
      <w:hyperlink r:id="rId19" w:history="1">
        <w:r w:rsidR="00F75083" w:rsidRPr="0003179F">
          <w:rPr>
            <w:rStyle w:val="Hyperlink"/>
            <w:sz w:val="22"/>
            <w:szCs w:val="22"/>
          </w:rPr>
          <w:t>http://www.whitehouse.gov/omb/procurement_fair-default/</w:t>
        </w:r>
      </w:hyperlink>
      <w:r w:rsidR="00F75083" w:rsidRPr="0003179F">
        <w:rPr>
          <w:sz w:val="22"/>
          <w:szCs w:val="22"/>
        </w:rPr>
        <w:t xml:space="preserve"> </w:t>
      </w:r>
    </w:p>
    <w:p w:rsidR="00ED67EB" w:rsidRPr="005A2646" w:rsidRDefault="00ED67EB" w:rsidP="00244B03">
      <w:pPr>
        <w:pStyle w:val="BodyText"/>
      </w:pPr>
    </w:p>
    <w:sectPr w:rsidR="00ED67EB" w:rsidRPr="005A2646" w:rsidSect="00611E11">
      <w:pgSz w:w="12240" w:h="15840" w:code="1"/>
      <w:pgMar w:top="1152" w:right="1440" w:bottom="1152"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004" w:rsidRDefault="00BB5004">
      <w:r>
        <w:separator/>
      </w:r>
    </w:p>
  </w:endnote>
  <w:endnote w:type="continuationSeparator" w:id="0">
    <w:p w:rsidR="00BB5004" w:rsidRDefault="00BB5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2209468"/>
      <w:docPartObj>
        <w:docPartGallery w:val="Page Numbers (Bottom of Page)"/>
        <w:docPartUnique/>
      </w:docPartObj>
    </w:sdtPr>
    <w:sdtEndPr/>
    <w:sdtContent>
      <w:p w:rsidR="00BB5004" w:rsidRPr="00C27A43" w:rsidRDefault="00BB5004" w:rsidP="0072219A">
        <w:pPr>
          <w:pStyle w:val="Footer"/>
          <w:tabs>
            <w:tab w:val="clear" w:pos="8640"/>
            <w:tab w:val="right" w:pos="9360"/>
          </w:tabs>
          <w:jc w:val="left"/>
          <w:rPr>
            <w:rFonts w:asciiTheme="minorHAnsi" w:hAnsiTheme="minorHAnsi"/>
          </w:rPr>
        </w:pPr>
        <w:r w:rsidRPr="00C27A43">
          <w:rPr>
            <w:rFonts w:asciiTheme="minorHAnsi" w:hAnsiTheme="minorHAnsi"/>
          </w:rPr>
          <w:t>IGCA Inventory 201</w:t>
        </w:r>
        <w:r>
          <w:rPr>
            <w:rFonts w:asciiTheme="minorHAnsi" w:hAnsiTheme="minorHAnsi"/>
          </w:rPr>
          <w:t>5</w:t>
        </w:r>
        <w:r w:rsidRPr="00C27A43">
          <w:rPr>
            <w:rFonts w:asciiTheme="minorHAnsi" w:hAnsiTheme="minorHAnsi"/>
          </w:rPr>
          <w:tab/>
        </w:r>
        <w:r w:rsidRPr="00C27A43">
          <w:rPr>
            <w:rFonts w:asciiTheme="minorHAnsi" w:hAnsiTheme="minorHAnsi"/>
          </w:rPr>
          <w:tab/>
        </w:r>
        <w:r w:rsidRPr="00C27A43">
          <w:rPr>
            <w:rFonts w:asciiTheme="minorHAnsi" w:hAnsiTheme="minorHAnsi"/>
          </w:rPr>
          <w:fldChar w:fldCharType="begin"/>
        </w:r>
        <w:r w:rsidRPr="00C27A43">
          <w:rPr>
            <w:rFonts w:asciiTheme="minorHAnsi" w:hAnsiTheme="minorHAnsi"/>
          </w:rPr>
          <w:instrText xml:space="preserve"> PAGE   \* MERGEFORMAT </w:instrText>
        </w:r>
        <w:r w:rsidRPr="00C27A43">
          <w:rPr>
            <w:rFonts w:asciiTheme="minorHAnsi" w:hAnsiTheme="minorHAnsi"/>
          </w:rPr>
          <w:fldChar w:fldCharType="separate"/>
        </w:r>
        <w:r w:rsidR="00ED0499">
          <w:rPr>
            <w:rFonts w:asciiTheme="minorHAnsi" w:hAnsiTheme="minorHAnsi"/>
            <w:noProof/>
          </w:rPr>
          <w:t>6</w:t>
        </w:r>
        <w:r w:rsidRPr="00C27A43">
          <w:rPr>
            <w:rFonts w:asciiTheme="minorHAnsi" w:hAnsiTheme="minorHAnsi"/>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04" w:rsidRDefault="00BB5004" w:rsidP="00B66B17">
    <w:pPr>
      <w:pStyle w:val="Footer"/>
      <w:pBdr>
        <w:top w:val="none" w:sz="0" w:space="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04" w:rsidRDefault="00BB5004" w:rsidP="00B66B17">
    <w:pPr>
      <w:pStyle w:val="Footer"/>
      <w:pBdr>
        <w:top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004" w:rsidRDefault="00BB5004">
      <w:r>
        <w:separator/>
      </w:r>
    </w:p>
  </w:footnote>
  <w:footnote w:type="continuationSeparator" w:id="0">
    <w:p w:rsidR="00BB5004" w:rsidRDefault="00BB5004">
      <w:r>
        <w:continuationSeparator/>
      </w:r>
    </w:p>
  </w:footnote>
  <w:footnote w:id="1">
    <w:p w:rsidR="00BB5004" w:rsidRPr="005F582A" w:rsidRDefault="00BB5004" w:rsidP="005F582A">
      <w:pPr>
        <w:pStyle w:val="Default"/>
        <w:rPr>
          <w:rFonts w:asciiTheme="minorHAnsi" w:hAnsiTheme="minorHAnsi"/>
          <w:sz w:val="18"/>
          <w:szCs w:val="18"/>
        </w:rPr>
      </w:pPr>
      <w:r w:rsidRPr="005F582A">
        <w:rPr>
          <w:rStyle w:val="FootnoteReference"/>
          <w:rFonts w:asciiTheme="minorHAnsi" w:hAnsiTheme="minorHAnsi"/>
          <w:szCs w:val="18"/>
        </w:rPr>
        <w:footnoteRef/>
      </w:r>
      <w:r w:rsidRPr="005F582A">
        <w:rPr>
          <w:rFonts w:asciiTheme="minorHAnsi" w:hAnsiTheme="minorHAnsi"/>
          <w:sz w:val="18"/>
          <w:szCs w:val="18"/>
        </w:rPr>
        <w:t xml:space="preserve"> The Policy Letter is published at 76 Fed. Reg. 56227 (September 12, 2011), with a technical correction at 77 Fed. Reg. 7609 (February 13, 2012).  These Federal Register notices and related materials are on OMB’s website at </w:t>
      </w:r>
      <w:hyperlink r:id="rId1" w:history="1">
        <w:r w:rsidRPr="005F582A">
          <w:rPr>
            <w:rStyle w:val="Hyperlink"/>
            <w:rFonts w:asciiTheme="minorHAnsi" w:hAnsiTheme="minorHAnsi"/>
            <w:sz w:val="18"/>
            <w:szCs w:val="18"/>
          </w:rPr>
          <w:t>http://www.whitehouse.gov/omb/procurement_index_work_performance/</w:t>
        </w:r>
      </w:hyperlink>
      <w:r w:rsidRPr="005F582A">
        <w:rPr>
          <w:rFonts w:asciiTheme="minorHAnsi" w:hAnsiTheme="minorHAnsi"/>
          <w:color w:val="0000FF"/>
          <w:sz w:val="18"/>
          <w:szCs w:val="18"/>
        </w:rPr>
        <w:t xml:space="preserve">.  </w:t>
      </w:r>
    </w:p>
  </w:footnote>
  <w:footnote w:id="2">
    <w:p w:rsidR="00BB5004" w:rsidRPr="005F582A" w:rsidRDefault="00BB5004" w:rsidP="005F582A">
      <w:pPr>
        <w:pStyle w:val="FootnoteText"/>
      </w:pPr>
      <w:r>
        <w:rPr>
          <w:rStyle w:val="FootnoteReference"/>
        </w:rPr>
        <w:footnoteRef/>
      </w:r>
      <w:r>
        <w:t xml:space="preserve"> </w:t>
      </w:r>
      <w:r w:rsidRPr="005F582A">
        <w:t>For further assistance in determining whether an FTE is inherently governmental, review the informative reference guidance in the OFPP Policy Letter 11-01, Section 5-1.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31C93"/>
    <w:multiLevelType w:val="multilevel"/>
    <w:tmpl w:val="9B7E97A6"/>
    <w:lvl w:ilvl="0">
      <w:start w:val="1"/>
      <w:numFmt w:val="decimal"/>
      <w:pStyle w:val="Style1"/>
      <w:lvlText w:val="Section %1:"/>
      <w:lvlJc w:val="left"/>
      <w:pPr>
        <w:tabs>
          <w:tab w:val="num" w:pos="1800"/>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none"/>
      <w:lvlText w:val="1.1.1"/>
      <w:lvlJc w:val="left"/>
      <w:pPr>
        <w:tabs>
          <w:tab w:val="num" w:pos="720"/>
        </w:tabs>
        <w:ind w:left="720" w:hanging="720"/>
      </w:pPr>
      <w:rPr>
        <w:rFonts w:hint="default"/>
        <w:color w:val="auto"/>
      </w:rPr>
    </w:lvl>
    <w:lvl w:ilvl="3">
      <w:start w:val="1"/>
      <w:numFmt w:val="decimal"/>
      <w:lvlText w:val="%1.%2%3.%4"/>
      <w:lvlJc w:val="left"/>
      <w:pPr>
        <w:tabs>
          <w:tab w:val="num" w:pos="864"/>
        </w:tabs>
        <w:ind w:left="864" w:hanging="864"/>
      </w:pPr>
      <w:rPr>
        <w:rFonts w:hint="default"/>
        <w:color w:val="auto"/>
      </w:rPr>
    </w:lvl>
    <w:lvl w:ilvl="4">
      <w:start w:val="1"/>
      <w:numFmt w:val="decimal"/>
      <w:lvlText w:val="%1.%2.%3.%4.%5"/>
      <w:lvlJc w:val="left"/>
      <w:pPr>
        <w:tabs>
          <w:tab w:val="num" w:pos="1008"/>
        </w:tabs>
        <w:ind w:left="1008" w:hanging="1008"/>
      </w:pPr>
      <w:rPr>
        <w:rFonts w:hint="default"/>
      </w:rPr>
    </w:lvl>
    <w:lvl w:ilvl="5">
      <w:start w:val="1"/>
      <w:numFmt w:val="none"/>
      <w:lvlRestart w:val="0"/>
      <w:lvlText w:val="Appendix B:"/>
      <w:lvlJc w:val="left"/>
      <w:pPr>
        <w:tabs>
          <w:tab w:val="num" w:pos="1800"/>
        </w:tabs>
        <w:ind w:left="1152" w:hanging="1152"/>
      </w:pPr>
      <w:rPr>
        <w:rFonts w:hint="default"/>
      </w:rPr>
    </w:lvl>
    <w:lvl w:ilvl="6">
      <w:start w:val="1"/>
      <w:numFmt w:val="decimal"/>
      <w:lvlText w:val="%6.%7"/>
      <w:lvlJc w:val="left"/>
      <w:pPr>
        <w:tabs>
          <w:tab w:val="num" w:pos="1296"/>
        </w:tabs>
        <w:ind w:left="1296" w:hanging="1296"/>
      </w:pPr>
      <w:rPr>
        <w:rFonts w:hint="default"/>
      </w:rPr>
    </w:lvl>
    <w:lvl w:ilvl="7">
      <w:start w:val="1"/>
      <w:numFmt w:val="decimal"/>
      <w:lvlText w:val="%6.%7.%8"/>
      <w:lvlJc w:val="left"/>
      <w:pPr>
        <w:tabs>
          <w:tab w:val="num" w:pos="1440"/>
        </w:tabs>
        <w:ind w:left="1440" w:hanging="1440"/>
      </w:pPr>
      <w:rPr>
        <w:rFonts w:hint="default"/>
      </w:rPr>
    </w:lvl>
    <w:lvl w:ilvl="8">
      <w:start w:val="1"/>
      <w:numFmt w:val="decimal"/>
      <w:lvlRestart w:val="0"/>
      <w:lvlText w:val="%6.%7.%8.%9"/>
      <w:lvlJc w:val="left"/>
      <w:pPr>
        <w:tabs>
          <w:tab w:val="num" w:pos="1584"/>
        </w:tabs>
        <w:ind w:left="1584" w:hanging="1584"/>
      </w:pPr>
      <w:rPr>
        <w:rFonts w:hint="default"/>
      </w:rPr>
    </w:lvl>
  </w:abstractNum>
  <w:abstractNum w:abstractNumId="1">
    <w:nsid w:val="418255F0"/>
    <w:multiLevelType w:val="hybridMultilevel"/>
    <w:tmpl w:val="5802B862"/>
    <w:lvl w:ilvl="0" w:tplc="18EECDC4">
      <w:start w:val="1"/>
      <w:numFmt w:val="decimal"/>
      <w:lvlText w:val="%1."/>
      <w:lvlJc w:val="left"/>
      <w:pPr>
        <w:tabs>
          <w:tab w:val="num" w:pos="720"/>
        </w:tabs>
        <w:ind w:left="720" w:hanging="360"/>
      </w:pPr>
    </w:lvl>
    <w:lvl w:ilvl="1" w:tplc="4F0625E0" w:tentative="1">
      <w:start w:val="1"/>
      <w:numFmt w:val="decimal"/>
      <w:lvlText w:val="%2."/>
      <w:lvlJc w:val="left"/>
      <w:pPr>
        <w:tabs>
          <w:tab w:val="num" w:pos="1440"/>
        </w:tabs>
        <w:ind w:left="1440" w:hanging="360"/>
      </w:pPr>
    </w:lvl>
    <w:lvl w:ilvl="2" w:tplc="9048BFEA">
      <w:start w:val="328"/>
      <w:numFmt w:val="bullet"/>
      <w:lvlText w:val="•"/>
      <w:lvlJc w:val="left"/>
      <w:pPr>
        <w:tabs>
          <w:tab w:val="num" w:pos="2160"/>
        </w:tabs>
        <w:ind w:left="2160" w:hanging="360"/>
      </w:pPr>
      <w:rPr>
        <w:rFonts w:ascii="Times New Roman" w:hAnsi="Times New Roman" w:hint="default"/>
      </w:rPr>
    </w:lvl>
    <w:lvl w:ilvl="3" w:tplc="F7F2A33C" w:tentative="1">
      <w:start w:val="1"/>
      <w:numFmt w:val="decimal"/>
      <w:lvlText w:val="%4."/>
      <w:lvlJc w:val="left"/>
      <w:pPr>
        <w:tabs>
          <w:tab w:val="num" w:pos="2880"/>
        </w:tabs>
        <w:ind w:left="2880" w:hanging="360"/>
      </w:pPr>
    </w:lvl>
    <w:lvl w:ilvl="4" w:tplc="C46C0CF8" w:tentative="1">
      <w:start w:val="1"/>
      <w:numFmt w:val="decimal"/>
      <w:lvlText w:val="%5."/>
      <w:lvlJc w:val="left"/>
      <w:pPr>
        <w:tabs>
          <w:tab w:val="num" w:pos="3600"/>
        </w:tabs>
        <w:ind w:left="3600" w:hanging="360"/>
      </w:pPr>
    </w:lvl>
    <w:lvl w:ilvl="5" w:tplc="E8C8EBFC" w:tentative="1">
      <w:start w:val="1"/>
      <w:numFmt w:val="decimal"/>
      <w:lvlText w:val="%6."/>
      <w:lvlJc w:val="left"/>
      <w:pPr>
        <w:tabs>
          <w:tab w:val="num" w:pos="4320"/>
        </w:tabs>
        <w:ind w:left="4320" w:hanging="360"/>
      </w:pPr>
    </w:lvl>
    <w:lvl w:ilvl="6" w:tplc="B64623D0" w:tentative="1">
      <w:start w:val="1"/>
      <w:numFmt w:val="decimal"/>
      <w:lvlText w:val="%7."/>
      <w:lvlJc w:val="left"/>
      <w:pPr>
        <w:tabs>
          <w:tab w:val="num" w:pos="5040"/>
        </w:tabs>
        <w:ind w:left="5040" w:hanging="360"/>
      </w:pPr>
    </w:lvl>
    <w:lvl w:ilvl="7" w:tplc="39FABC80" w:tentative="1">
      <w:start w:val="1"/>
      <w:numFmt w:val="decimal"/>
      <w:lvlText w:val="%8."/>
      <w:lvlJc w:val="left"/>
      <w:pPr>
        <w:tabs>
          <w:tab w:val="num" w:pos="5760"/>
        </w:tabs>
        <w:ind w:left="5760" w:hanging="360"/>
      </w:pPr>
    </w:lvl>
    <w:lvl w:ilvl="8" w:tplc="01A0CE76" w:tentative="1">
      <w:start w:val="1"/>
      <w:numFmt w:val="decimal"/>
      <w:lvlText w:val="%9."/>
      <w:lvlJc w:val="left"/>
      <w:pPr>
        <w:tabs>
          <w:tab w:val="num" w:pos="6480"/>
        </w:tabs>
        <w:ind w:left="6480" w:hanging="360"/>
      </w:pPr>
    </w:lvl>
  </w:abstractNum>
  <w:abstractNum w:abstractNumId="2">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3">
    <w:nsid w:val="4C7906AA"/>
    <w:multiLevelType w:val="hybridMultilevel"/>
    <w:tmpl w:val="AE00EA60"/>
    <w:lvl w:ilvl="0" w:tplc="15E8D1DC">
      <w:start w:val="1"/>
      <w:numFmt w:val="bullet"/>
      <w:lvlText w:val="•"/>
      <w:lvlJc w:val="left"/>
      <w:pPr>
        <w:tabs>
          <w:tab w:val="num" w:pos="720"/>
        </w:tabs>
        <w:ind w:left="720" w:hanging="360"/>
      </w:pPr>
      <w:rPr>
        <w:rFonts w:ascii="Times New Roman" w:hAnsi="Times New Roman" w:hint="default"/>
      </w:rPr>
    </w:lvl>
    <w:lvl w:ilvl="1" w:tplc="6F82587A" w:tentative="1">
      <w:start w:val="1"/>
      <w:numFmt w:val="bullet"/>
      <w:lvlText w:val="•"/>
      <w:lvlJc w:val="left"/>
      <w:pPr>
        <w:tabs>
          <w:tab w:val="num" w:pos="1440"/>
        </w:tabs>
        <w:ind w:left="1440" w:hanging="360"/>
      </w:pPr>
      <w:rPr>
        <w:rFonts w:ascii="Times New Roman" w:hAnsi="Times New Roman" w:hint="default"/>
      </w:rPr>
    </w:lvl>
    <w:lvl w:ilvl="2" w:tplc="D10EA5EE">
      <w:start w:val="1"/>
      <w:numFmt w:val="bullet"/>
      <w:lvlText w:val="•"/>
      <w:lvlJc w:val="left"/>
      <w:pPr>
        <w:tabs>
          <w:tab w:val="num" w:pos="2160"/>
        </w:tabs>
        <w:ind w:left="2160" w:hanging="360"/>
      </w:pPr>
      <w:rPr>
        <w:rFonts w:ascii="Times New Roman" w:hAnsi="Times New Roman" w:hint="default"/>
      </w:rPr>
    </w:lvl>
    <w:lvl w:ilvl="3" w:tplc="24FC3EB6" w:tentative="1">
      <w:start w:val="1"/>
      <w:numFmt w:val="bullet"/>
      <w:lvlText w:val="•"/>
      <w:lvlJc w:val="left"/>
      <w:pPr>
        <w:tabs>
          <w:tab w:val="num" w:pos="2880"/>
        </w:tabs>
        <w:ind w:left="2880" w:hanging="360"/>
      </w:pPr>
      <w:rPr>
        <w:rFonts w:ascii="Times New Roman" w:hAnsi="Times New Roman" w:hint="default"/>
      </w:rPr>
    </w:lvl>
    <w:lvl w:ilvl="4" w:tplc="5EBE3762" w:tentative="1">
      <w:start w:val="1"/>
      <w:numFmt w:val="bullet"/>
      <w:lvlText w:val="•"/>
      <w:lvlJc w:val="left"/>
      <w:pPr>
        <w:tabs>
          <w:tab w:val="num" w:pos="3600"/>
        </w:tabs>
        <w:ind w:left="3600" w:hanging="360"/>
      </w:pPr>
      <w:rPr>
        <w:rFonts w:ascii="Times New Roman" w:hAnsi="Times New Roman" w:hint="default"/>
      </w:rPr>
    </w:lvl>
    <w:lvl w:ilvl="5" w:tplc="3266DD78" w:tentative="1">
      <w:start w:val="1"/>
      <w:numFmt w:val="bullet"/>
      <w:lvlText w:val="•"/>
      <w:lvlJc w:val="left"/>
      <w:pPr>
        <w:tabs>
          <w:tab w:val="num" w:pos="4320"/>
        </w:tabs>
        <w:ind w:left="4320" w:hanging="360"/>
      </w:pPr>
      <w:rPr>
        <w:rFonts w:ascii="Times New Roman" w:hAnsi="Times New Roman" w:hint="default"/>
      </w:rPr>
    </w:lvl>
    <w:lvl w:ilvl="6" w:tplc="CD64F736" w:tentative="1">
      <w:start w:val="1"/>
      <w:numFmt w:val="bullet"/>
      <w:lvlText w:val="•"/>
      <w:lvlJc w:val="left"/>
      <w:pPr>
        <w:tabs>
          <w:tab w:val="num" w:pos="5040"/>
        </w:tabs>
        <w:ind w:left="5040" w:hanging="360"/>
      </w:pPr>
      <w:rPr>
        <w:rFonts w:ascii="Times New Roman" w:hAnsi="Times New Roman" w:hint="default"/>
      </w:rPr>
    </w:lvl>
    <w:lvl w:ilvl="7" w:tplc="7210596A" w:tentative="1">
      <w:start w:val="1"/>
      <w:numFmt w:val="bullet"/>
      <w:lvlText w:val="•"/>
      <w:lvlJc w:val="left"/>
      <w:pPr>
        <w:tabs>
          <w:tab w:val="num" w:pos="5760"/>
        </w:tabs>
        <w:ind w:left="5760" w:hanging="360"/>
      </w:pPr>
      <w:rPr>
        <w:rFonts w:ascii="Times New Roman" w:hAnsi="Times New Roman" w:hint="default"/>
      </w:rPr>
    </w:lvl>
    <w:lvl w:ilvl="8" w:tplc="BD54B93E" w:tentative="1">
      <w:start w:val="1"/>
      <w:numFmt w:val="bullet"/>
      <w:lvlText w:val="•"/>
      <w:lvlJc w:val="left"/>
      <w:pPr>
        <w:tabs>
          <w:tab w:val="num" w:pos="6480"/>
        </w:tabs>
        <w:ind w:left="6480" w:hanging="360"/>
      </w:pPr>
      <w:rPr>
        <w:rFonts w:ascii="Times New Roman" w:hAnsi="Times New Roman" w:hint="default"/>
      </w:rPr>
    </w:lvl>
  </w:abstractNum>
  <w:abstractNum w:abstractNumId="4">
    <w:nsid w:val="4EC934F7"/>
    <w:multiLevelType w:val="hybridMultilevel"/>
    <w:tmpl w:val="9EE0737A"/>
    <w:lvl w:ilvl="0" w:tplc="04987582">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6">
    <w:nsid w:val="655B1C6F"/>
    <w:multiLevelType w:val="hybridMultilevel"/>
    <w:tmpl w:val="2A30E6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CB70CD"/>
    <w:multiLevelType w:val="hybridMultilevel"/>
    <w:tmpl w:val="8C9E07BA"/>
    <w:lvl w:ilvl="0" w:tplc="BC62A04C">
      <w:start w:val="1"/>
      <w:numFmt w:val="decimal"/>
      <w:lvlText w:val="%1."/>
      <w:lvlJc w:val="left"/>
      <w:pPr>
        <w:tabs>
          <w:tab w:val="num" w:pos="3240"/>
        </w:tabs>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7"/>
  </w:num>
  <w:num w:numId="5">
    <w:abstractNumId w:val="0"/>
  </w:num>
  <w:num w:numId="6">
    <w:abstractNumId w:val="6"/>
  </w:num>
  <w:num w:numId="7">
    <w:abstractNumId w:val="1"/>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rawingGridVerticalSpacing w:val="187"/>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6C7"/>
    <w:rsid w:val="00012862"/>
    <w:rsid w:val="00020004"/>
    <w:rsid w:val="00023B86"/>
    <w:rsid w:val="0003179F"/>
    <w:rsid w:val="00031E6F"/>
    <w:rsid w:val="0003284F"/>
    <w:rsid w:val="00032B6E"/>
    <w:rsid w:val="00032DD4"/>
    <w:rsid w:val="00034C16"/>
    <w:rsid w:val="00041046"/>
    <w:rsid w:val="000410CD"/>
    <w:rsid w:val="00043FE6"/>
    <w:rsid w:val="00047FBD"/>
    <w:rsid w:val="00053420"/>
    <w:rsid w:val="00057618"/>
    <w:rsid w:val="00060076"/>
    <w:rsid w:val="00073E8C"/>
    <w:rsid w:val="000810B1"/>
    <w:rsid w:val="00081C28"/>
    <w:rsid w:val="000849E8"/>
    <w:rsid w:val="00085E6E"/>
    <w:rsid w:val="000864D1"/>
    <w:rsid w:val="00091AAC"/>
    <w:rsid w:val="00091D9C"/>
    <w:rsid w:val="00094FED"/>
    <w:rsid w:val="000952A3"/>
    <w:rsid w:val="000A1E65"/>
    <w:rsid w:val="000B41C1"/>
    <w:rsid w:val="000D4EF5"/>
    <w:rsid w:val="000D7D41"/>
    <w:rsid w:val="000E6DC4"/>
    <w:rsid w:val="000E76EA"/>
    <w:rsid w:val="000F0CE6"/>
    <w:rsid w:val="000F1497"/>
    <w:rsid w:val="000F160D"/>
    <w:rsid w:val="000F6FF8"/>
    <w:rsid w:val="00101928"/>
    <w:rsid w:val="00102F73"/>
    <w:rsid w:val="001045E4"/>
    <w:rsid w:val="00110CB9"/>
    <w:rsid w:val="00114503"/>
    <w:rsid w:val="00114784"/>
    <w:rsid w:val="0012189F"/>
    <w:rsid w:val="00123B5E"/>
    <w:rsid w:val="00126AC3"/>
    <w:rsid w:val="001334F6"/>
    <w:rsid w:val="001401E1"/>
    <w:rsid w:val="00146E29"/>
    <w:rsid w:val="00147965"/>
    <w:rsid w:val="00150EFD"/>
    <w:rsid w:val="00152A7E"/>
    <w:rsid w:val="00152B67"/>
    <w:rsid w:val="001574F6"/>
    <w:rsid w:val="00157C86"/>
    <w:rsid w:val="00162B48"/>
    <w:rsid w:val="001679AB"/>
    <w:rsid w:val="0017789A"/>
    <w:rsid w:val="00180C66"/>
    <w:rsid w:val="001851BE"/>
    <w:rsid w:val="00185B50"/>
    <w:rsid w:val="00186FB1"/>
    <w:rsid w:val="001871C7"/>
    <w:rsid w:val="0018767F"/>
    <w:rsid w:val="001902BA"/>
    <w:rsid w:val="001933CD"/>
    <w:rsid w:val="001A251C"/>
    <w:rsid w:val="001A3CD1"/>
    <w:rsid w:val="001A6BB3"/>
    <w:rsid w:val="001B4077"/>
    <w:rsid w:val="001B633E"/>
    <w:rsid w:val="001D1927"/>
    <w:rsid w:val="001D4C5E"/>
    <w:rsid w:val="001D4DD6"/>
    <w:rsid w:val="001D5BE1"/>
    <w:rsid w:val="001F0EAA"/>
    <w:rsid w:val="001F38F7"/>
    <w:rsid w:val="001F3EF7"/>
    <w:rsid w:val="002052A0"/>
    <w:rsid w:val="00205E00"/>
    <w:rsid w:val="0021245D"/>
    <w:rsid w:val="00214FDE"/>
    <w:rsid w:val="002241C3"/>
    <w:rsid w:val="00225AA8"/>
    <w:rsid w:val="00227C42"/>
    <w:rsid w:val="0023084F"/>
    <w:rsid w:val="0023581F"/>
    <w:rsid w:val="002362D6"/>
    <w:rsid w:val="00240331"/>
    <w:rsid w:val="0024267A"/>
    <w:rsid w:val="002446E5"/>
    <w:rsid w:val="00244B03"/>
    <w:rsid w:val="002475F4"/>
    <w:rsid w:val="00247E64"/>
    <w:rsid w:val="0025010E"/>
    <w:rsid w:val="00250F13"/>
    <w:rsid w:val="00256D8D"/>
    <w:rsid w:val="002612E9"/>
    <w:rsid w:val="00262E14"/>
    <w:rsid w:val="002662B5"/>
    <w:rsid w:val="0027108F"/>
    <w:rsid w:val="00272A84"/>
    <w:rsid w:val="002748FF"/>
    <w:rsid w:val="00275589"/>
    <w:rsid w:val="00277B76"/>
    <w:rsid w:val="00294D75"/>
    <w:rsid w:val="00294F2B"/>
    <w:rsid w:val="0029782C"/>
    <w:rsid w:val="002A264E"/>
    <w:rsid w:val="002A7CC5"/>
    <w:rsid w:val="002B1558"/>
    <w:rsid w:val="002B270B"/>
    <w:rsid w:val="002B4AB5"/>
    <w:rsid w:val="002C6F46"/>
    <w:rsid w:val="002D4C6B"/>
    <w:rsid w:val="002E11B3"/>
    <w:rsid w:val="002E4685"/>
    <w:rsid w:val="002E7149"/>
    <w:rsid w:val="00307874"/>
    <w:rsid w:val="0031562B"/>
    <w:rsid w:val="003162BE"/>
    <w:rsid w:val="00321B0A"/>
    <w:rsid w:val="003235F6"/>
    <w:rsid w:val="0032538F"/>
    <w:rsid w:val="00331235"/>
    <w:rsid w:val="00331709"/>
    <w:rsid w:val="003325F3"/>
    <w:rsid w:val="00335360"/>
    <w:rsid w:val="0033697F"/>
    <w:rsid w:val="003402BE"/>
    <w:rsid w:val="003427CC"/>
    <w:rsid w:val="00342CAD"/>
    <w:rsid w:val="00343AA5"/>
    <w:rsid w:val="00345F6F"/>
    <w:rsid w:val="003505EB"/>
    <w:rsid w:val="00364EA9"/>
    <w:rsid w:val="00367268"/>
    <w:rsid w:val="00374BA6"/>
    <w:rsid w:val="00385A1A"/>
    <w:rsid w:val="00385DFD"/>
    <w:rsid w:val="00386120"/>
    <w:rsid w:val="003871D2"/>
    <w:rsid w:val="00392E1E"/>
    <w:rsid w:val="00393512"/>
    <w:rsid w:val="003A3486"/>
    <w:rsid w:val="003B0E88"/>
    <w:rsid w:val="003B150A"/>
    <w:rsid w:val="003B35B7"/>
    <w:rsid w:val="003D2659"/>
    <w:rsid w:val="003D62BD"/>
    <w:rsid w:val="003D6F5B"/>
    <w:rsid w:val="003D6FBE"/>
    <w:rsid w:val="003F2655"/>
    <w:rsid w:val="003F32F5"/>
    <w:rsid w:val="00401E62"/>
    <w:rsid w:val="0040359C"/>
    <w:rsid w:val="00415025"/>
    <w:rsid w:val="00417635"/>
    <w:rsid w:val="004205D9"/>
    <w:rsid w:val="00421D49"/>
    <w:rsid w:val="004265DB"/>
    <w:rsid w:val="0043106A"/>
    <w:rsid w:val="004367D1"/>
    <w:rsid w:val="00442D4F"/>
    <w:rsid w:val="00444837"/>
    <w:rsid w:val="00455F76"/>
    <w:rsid w:val="0045714D"/>
    <w:rsid w:val="00457F8C"/>
    <w:rsid w:val="0046578F"/>
    <w:rsid w:val="00473602"/>
    <w:rsid w:val="00473DF5"/>
    <w:rsid w:val="0048016C"/>
    <w:rsid w:val="00480E62"/>
    <w:rsid w:val="00481F55"/>
    <w:rsid w:val="00491D3C"/>
    <w:rsid w:val="004A4536"/>
    <w:rsid w:val="004A4678"/>
    <w:rsid w:val="004B00AD"/>
    <w:rsid w:val="004B0598"/>
    <w:rsid w:val="004B1876"/>
    <w:rsid w:val="004B75AA"/>
    <w:rsid w:val="004C1FAA"/>
    <w:rsid w:val="004C383D"/>
    <w:rsid w:val="004C5164"/>
    <w:rsid w:val="004D0415"/>
    <w:rsid w:val="004D08BF"/>
    <w:rsid w:val="004D16F1"/>
    <w:rsid w:val="004E1263"/>
    <w:rsid w:val="00500561"/>
    <w:rsid w:val="00500B2F"/>
    <w:rsid w:val="00501AD6"/>
    <w:rsid w:val="005049E7"/>
    <w:rsid w:val="00504D08"/>
    <w:rsid w:val="00510D2A"/>
    <w:rsid w:val="00514B04"/>
    <w:rsid w:val="005253B4"/>
    <w:rsid w:val="005275EE"/>
    <w:rsid w:val="00530491"/>
    <w:rsid w:val="005359A7"/>
    <w:rsid w:val="005360EF"/>
    <w:rsid w:val="005451A1"/>
    <w:rsid w:val="005508A5"/>
    <w:rsid w:val="00557D37"/>
    <w:rsid w:val="00566A5D"/>
    <w:rsid w:val="005672BE"/>
    <w:rsid w:val="00567EF4"/>
    <w:rsid w:val="0057165D"/>
    <w:rsid w:val="00576FB1"/>
    <w:rsid w:val="00580E80"/>
    <w:rsid w:val="00582161"/>
    <w:rsid w:val="005852CE"/>
    <w:rsid w:val="00590193"/>
    <w:rsid w:val="005A047B"/>
    <w:rsid w:val="005A0791"/>
    <w:rsid w:val="005A23FC"/>
    <w:rsid w:val="005A2646"/>
    <w:rsid w:val="005A39A1"/>
    <w:rsid w:val="005B1044"/>
    <w:rsid w:val="005B4835"/>
    <w:rsid w:val="005B557A"/>
    <w:rsid w:val="005B699E"/>
    <w:rsid w:val="005C03EB"/>
    <w:rsid w:val="005C6726"/>
    <w:rsid w:val="005D168B"/>
    <w:rsid w:val="005D26B9"/>
    <w:rsid w:val="005D2A53"/>
    <w:rsid w:val="005E18BA"/>
    <w:rsid w:val="005E6071"/>
    <w:rsid w:val="005F52FF"/>
    <w:rsid w:val="005F582A"/>
    <w:rsid w:val="005F6105"/>
    <w:rsid w:val="006003E7"/>
    <w:rsid w:val="00600D31"/>
    <w:rsid w:val="00602D28"/>
    <w:rsid w:val="00603F1C"/>
    <w:rsid w:val="00610D77"/>
    <w:rsid w:val="00611E11"/>
    <w:rsid w:val="00621949"/>
    <w:rsid w:val="00622C6D"/>
    <w:rsid w:val="006267C1"/>
    <w:rsid w:val="00627F68"/>
    <w:rsid w:val="00634427"/>
    <w:rsid w:val="006436D1"/>
    <w:rsid w:val="00646E9C"/>
    <w:rsid w:val="0064722A"/>
    <w:rsid w:val="006565FF"/>
    <w:rsid w:val="00666BFE"/>
    <w:rsid w:val="0067529B"/>
    <w:rsid w:val="00684F60"/>
    <w:rsid w:val="006924A9"/>
    <w:rsid w:val="00696324"/>
    <w:rsid w:val="00696AC8"/>
    <w:rsid w:val="006B5697"/>
    <w:rsid w:val="006B5879"/>
    <w:rsid w:val="006B71CC"/>
    <w:rsid w:val="006D7350"/>
    <w:rsid w:val="006E36A3"/>
    <w:rsid w:val="006E3FCA"/>
    <w:rsid w:val="006F3CBE"/>
    <w:rsid w:val="00700A23"/>
    <w:rsid w:val="0070674C"/>
    <w:rsid w:val="0072219A"/>
    <w:rsid w:val="00724B90"/>
    <w:rsid w:val="0073245C"/>
    <w:rsid w:val="007370DD"/>
    <w:rsid w:val="007415F7"/>
    <w:rsid w:val="007416B9"/>
    <w:rsid w:val="00743567"/>
    <w:rsid w:val="00745648"/>
    <w:rsid w:val="007465AB"/>
    <w:rsid w:val="007476E6"/>
    <w:rsid w:val="007533A6"/>
    <w:rsid w:val="00756C02"/>
    <w:rsid w:val="007603EB"/>
    <w:rsid w:val="007638F8"/>
    <w:rsid w:val="00765796"/>
    <w:rsid w:val="0077077E"/>
    <w:rsid w:val="00771953"/>
    <w:rsid w:val="007741A8"/>
    <w:rsid w:val="00775D0E"/>
    <w:rsid w:val="00781A25"/>
    <w:rsid w:val="00786867"/>
    <w:rsid w:val="00787A2B"/>
    <w:rsid w:val="0079248A"/>
    <w:rsid w:val="007956B2"/>
    <w:rsid w:val="00796CED"/>
    <w:rsid w:val="007A3843"/>
    <w:rsid w:val="007A39ED"/>
    <w:rsid w:val="007A7FF1"/>
    <w:rsid w:val="007B1568"/>
    <w:rsid w:val="007B3F39"/>
    <w:rsid w:val="007B7080"/>
    <w:rsid w:val="007C5FC5"/>
    <w:rsid w:val="007C7B9D"/>
    <w:rsid w:val="007D05C7"/>
    <w:rsid w:val="007D25D3"/>
    <w:rsid w:val="007D2CC5"/>
    <w:rsid w:val="007E191D"/>
    <w:rsid w:val="007E3342"/>
    <w:rsid w:val="007E3438"/>
    <w:rsid w:val="007F6738"/>
    <w:rsid w:val="008026F7"/>
    <w:rsid w:val="008044BE"/>
    <w:rsid w:val="008168EC"/>
    <w:rsid w:val="00837CAE"/>
    <w:rsid w:val="008410EF"/>
    <w:rsid w:val="008424E5"/>
    <w:rsid w:val="00843CDF"/>
    <w:rsid w:val="0084757A"/>
    <w:rsid w:val="0085210F"/>
    <w:rsid w:val="00853C71"/>
    <w:rsid w:val="0085504E"/>
    <w:rsid w:val="00857264"/>
    <w:rsid w:val="0086128D"/>
    <w:rsid w:val="008629BC"/>
    <w:rsid w:val="00863CDB"/>
    <w:rsid w:val="00864584"/>
    <w:rsid w:val="0087197C"/>
    <w:rsid w:val="00873E2C"/>
    <w:rsid w:val="00874FF1"/>
    <w:rsid w:val="008770AD"/>
    <w:rsid w:val="00877B7B"/>
    <w:rsid w:val="00877B8D"/>
    <w:rsid w:val="008844E7"/>
    <w:rsid w:val="008A2920"/>
    <w:rsid w:val="008A5543"/>
    <w:rsid w:val="008A66D0"/>
    <w:rsid w:val="008B3439"/>
    <w:rsid w:val="008B6D14"/>
    <w:rsid w:val="008C1505"/>
    <w:rsid w:val="008C6802"/>
    <w:rsid w:val="008D4BBF"/>
    <w:rsid w:val="008D51BC"/>
    <w:rsid w:val="008D68FD"/>
    <w:rsid w:val="008E03F2"/>
    <w:rsid w:val="008E4DF6"/>
    <w:rsid w:val="008F293E"/>
    <w:rsid w:val="00900148"/>
    <w:rsid w:val="00907F1F"/>
    <w:rsid w:val="0091350C"/>
    <w:rsid w:val="00920373"/>
    <w:rsid w:val="00925C2E"/>
    <w:rsid w:val="0094143B"/>
    <w:rsid w:val="009420C8"/>
    <w:rsid w:val="009439F7"/>
    <w:rsid w:val="00945FA8"/>
    <w:rsid w:val="009471A4"/>
    <w:rsid w:val="0095005C"/>
    <w:rsid w:val="00950394"/>
    <w:rsid w:val="00953DA4"/>
    <w:rsid w:val="00961301"/>
    <w:rsid w:val="009620D9"/>
    <w:rsid w:val="00964ABF"/>
    <w:rsid w:val="009756CE"/>
    <w:rsid w:val="009759FB"/>
    <w:rsid w:val="009763B7"/>
    <w:rsid w:val="009768BB"/>
    <w:rsid w:val="00976BD3"/>
    <w:rsid w:val="00977C9A"/>
    <w:rsid w:val="009809C0"/>
    <w:rsid w:val="00983900"/>
    <w:rsid w:val="0099279D"/>
    <w:rsid w:val="00995CC1"/>
    <w:rsid w:val="009A0C90"/>
    <w:rsid w:val="009A0DB5"/>
    <w:rsid w:val="009A277B"/>
    <w:rsid w:val="009A29B9"/>
    <w:rsid w:val="009C55B1"/>
    <w:rsid w:val="009D66D1"/>
    <w:rsid w:val="00A02853"/>
    <w:rsid w:val="00A0371B"/>
    <w:rsid w:val="00A12CA6"/>
    <w:rsid w:val="00A13093"/>
    <w:rsid w:val="00A14EF4"/>
    <w:rsid w:val="00A23013"/>
    <w:rsid w:val="00A24C7E"/>
    <w:rsid w:val="00A27855"/>
    <w:rsid w:val="00A3307A"/>
    <w:rsid w:val="00A4147B"/>
    <w:rsid w:val="00A42AA1"/>
    <w:rsid w:val="00A42DB9"/>
    <w:rsid w:val="00A47CFA"/>
    <w:rsid w:val="00A535E4"/>
    <w:rsid w:val="00A54F5F"/>
    <w:rsid w:val="00A57954"/>
    <w:rsid w:val="00A57F02"/>
    <w:rsid w:val="00A61E8D"/>
    <w:rsid w:val="00A63EFA"/>
    <w:rsid w:val="00A715EB"/>
    <w:rsid w:val="00A763CB"/>
    <w:rsid w:val="00A86286"/>
    <w:rsid w:val="00A95B37"/>
    <w:rsid w:val="00A97B7B"/>
    <w:rsid w:val="00AA3232"/>
    <w:rsid w:val="00AA440C"/>
    <w:rsid w:val="00AA6789"/>
    <w:rsid w:val="00AB0918"/>
    <w:rsid w:val="00AB119E"/>
    <w:rsid w:val="00AC7362"/>
    <w:rsid w:val="00AD1D14"/>
    <w:rsid w:val="00AD3326"/>
    <w:rsid w:val="00AD456C"/>
    <w:rsid w:val="00AD5706"/>
    <w:rsid w:val="00AE27BB"/>
    <w:rsid w:val="00AE68CF"/>
    <w:rsid w:val="00AF1F4A"/>
    <w:rsid w:val="00AF205F"/>
    <w:rsid w:val="00AF4E11"/>
    <w:rsid w:val="00AF5B2E"/>
    <w:rsid w:val="00B02378"/>
    <w:rsid w:val="00B06B29"/>
    <w:rsid w:val="00B11E6A"/>
    <w:rsid w:val="00B12043"/>
    <w:rsid w:val="00B21718"/>
    <w:rsid w:val="00B237DF"/>
    <w:rsid w:val="00B25E84"/>
    <w:rsid w:val="00B26E66"/>
    <w:rsid w:val="00B33B89"/>
    <w:rsid w:val="00B3490C"/>
    <w:rsid w:val="00B41464"/>
    <w:rsid w:val="00B42C7B"/>
    <w:rsid w:val="00B43C79"/>
    <w:rsid w:val="00B4743D"/>
    <w:rsid w:val="00B51772"/>
    <w:rsid w:val="00B639F5"/>
    <w:rsid w:val="00B653E8"/>
    <w:rsid w:val="00B66B17"/>
    <w:rsid w:val="00B66EC7"/>
    <w:rsid w:val="00B75975"/>
    <w:rsid w:val="00B77C4B"/>
    <w:rsid w:val="00B80561"/>
    <w:rsid w:val="00B83122"/>
    <w:rsid w:val="00B9112D"/>
    <w:rsid w:val="00B95F00"/>
    <w:rsid w:val="00B96C51"/>
    <w:rsid w:val="00B9745B"/>
    <w:rsid w:val="00BA5C6C"/>
    <w:rsid w:val="00BB1130"/>
    <w:rsid w:val="00BB5004"/>
    <w:rsid w:val="00BC0CA4"/>
    <w:rsid w:val="00BD21BB"/>
    <w:rsid w:val="00BD3A12"/>
    <w:rsid w:val="00BD5F2B"/>
    <w:rsid w:val="00BD76DB"/>
    <w:rsid w:val="00BE01E4"/>
    <w:rsid w:val="00BE1C5C"/>
    <w:rsid w:val="00BE60C1"/>
    <w:rsid w:val="00BE6653"/>
    <w:rsid w:val="00BE68E0"/>
    <w:rsid w:val="00BF62C6"/>
    <w:rsid w:val="00C02D3A"/>
    <w:rsid w:val="00C03F3B"/>
    <w:rsid w:val="00C05197"/>
    <w:rsid w:val="00C128F5"/>
    <w:rsid w:val="00C25174"/>
    <w:rsid w:val="00C25719"/>
    <w:rsid w:val="00C27A43"/>
    <w:rsid w:val="00C34A37"/>
    <w:rsid w:val="00C35164"/>
    <w:rsid w:val="00C4701F"/>
    <w:rsid w:val="00C537B1"/>
    <w:rsid w:val="00C5529E"/>
    <w:rsid w:val="00C57811"/>
    <w:rsid w:val="00C604C1"/>
    <w:rsid w:val="00C624C8"/>
    <w:rsid w:val="00C62D11"/>
    <w:rsid w:val="00C671A4"/>
    <w:rsid w:val="00C73063"/>
    <w:rsid w:val="00C75245"/>
    <w:rsid w:val="00C7780C"/>
    <w:rsid w:val="00C85082"/>
    <w:rsid w:val="00C95B52"/>
    <w:rsid w:val="00CA0C94"/>
    <w:rsid w:val="00CB4590"/>
    <w:rsid w:val="00CB5C9A"/>
    <w:rsid w:val="00CB6886"/>
    <w:rsid w:val="00CB6A3F"/>
    <w:rsid w:val="00CB7ECF"/>
    <w:rsid w:val="00CC5366"/>
    <w:rsid w:val="00CC72E0"/>
    <w:rsid w:val="00CE0DB6"/>
    <w:rsid w:val="00CE7725"/>
    <w:rsid w:val="00CF004F"/>
    <w:rsid w:val="00CF04A7"/>
    <w:rsid w:val="00CF0D27"/>
    <w:rsid w:val="00CF0E1C"/>
    <w:rsid w:val="00CF2F0A"/>
    <w:rsid w:val="00CF366A"/>
    <w:rsid w:val="00D05564"/>
    <w:rsid w:val="00D14ECD"/>
    <w:rsid w:val="00D20313"/>
    <w:rsid w:val="00D206F3"/>
    <w:rsid w:val="00D23272"/>
    <w:rsid w:val="00D259E2"/>
    <w:rsid w:val="00D34665"/>
    <w:rsid w:val="00D34C40"/>
    <w:rsid w:val="00D3524B"/>
    <w:rsid w:val="00D3630C"/>
    <w:rsid w:val="00D370D9"/>
    <w:rsid w:val="00D4745B"/>
    <w:rsid w:val="00D52501"/>
    <w:rsid w:val="00D536AA"/>
    <w:rsid w:val="00D53E95"/>
    <w:rsid w:val="00D60417"/>
    <w:rsid w:val="00D61364"/>
    <w:rsid w:val="00D63FA9"/>
    <w:rsid w:val="00D6516D"/>
    <w:rsid w:val="00D730DC"/>
    <w:rsid w:val="00D828CC"/>
    <w:rsid w:val="00D94630"/>
    <w:rsid w:val="00D9762D"/>
    <w:rsid w:val="00D97AB6"/>
    <w:rsid w:val="00DA28BB"/>
    <w:rsid w:val="00DA4BFC"/>
    <w:rsid w:val="00DA7822"/>
    <w:rsid w:val="00DA7AF4"/>
    <w:rsid w:val="00DB0340"/>
    <w:rsid w:val="00DB05AE"/>
    <w:rsid w:val="00DC4433"/>
    <w:rsid w:val="00DC7B59"/>
    <w:rsid w:val="00DD41F1"/>
    <w:rsid w:val="00DD511A"/>
    <w:rsid w:val="00DD5D5F"/>
    <w:rsid w:val="00DE578B"/>
    <w:rsid w:val="00DF1D6C"/>
    <w:rsid w:val="00DF6E25"/>
    <w:rsid w:val="00E01C0E"/>
    <w:rsid w:val="00E04009"/>
    <w:rsid w:val="00E075F9"/>
    <w:rsid w:val="00E116EF"/>
    <w:rsid w:val="00E11C29"/>
    <w:rsid w:val="00E14F74"/>
    <w:rsid w:val="00E16EE8"/>
    <w:rsid w:val="00E257A6"/>
    <w:rsid w:val="00E27ACD"/>
    <w:rsid w:val="00E31B2C"/>
    <w:rsid w:val="00E373E3"/>
    <w:rsid w:val="00E42A74"/>
    <w:rsid w:val="00E42D7D"/>
    <w:rsid w:val="00E47384"/>
    <w:rsid w:val="00E514E3"/>
    <w:rsid w:val="00E573CA"/>
    <w:rsid w:val="00E64DEE"/>
    <w:rsid w:val="00E71EA0"/>
    <w:rsid w:val="00E743D0"/>
    <w:rsid w:val="00E8174A"/>
    <w:rsid w:val="00E84D77"/>
    <w:rsid w:val="00E8787C"/>
    <w:rsid w:val="00E93E1E"/>
    <w:rsid w:val="00EA032C"/>
    <w:rsid w:val="00EA4E89"/>
    <w:rsid w:val="00EB6373"/>
    <w:rsid w:val="00ED0499"/>
    <w:rsid w:val="00ED67EB"/>
    <w:rsid w:val="00EE0EBE"/>
    <w:rsid w:val="00EE543C"/>
    <w:rsid w:val="00EE67D1"/>
    <w:rsid w:val="00EE6B1E"/>
    <w:rsid w:val="00EF79F8"/>
    <w:rsid w:val="00F11138"/>
    <w:rsid w:val="00F31E76"/>
    <w:rsid w:val="00F353F0"/>
    <w:rsid w:val="00F36987"/>
    <w:rsid w:val="00F41479"/>
    <w:rsid w:val="00F41A0B"/>
    <w:rsid w:val="00F47B16"/>
    <w:rsid w:val="00F5047E"/>
    <w:rsid w:val="00F51CC6"/>
    <w:rsid w:val="00F52C2F"/>
    <w:rsid w:val="00F5479E"/>
    <w:rsid w:val="00F54D7F"/>
    <w:rsid w:val="00F55F4D"/>
    <w:rsid w:val="00F60C25"/>
    <w:rsid w:val="00F616C7"/>
    <w:rsid w:val="00F62EA1"/>
    <w:rsid w:val="00F65117"/>
    <w:rsid w:val="00F665BE"/>
    <w:rsid w:val="00F725CB"/>
    <w:rsid w:val="00F73B89"/>
    <w:rsid w:val="00F75083"/>
    <w:rsid w:val="00F753E2"/>
    <w:rsid w:val="00F75E21"/>
    <w:rsid w:val="00F8730F"/>
    <w:rsid w:val="00F93D79"/>
    <w:rsid w:val="00F96382"/>
    <w:rsid w:val="00FA52D2"/>
    <w:rsid w:val="00FA5CF2"/>
    <w:rsid w:val="00FB0A21"/>
    <w:rsid w:val="00FB2004"/>
    <w:rsid w:val="00FB4C84"/>
    <w:rsid w:val="00FB725D"/>
    <w:rsid w:val="00FB761F"/>
    <w:rsid w:val="00FD5C3F"/>
    <w:rsid w:val="00FD6909"/>
    <w:rsid w:val="00FE03BC"/>
    <w:rsid w:val="00FE3804"/>
    <w:rsid w:val="00FE43E8"/>
    <w:rsid w:val="00FE7948"/>
    <w:rsid w:val="00FF226E"/>
    <w:rsid w:val="00FF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1BB"/>
    <w:rPr>
      <w:rFonts w:ascii="Garamond" w:hAnsi="Garamond"/>
      <w:sz w:val="16"/>
    </w:rPr>
  </w:style>
  <w:style w:type="paragraph" w:styleId="Heading1">
    <w:name w:val="heading 1"/>
    <w:basedOn w:val="Normal"/>
    <w:next w:val="BodyText"/>
    <w:link w:val="Heading1Char"/>
    <w:qFormat/>
    <w:rsid w:val="00AD456C"/>
    <w:pPr>
      <w:keepNext/>
      <w:spacing w:before="240" w:after="120"/>
      <w:outlineLvl w:val="0"/>
    </w:pPr>
    <w:rPr>
      <w:rFonts w:asciiTheme="minorHAnsi" w:hAnsiTheme="minorHAnsi"/>
      <w:color w:val="808080"/>
      <w:spacing w:val="-25"/>
      <w:kern w:val="28"/>
      <w:sz w:val="56"/>
      <w:szCs w:val="56"/>
    </w:rPr>
  </w:style>
  <w:style w:type="paragraph" w:styleId="Heading2">
    <w:name w:val="heading 2"/>
    <w:basedOn w:val="Normal"/>
    <w:next w:val="BodyText"/>
    <w:link w:val="Heading2Char"/>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link w:val="Heading3Char"/>
    <w:qFormat/>
    <w:rsid w:val="005F6105"/>
    <w:pPr>
      <w:keepNext/>
      <w:outlineLvl w:val="2"/>
    </w:pPr>
    <w:rPr>
      <w:rFonts w:ascii="Arial Black" w:hAnsi="Arial Black"/>
      <w:spacing w:val="-5"/>
    </w:rPr>
  </w:style>
  <w:style w:type="paragraph" w:styleId="Heading4">
    <w:name w:val="heading 4"/>
    <w:basedOn w:val="Normal"/>
    <w:next w:val="BodyText"/>
    <w:link w:val="Heading4Char"/>
    <w:qFormat/>
    <w:rsid w:val="007416B9"/>
    <w:pPr>
      <w:keepNext/>
      <w:spacing w:after="240"/>
      <w:jc w:val="center"/>
      <w:outlineLvl w:val="3"/>
    </w:pPr>
    <w:rPr>
      <w:caps/>
      <w:spacing w:val="30"/>
    </w:rPr>
  </w:style>
  <w:style w:type="paragraph" w:styleId="Heading5">
    <w:name w:val="heading 5"/>
    <w:basedOn w:val="Normal"/>
    <w:next w:val="BodyText"/>
    <w:link w:val="Heading5Char"/>
    <w:qFormat/>
    <w:rsid w:val="007416B9"/>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7416B9"/>
    <w:pPr>
      <w:keepNext/>
      <w:framePr w:w="1800" w:wrap="around" w:vAnchor="text" w:hAnchor="page" w:x="1201" w:y="1"/>
      <w:outlineLvl w:val="5"/>
    </w:pPr>
  </w:style>
  <w:style w:type="paragraph" w:styleId="Heading7">
    <w:name w:val="heading 7"/>
    <w:basedOn w:val="Normal"/>
    <w:next w:val="BodyText"/>
    <w:qFormat/>
    <w:rsid w:val="007416B9"/>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7416B9"/>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7416B9"/>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189F"/>
    <w:pPr>
      <w:spacing w:after="240"/>
    </w:pPr>
    <w:rPr>
      <w:rFonts w:asciiTheme="minorHAnsi" w:hAnsiTheme="minorHAnsi"/>
      <w:spacing w:val="-5"/>
      <w:sz w:val="24"/>
    </w:rPr>
  </w:style>
  <w:style w:type="character" w:styleId="CommentReference">
    <w:name w:val="annotation reference"/>
    <w:semiHidden/>
    <w:rsid w:val="007416B9"/>
    <w:rPr>
      <w:sz w:val="16"/>
    </w:rPr>
  </w:style>
  <w:style w:type="paragraph" w:styleId="CommentText">
    <w:name w:val="annotation text"/>
    <w:basedOn w:val="Normal"/>
    <w:semiHidden/>
    <w:rsid w:val="007416B9"/>
    <w:pPr>
      <w:tabs>
        <w:tab w:val="left" w:pos="187"/>
      </w:tabs>
      <w:spacing w:after="120" w:line="220" w:lineRule="exact"/>
      <w:ind w:left="187" w:hanging="187"/>
    </w:pPr>
  </w:style>
  <w:style w:type="paragraph" w:customStyle="1" w:styleId="BlockQuotation">
    <w:name w:val="Block Quotation"/>
    <w:basedOn w:val="Normal"/>
    <w:next w:val="BodyText"/>
    <w:rsid w:val="007416B9"/>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link w:val="BlockQuotationFirstChar"/>
    <w:rsid w:val="007416B9"/>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7416B9"/>
    <w:pPr>
      <w:keepNext/>
    </w:pPr>
  </w:style>
  <w:style w:type="paragraph" w:styleId="Caption">
    <w:name w:val="caption"/>
    <w:basedOn w:val="Normal"/>
    <w:next w:val="BodyText"/>
    <w:qFormat/>
    <w:rsid w:val="007416B9"/>
    <w:pPr>
      <w:spacing w:after="240"/>
    </w:pPr>
    <w:rPr>
      <w:spacing w:val="-5"/>
    </w:rPr>
  </w:style>
  <w:style w:type="paragraph" w:customStyle="1" w:styleId="ChapterSubtitle">
    <w:name w:val="Chapter Subtitle"/>
    <w:basedOn w:val="Normal"/>
    <w:next w:val="BodyText"/>
    <w:rsid w:val="007416B9"/>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7416B9"/>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7416B9"/>
    <w:pPr>
      <w:spacing w:before="420" w:after="60" w:line="320" w:lineRule="exact"/>
    </w:pPr>
    <w:rPr>
      <w:caps/>
      <w:kern w:val="36"/>
      <w:sz w:val="38"/>
    </w:rPr>
  </w:style>
  <w:style w:type="character" w:styleId="Emphasis">
    <w:name w:val="Emphasis"/>
    <w:qFormat/>
    <w:rsid w:val="007416B9"/>
    <w:rPr>
      <w:rFonts w:ascii="Arial Black" w:hAnsi="Arial Black"/>
      <w:sz w:val="18"/>
    </w:rPr>
  </w:style>
  <w:style w:type="character" w:styleId="EndnoteReference">
    <w:name w:val="endnote reference"/>
    <w:semiHidden/>
    <w:rsid w:val="007416B9"/>
    <w:rPr>
      <w:sz w:val="18"/>
      <w:vertAlign w:val="superscript"/>
    </w:rPr>
  </w:style>
  <w:style w:type="paragraph" w:styleId="EndnoteText">
    <w:name w:val="endnote text"/>
    <w:basedOn w:val="Normal"/>
    <w:semiHidden/>
    <w:rsid w:val="007416B9"/>
    <w:pPr>
      <w:tabs>
        <w:tab w:val="left" w:pos="187"/>
      </w:tabs>
      <w:spacing w:after="120" w:line="220" w:lineRule="exact"/>
      <w:ind w:left="187" w:hanging="187"/>
    </w:pPr>
    <w:rPr>
      <w:sz w:val="18"/>
    </w:rPr>
  </w:style>
  <w:style w:type="paragraph" w:styleId="Footer">
    <w:name w:val="footer"/>
    <w:basedOn w:val="Normal"/>
    <w:link w:val="FooterChar"/>
    <w:uiPriority w:val="99"/>
    <w:rsid w:val="007416B9"/>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sid w:val="005F582A"/>
    <w:rPr>
      <w:rFonts w:ascii="Calibri" w:hAnsi="Calibri"/>
      <w:sz w:val="18"/>
      <w:vertAlign w:val="superscript"/>
    </w:rPr>
  </w:style>
  <w:style w:type="paragraph" w:styleId="FootnoteText">
    <w:name w:val="footnote text"/>
    <w:basedOn w:val="Normal"/>
    <w:semiHidden/>
    <w:rsid w:val="005F582A"/>
    <w:rPr>
      <w:rFonts w:ascii="Calibri" w:hAnsi="Calibri"/>
      <w:sz w:val="18"/>
    </w:rPr>
  </w:style>
  <w:style w:type="paragraph" w:styleId="Header">
    <w:name w:val="header"/>
    <w:basedOn w:val="Normal"/>
    <w:rsid w:val="007416B9"/>
    <w:pPr>
      <w:keepLines/>
      <w:tabs>
        <w:tab w:val="center" w:pos="4320"/>
        <w:tab w:val="right" w:pos="8640"/>
      </w:tabs>
    </w:pPr>
    <w:rPr>
      <w:rFonts w:ascii="Arial Black" w:hAnsi="Arial Black"/>
      <w:caps/>
      <w:spacing w:val="60"/>
      <w:sz w:val="14"/>
    </w:rPr>
  </w:style>
  <w:style w:type="paragraph" w:customStyle="1" w:styleId="Icon1">
    <w:name w:val="Icon 1"/>
    <w:basedOn w:val="Normal"/>
    <w:rsid w:val="007416B9"/>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rsid w:val="007416B9"/>
    <w:pPr>
      <w:tabs>
        <w:tab w:val="right" w:leader="dot" w:pos="3960"/>
      </w:tabs>
      <w:spacing w:line="240" w:lineRule="atLeast"/>
      <w:ind w:left="180"/>
    </w:pPr>
    <w:rPr>
      <w:sz w:val="18"/>
    </w:rPr>
  </w:style>
  <w:style w:type="paragraph" w:styleId="Index4">
    <w:name w:val="index 4"/>
    <w:basedOn w:val="Normal"/>
    <w:semiHidden/>
    <w:rsid w:val="007416B9"/>
    <w:pPr>
      <w:tabs>
        <w:tab w:val="right" w:pos="3960"/>
      </w:tabs>
      <w:spacing w:line="240" w:lineRule="atLeast"/>
      <w:ind w:left="180"/>
    </w:pPr>
    <w:rPr>
      <w:sz w:val="18"/>
    </w:rPr>
  </w:style>
  <w:style w:type="paragraph" w:styleId="Index5">
    <w:name w:val="index 5"/>
    <w:basedOn w:val="Normal"/>
    <w:semiHidden/>
    <w:rsid w:val="007416B9"/>
    <w:pPr>
      <w:tabs>
        <w:tab w:val="right" w:pos="3960"/>
      </w:tabs>
      <w:spacing w:line="240" w:lineRule="atLeast"/>
      <w:ind w:left="180"/>
    </w:pPr>
    <w:rPr>
      <w:sz w:val="18"/>
    </w:rPr>
  </w:style>
  <w:style w:type="paragraph" w:styleId="Index6">
    <w:name w:val="index 6"/>
    <w:basedOn w:val="Index1"/>
    <w:next w:val="Normal"/>
    <w:semiHidden/>
    <w:rsid w:val="007416B9"/>
    <w:pPr>
      <w:tabs>
        <w:tab w:val="right" w:leader="dot" w:pos="3600"/>
      </w:tabs>
      <w:ind w:left="960" w:hanging="160"/>
    </w:pPr>
  </w:style>
  <w:style w:type="paragraph" w:styleId="Index7">
    <w:name w:val="index 7"/>
    <w:basedOn w:val="Index1"/>
    <w:next w:val="Normal"/>
    <w:semiHidden/>
    <w:rsid w:val="007416B9"/>
    <w:pPr>
      <w:tabs>
        <w:tab w:val="right" w:leader="dot" w:pos="3600"/>
      </w:tabs>
      <w:ind w:left="1120" w:hanging="160"/>
    </w:pPr>
  </w:style>
  <w:style w:type="paragraph" w:styleId="Index8">
    <w:name w:val="index 8"/>
    <w:basedOn w:val="Normal"/>
    <w:next w:val="Normal"/>
    <w:semiHidden/>
    <w:rsid w:val="007416B9"/>
    <w:pPr>
      <w:tabs>
        <w:tab w:val="right" w:leader="dot" w:pos="3600"/>
      </w:tabs>
      <w:ind w:left="1280" w:hanging="160"/>
    </w:pPr>
  </w:style>
  <w:style w:type="paragraph" w:styleId="IndexHeading">
    <w:name w:val="index heading"/>
    <w:basedOn w:val="Normal"/>
    <w:next w:val="Index1"/>
    <w:semiHidden/>
    <w:rsid w:val="007416B9"/>
    <w:pPr>
      <w:keepNext/>
      <w:spacing w:line="480" w:lineRule="exact"/>
    </w:pPr>
    <w:rPr>
      <w:caps/>
      <w:color w:val="808080"/>
      <w:kern w:val="28"/>
      <w:sz w:val="36"/>
    </w:rPr>
  </w:style>
  <w:style w:type="character" w:customStyle="1" w:styleId="Lead-inEmphasis">
    <w:name w:val="Lead-in Emphasis"/>
    <w:rsid w:val="007416B9"/>
    <w:rPr>
      <w:caps/>
      <w:sz w:val="22"/>
    </w:rPr>
  </w:style>
  <w:style w:type="paragraph" w:styleId="ListBullet">
    <w:name w:val="List Bullet"/>
    <w:basedOn w:val="Normal"/>
    <w:rsid w:val="00684F60"/>
    <w:pPr>
      <w:numPr>
        <w:numId w:val="1"/>
      </w:numPr>
      <w:tabs>
        <w:tab w:val="clear" w:pos="360"/>
      </w:tabs>
      <w:spacing w:after="240"/>
      <w:ind w:right="360"/>
      <w:jc w:val="both"/>
    </w:pPr>
    <w:rPr>
      <w:spacing w:val="-5"/>
      <w:sz w:val="24"/>
    </w:rPr>
  </w:style>
  <w:style w:type="paragraph" w:styleId="ListBullet5">
    <w:name w:val="List Bullet 5"/>
    <w:basedOn w:val="Normal"/>
    <w:rsid w:val="007416B9"/>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rsid w:val="007416B9"/>
    <w:pPr>
      <w:spacing w:after="120"/>
    </w:pPr>
    <w:rPr>
      <w:rFonts w:ascii="Courier New" w:hAnsi="Courier New"/>
    </w:rPr>
  </w:style>
  <w:style w:type="character" w:styleId="PageNumber">
    <w:name w:val="page number"/>
    <w:rsid w:val="007416B9"/>
    <w:rPr>
      <w:b/>
    </w:rPr>
  </w:style>
  <w:style w:type="paragraph" w:customStyle="1" w:styleId="PartLabel">
    <w:name w:val="Part Label"/>
    <w:basedOn w:val="Normal"/>
    <w:next w:val="Normal"/>
    <w:rsid w:val="007416B9"/>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7416B9"/>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7416B9"/>
    <w:pPr>
      <w:keepNext/>
    </w:pPr>
  </w:style>
  <w:style w:type="paragraph" w:customStyle="1" w:styleId="ReturnAddress">
    <w:name w:val="Return Address"/>
    <w:basedOn w:val="Normal"/>
    <w:rsid w:val="007416B9"/>
    <w:pPr>
      <w:jc w:val="center"/>
    </w:pPr>
    <w:rPr>
      <w:spacing w:val="-3"/>
      <w:sz w:val="20"/>
    </w:rPr>
  </w:style>
  <w:style w:type="paragraph" w:customStyle="1" w:styleId="SectionLabel">
    <w:name w:val="Section Label"/>
    <w:basedOn w:val="Normal"/>
    <w:next w:val="Normal"/>
    <w:rsid w:val="007416B9"/>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7416B9"/>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rsid w:val="007416B9"/>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7416B9"/>
    <w:pPr>
      <w:tabs>
        <w:tab w:val="right" w:leader="dot" w:pos="8640"/>
      </w:tabs>
      <w:spacing w:after="240"/>
    </w:pPr>
    <w:rPr>
      <w:sz w:val="20"/>
    </w:rPr>
  </w:style>
  <w:style w:type="paragraph" w:styleId="TableofFigures">
    <w:name w:val="table of figures"/>
    <w:basedOn w:val="Normal"/>
    <w:semiHidden/>
    <w:rsid w:val="007416B9"/>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7416B9"/>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qFormat/>
    <w:rsid w:val="00247E64"/>
    <w:pPr>
      <w:spacing w:before="120" w:after="120"/>
    </w:pPr>
    <w:rPr>
      <w:rFonts w:asciiTheme="minorHAnsi" w:hAnsiTheme="minorHAnsi"/>
      <w:b/>
      <w:bCs/>
      <w:caps/>
      <w:sz w:val="20"/>
    </w:rPr>
  </w:style>
  <w:style w:type="paragraph" w:styleId="TOC2">
    <w:name w:val="toc 2"/>
    <w:basedOn w:val="TOC1"/>
    <w:autoRedefine/>
    <w:uiPriority w:val="39"/>
    <w:qFormat/>
    <w:rsid w:val="00603F1C"/>
    <w:pPr>
      <w:spacing w:before="0" w:after="0"/>
      <w:ind w:left="160"/>
    </w:pPr>
    <w:rPr>
      <w:b w:val="0"/>
      <w:bCs w:val="0"/>
      <w:caps w:val="0"/>
      <w:smallCaps/>
    </w:rPr>
  </w:style>
  <w:style w:type="paragraph" w:styleId="TOC3">
    <w:name w:val="toc 3"/>
    <w:basedOn w:val="Normal"/>
    <w:next w:val="Normal"/>
    <w:autoRedefine/>
    <w:uiPriority w:val="39"/>
    <w:qFormat/>
    <w:rsid w:val="00603F1C"/>
    <w:pPr>
      <w:ind w:left="320"/>
    </w:pPr>
    <w:rPr>
      <w:rFonts w:asciiTheme="minorHAnsi" w:hAnsiTheme="minorHAnsi"/>
      <w:i/>
      <w:iCs/>
      <w:sz w:val="20"/>
    </w:rPr>
  </w:style>
  <w:style w:type="paragraph" w:styleId="TOC4">
    <w:name w:val="toc 4"/>
    <w:basedOn w:val="Normal"/>
    <w:next w:val="Normal"/>
    <w:uiPriority w:val="39"/>
    <w:rsid w:val="007416B9"/>
    <w:pPr>
      <w:ind w:left="480"/>
    </w:pPr>
    <w:rPr>
      <w:rFonts w:asciiTheme="minorHAnsi" w:hAnsiTheme="minorHAnsi"/>
      <w:sz w:val="18"/>
      <w:szCs w:val="18"/>
    </w:rPr>
  </w:style>
  <w:style w:type="paragraph" w:styleId="TOC5">
    <w:name w:val="toc 5"/>
    <w:basedOn w:val="Normal"/>
    <w:next w:val="Normal"/>
    <w:uiPriority w:val="39"/>
    <w:rsid w:val="007416B9"/>
    <w:pPr>
      <w:ind w:left="640"/>
    </w:pPr>
    <w:rPr>
      <w:rFonts w:asciiTheme="minorHAnsi" w:hAnsiTheme="minorHAnsi"/>
      <w:sz w:val="18"/>
      <w:szCs w:val="18"/>
    </w:rPr>
  </w:style>
  <w:style w:type="paragraph" w:styleId="TOC6">
    <w:name w:val="toc 6"/>
    <w:basedOn w:val="Normal"/>
    <w:next w:val="Normal"/>
    <w:uiPriority w:val="39"/>
    <w:rsid w:val="007416B9"/>
    <w:pPr>
      <w:ind w:left="800"/>
    </w:pPr>
    <w:rPr>
      <w:rFonts w:asciiTheme="minorHAnsi" w:hAnsiTheme="minorHAnsi"/>
      <w:sz w:val="18"/>
      <w:szCs w:val="18"/>
    </w:rPr>
  </w:style>
  <w:style w:type="paragraph" w:styleId="TOC7">
    <w:name w:val="toc 7"/>
    <w:basedOn w:val="Normal"/>
    <w:next w:val="Normal"/>
    <w:uiPriority w:val="39"/>
    <w:rsid w:val="007416B9"/>
    <w:pPr>
      <w:ind w:left="960"/>
    </w:pPr>
    <w:rPr>
      <w:rFonts w:asciiTheme="minorHAnsi" w:hAnsiTheme="minorHAnsi"/>
      <w:sz w:val="18"/>
      <w:szCs w:val="18"/>
    </w:rPr>
  </w:style>
  <w:style w:type="paragraph" w:styleId="TOC8">
    <w:name w:val="toc 8"/>
    <w:basedOn w:val="Normal"/>
    <w:next w:val="Normal"/>
    <w:uiPriority w:val="39"/>
    <w:rsid w:val="007416B9"/>
    <w:pPr>
      <w:ind w:left="1120"/>
    </w:pPr>
    <w:rPr>
      <w:rFonts w:asciiTheme="minorHAnsi" w:hAnsiTheme="minorHAnsi"/>
      <w:sz w:val="18"/>
      <w:szCs w:val="18"/>
    </w:rPr>
  </w:style>
  <w:style w:type="paragraph" w:styleId="TOC9">
    <w:name w:val="toc 9"/>
    <w:basedOn w:val="Normal"/>
    <w:next w:val="Normal"/>
    <w:uiPriority w:val="39"/>
    <w:rsid w:val="007416B9"/>
    <w:pPr>
      <w:ind w:left="1280"/>
    </w:pPr>
    <w:rPr>
      <w:rFonts w:asciiTheme="minorHAnsi" w:hAnsiTheme="minorHAnsi"/>
      <w:sz w:val="18"/>
      <w:szCs w:val="18"/>
    </w:rPr>
  </w:style>
  <w:style w:type="paragraph" w:customStyle="1" w:styleId="TOCBase">
    <w:name w:val="TOC Base"/>
    <w:basedOn w:val="TOC2"/>
    <w:rsid w:val="007416B9"/>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AD456C"/>
    <w:rPr>
      <w:rFonts w:asciiTheme="minorHAnsi" w:hAnsiTheme="minorHAnsi"/>
      <w:color w:val="808080"/>
      <w:spacing w:val="-25"/>
      <w:kern w:val="28"/>
      <w:sz w:val="56"/>
      <w:szCs w:val="56"/>
    </w:rPr>
  </w:style>
  <w:style w:type="character" w:customStyle="1" w:styleId="BodyTextChar">
    <w:name w:val="Body Text Char"/>
    <w:basedOn w:val="DefaultParagraphFont"/>
    <w:link w:val="BodyText"/>
    <w:rsid w:val="0012189F"/>
    <w:rPr>
      <w:rFonts w:asciiTheme="minorHAnsi" w:hAnsiTheme="minorHAnsi"/>
      <w:spacing w:val="-5"/>
      <w:sz w:val="24"/>
    </w:rPr>
  </w:style>
  <w:style w:type="character" w:styleId="Hyperlink">
    <w:name w:val="Hyperlink"/>
    <w:basedOn w:val="DefaultParagraphFont"/>
    <w:uiPriority w:val="99"/>
    <w:rsid w:val="004265DB"/>
    <w:rPr>
      <w:color w:val="0000FF"/>
      <w:u w:val="single"/>
    </w:rPr>
  </w:style>
  <w:style w:type="table" w:styleId="TableGrid">
    <w:name w:val="Table Grid"/>
    <w:basedOn w:val="TableNormal"/>
    <w:rsid w:val="00992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D05C7"/>
    <w:pPr>
      <w:spacing w:before="100" w:after="100"/>
    </w:pPr>
    <w:rPr>
      <w:rFonts w:ascii="Times New Roman" w:hAnsi="Times New Roman"/>
      <w:color w:val="000000"/>
      <w:sz w:val="24"/>
    </w:rPr>
  </w:style>
  <w:style w:type="character" w:customStyle="1" w:styleId="BlockQuotationFirstChar">
    <w:name w:val="Block Quotation First Char"/>
    <w:basedOn w:val="DefaultParagraphFont"/>
    <w:link w:val="BlockQuotationFirst"/>
    <w:rsid w:val="001A251C"/>
    <w:rPr>
      <w:rFonts w:ascii="Arial Black" w:hAnsi="Arial Black"/>
      <w:spacing w:val="-10"/>
      <w:sz w:val="21"/>
      <w:lang w:val="en-US" w:eastAsia="en-US" w:bidi="ar-SA"/>
    </w:rPr>
  </w:style>
  <w:style w:type="character" w:customStyle="1" w:styleId="Heading2Char">
    <w:name w:val="Heading 2 Char"/>
    <w:basedOn w:val="DefaultParagraphFont"/>
    <w:link w:val="Heading2"/>
    <w:rsid w:val="00A54F5F"/>
    <w:rPr>
      <w:rFonts w:ascii="Arial Black" w:hAnsi="Arial Black"/>
      <w:spacing w:val="-10"/>
      <w:kern w:val="28"/>
      <w:sz w:val="16"/>
      <w:szCs w:val="16"/>
      <w:lang w:val="en-US" w:eastAsia="en-US" w:bidi="ar-SA"/>
    </w:rPr>
  </w:style>
  <w:style w:type="character" w:customStyle="1" w:styleId="Heading3Char">
    <w:name w:val="Heading 3 Char"/>
    <w:basedOn w:val="DefaultParagraphFont"/>
    <w:link w:val="Heading3"/>
    <w:rsid w:val="005D2A53"/>
    <w:rPr>
      <w:rFonts w:ascii="Arial Black" w:hAnsi="Arial Black"/>
      <w:spacing w:val="-5"/>
      <w:sz w:val="16"/>
      <w:lang w:val="en-US" w:eastAsia="en-US" w:bidi="ar-SA"/>
    </w:rPr>
  </w:style>
  <w:style w:type="character" w:customStyle="1" w:styleId="Heading4Char">
    <w:name w:val="Heading 4 Char"/>
    <w:basedOn w:val="DefaultParagraphFont"/>
    <w:link w:val="Heading4"/>
    <w:rsid w:val="00582161"/>
    <w:rPr>
      <w:rFonts w:ascii="Garamond" w:hAnsi="Garamond"/>
      <w:caps/>
      <w:spacing w:val="30"/>
      <w:sz w:val="16"/>
      <w:lang w:val="en-US" w:eastAsia="en-US" w:bidi="ar-SA"/>
    </w:rPr>
  </w:style>
  <w:style w:type="character" w:styleId="FollowedHyperlink">
    <w:name w:val="FollowedHyperlink"/>
    <w:basedOn w:val="DefaultParagraphFont"/>
    <w:rsid w:val="00AD1D14"/>
    <w:rPr>
      <w:color w:val="800080"/>
      <w:u w:val="single"/>
    </w:rPr>
  </w:style>
  <w:style w:type="character" w:customStyle="1" w:styleId="Heading5Char">
    <w:name w:val="Heading 5 Char"/>
    <w:basedOn w:val="DefaultParagraphFont"/>
    <w:link w:val="Heading5"/>
    <w:rsid w:val="00C128F5"/>
    <w:rPr>
      <w:rFonts w:ascii="Arial Black" w:hAnsi="Arial Black"/>
      <w:spacing w:val="-5"/>
      <w:sz w:val="18"/>
      <w:lang w:val="en-US" w:eastAsia="en-US" w:bidi="ar-SA"/>
    </w:rPr>
  </w:style>
  <w:style w:type="paragraph" w:styleId="DocumentMap">
    <w:name w:val="Document Map"/>
    <w:basedOn w:val="Normal"/>
    <w:semiHidden/>
    <w:rsid w:val="00E84D77"/>
    <w:pPr>
      <w:shd w:val="clear" w:color="auto" w:fill="000080"/>
    </w:pPr>
    <w:rPr>
      <w:rFonts w:ascii="Tahoma" w:hAnsi="Tahoma" w:cs="Tahoma"/>
      <w:sz w:val="20"/>
    </w:rPr>
  </w:style>
  <w:style w:type="paragraph" w:styleId="CommentSubject">
    <w:name w:val="annotation subject"/>
    <w:basedOn w:val="CommentText"/>
    <w:next w:val="CommentText"/>
    <w:semiHidden/>
    <w:rsid w:val="00D34C40"/>
    <w:pPr>
      <w:tabs>
        <w:tab w:val="clear" w:pos="187"/>
      </w:tabs>
      <w:spacing w:after="0" w:line="240" w:lineRule="auto"/>
      <w:ind w:left="0" w:firstLine="0"/>
    </w:pPr>
    <w:rPr>
      <w:b/>
      <w:bCs/>
      <w:sz w:val="20"/>
    </w:rPr>
  </w:style>
  <w:style w:type="paragraph" w:styleId="TOCHeading">
    <w:name w:val="TOC Heading"/>
    <w:basedOn w:val="Heading1"/>
    <w:next w:val="Normal"/>
    <w:uiPriority w:val="39"/>
    <w:unhideWhenUsed/>
    <w:qFormat/>
    <w:rsid w:val="00EA032C"/>
    <w:pPr>
      <w:keepLines/>
      <w:spacing w:before="480" w:after="0" w:line="276" w:lineRule="auto"/>
      <w:outlineLvl w:val="9"/>
    </w:pPr>
    <w:rPr>
      <w:rFonts w:asciiTheme="majorHAnsi" w:eastAsiaTheme="majorEastAsia" w:hAnsiTheme="majorHAnsi" w:cstheme="majorBidi"/>
      <w:b/>
      <w:bCs/>
      <w:color w:val="365F91" w:themeColor="accent1" w:themeShade="BF"/>
      <w:spacing w:val="0"/>
      <w:kern w:val="0"/>
      <w:sz w:val="28"/>
      <w:szCs w:val="28"/>
    </w:rPr>
  </w:style>
  <w:style w:type="paragraph" w:styleId="BodyTextIndent">
    <w:name w:val="Body Text Indent"/>
    <w:basedOn w:val="Normal"/>
    <w:link w:val="BodyTextIndentChar"/>
    <w:rsid w:val="003162BE"/>
    <w:pPr>
      <w:spacing w:after="120"/>
      <w:ind w:left="360"/>
    </w:pPr>
  </w:style>
  <w:style w:type="character" w:customStyle="1" w:styleId="BodyTextIndentChar">
    <w:name w:val="Body Text Indent Char"/>
    <w:basedOn w:val="DefaultParagraphFont"/>
    <w:link w:val="BodyTextIndent"/>
    <w:rsid w:val="003162BE"/>
    <w:rPr>
      <w:rFonts w:ascii="Garamond" w:hAnsi="Garamond"/>
      <w:sz w:val="16"/>
    </w:rPr>
  </w:style>
  <w:style w:type="paragraph" w:customStyle="1" w:styleId="Equation">
    <w:name w:val="Equation"/>
    <w:basedOn w:val="Normal"/>
    <w:next w:val="Normal"/>
    <w:rsid w:val="003162BE"/>
    <w:pPr>
      <w:tabs>
        <w:tab w:val="center" w:pos="3600"/>
        <w:tab w:val="right" w:pos="7920"/>
      </w:tabs>
      <w:spacing w:after="240"/>
    </w:pPr>
    <w:rPr>
      <w:rFonts w:ascii="Times New Roman" w:hAnsi="Times New Roman"/>
      <w:sz w:val="24"/>
    </w:rPr>
  </w:style>
  <w:style w:type="character" w:customStyle="1" w:styleId="FooterChar">
    <w:name w:val="Footer Char"/>
    <w:basedOn w:val="DefaultParagraphFont"/>
    <w:link w:val="Footer"/>
    <w:uiPriority w:val="99"/>
    <w:rsid w:val="003162BE"/>
    <w:rPr>
      <w:rFonts w:ascii="Arial Black" w:hAnsi="Arial Black"/>
      <w:sz w:val="16"/>
    </w:rPr>
  </w:style>
  <w:style w:type="paragraph" w:customStyle="1" w:styleId="Default">
    <w:name w:val="Default"/>
    <w:rsid w:val="00724B90"/>
    <w:pPr>
      <w:autoSpaceDE w:val="0"/>
      <w:autoSpaceDN w:val="0"/>
      <w:adjustRightInd w:val="0"/>
    </w:pPr>
    <w:rPr>
      <w:color w:val="000000"/>
      <w:sz w:val="24"/>
      <w:szCs w:val="24"/>
    </w:rPr>
  </w:style>
  <w:style w:type="paragraph" w:customStyle="1" w:styleId="Contents">
    <w:name w:val="Contents"/>
    <w:next w:val="Normal"/>
    <w:rsid w:val="006B5697"/>
    <w:pPr>
      <w:spacing w:after="2520" w:line="580" w:lineRule="atLeast"/>
    </w:pPr>
    <w:rPr>
      <w:rFonts w:ascii="Garamond" w:hAnsi="Garamond" w:cs="Arial"/>
      <w:sz w:val="48"/>
    </w:rPr>
  </w:style>
  <w:style w:type="paragraph" w:customStyle="1" w:styleId="CoverTextClient">
    <w:name w:val="Cover Text Client"/>
    <w:basedOn w:val="Normal"/>
    <w:rsid w:val="006B5697"/>
    <w:pPr>
      <w:keepNext/>
      <w:spacing w:after="80" w:line="580" w:lineRule="atLeast"/>
      <w:ind w:left="72"/>
    </w:pPr>
    <w:rPr>
      <w:rFonts w:ascii="Arial Narrow" w:hAnsi="Arial Narrow"/>
      <w:b/>
      <w:color w:val="0000CE"/>
      <w:sz w:val="40"/>
      <w:szCs w:val="18"/>
    </w:rPr>
  </w:style>
  <w:style w:type="paragraph" w:customStyle="1" w:styleId="Style1">
    <w:name w:val="Style1"/>
    <w:basedOn w:val="Normal"/>
    <w:link w:val="Style1Char"/>
    <w:qFormat/>
    <w:rsid w:val="006B5697"/>
    <w:pPr>
      <w:numPr>
        <w:numId w:val="5"/>
      </w:numPr>
      <w:spacing w:after="1320"/>
    </w:pPr>
    <w:rPr>
      <w:rFonts w:ascii="Calibri" w:hAnsi="Calibri" w:cs="Arial"/>
      <w:b/>
      <w:sz w:val="48"/>
    </w:rPr>
  </w:style>
  <w:style w:type="character" w:customStyle="1" w:styleId="Style1Char">
    <w:name w:val="Style1 Char"/>
    <w:basedOn w:val="DefaultParagraphFont"/>
    <w:link w:val="Style1"/>
    <w:rsid w:val="006B5697"/>
    <w:rPr>
      <w:rFonts w:ascii="Calibri" w:hAnsi="Calibri" w:cs="Arial"/>
      <w:b/>
      <w:sz w:val="48"/>
    </w:rPr>
  </w:style>
  <w:style w:type="paragraph" w:styleId="ListParagraph">
    <w:name w:val="List Paragraph"/>
    <w:basedOn w:val="Normal"/>
    <w:uiPriority w:val="34"/>
    <w:qFormat/>
    <w:rsid w:val="00781A25"/>
    <w:pPr>
      <w:ind w:left="720"/>
      <w:contextualSpacing/>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21BB"/>
    <w:rPr>
      <w:rFonts w:ascii="Garamond" w:hAnsi="Garamond"/>
      <w:sz w:val="16"/>
    </w:rPr>
  </w:style>
  <w:style w:type="paragraph" w:styleId="Heading1">
    <w:name w:val="heading 1"/>
    <w:basedOn w:val="Normal"/>
    <w:next w:val="BodyText"/>
    <w:link w:val="Heading1Char"/>
    <w:qFormat/>
    <w:rsid w:val="00AD456C"/>
    <w:pPr>
      <w:keepNext/>
      <w:spacing w:before="240" w:after="120"/>
      <w:outlineLvl w:val="0"/>
    </w:pPr>
    <w:rPr>
      <w:rFonts w:asciiTheme="minorHAnsi" w:hAnsiTheme="minorHAnsi"/>
      <w:color w:val="808080"/>
      <w:spacing w:val="-25"/>
      <w:kern w:val="28"/>
      <w:sz w:val="56"/>
      <w:szCs w:val="56"/>
    </w:rPr>
  </w:style>
  <w:style w:type="paragraph" w:styleId="Heading2">
    <w:name w:val="heading 2"/>
    <w:basedOn w:val="Normal"/>
    <w:next w:val="BodyText"/>
    <w:link w:val="Heading2Char"/>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link w:val="Heading3Char"/>
    <w:qFormat/>
    <w:rsid w:val="005F6105"/>
    <w:pPr>
      <w:keepNext/>
      <w:outlineLvl w:val="2"/>
    </w:pPr>
    <w:rPr>
      <w:rFonts w:ascii="Arial Black" w:hAnsi="Arial Black"/>
      <w:spacing w:val="-5"/>
    </w:rPr>
  </w:style>
  <w:style w:type="paragraph" w:styleId="Heading4">
    <w:name w:val="heading 4"/>
    <w:basedOn w:val="Normal"/>
    <w:next w:val="BodyText"/>
    <w:link w:val="Heading4Char"/>
    <w:qFormat/>
    <w:rsid w:val="007416B9"/>
    <w:pPr>
      <w:keepNext/>
      <w:spacing w:after="240"/>
      <w:jc w:val="center"/>
      <w:outlineLvl w:val="3"/>
    </w:pPr>
    <w:rPr>
      <w:caps/>
      <w:spacing w:val="30"/>
    </w:rPr>
  </w:style>
  <w:style w:type="paragraph" w:styleId="Heading5">
    <w:name w:val="heading 5"/>
    <w:basedOn w:val="Normal"/>
    <w:next w:val="BodyText"/>
    <w:link w:val="Heading5Char"/>
    <w:qFormat/>
    <w:rsid w:val="007416B9"/>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rsid w:val="007416B9"/>
    <w:pPr>
      <w:keepNext/>
      <w:framePr w:w="1800" w:wrap="around" w:vAnchor="text" w:hAnchor="page" w:x="1201" w:y="1"/>
      <w:outlineLvl w:val="5"/>
    </w:pPr>
  </w:style>
  <w:style w:type="paragraph" w:styleId="Heading7">
    <w:name w:val="heading 7"/>
    <w:basedOn w:val="Normal"/>
    <w:next w:val="BodyText"/>
    <w:qFormat/>
    <w:rsid w:val="007416B9"/>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rsid w:val="007416B9"/>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rsid w:val="007416B9"/>
    <w:pPr>
      <w:keepNext/>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2189F"/>
    <w:pPr>
      <w:spacing w:after="240"/>
    </w:pPr>
    <w:rPr>
      <w:rFonts w:asciiTheme="minorHAnsi" w:hAnsiTheme="minorHAnsi"/>
      <w:spacing w:val="-5"/>
      <w:sz w:val="24"/>
    </w:rPr>
  </w:style>
  <w:style w:type="character" w:styleId="CommentReference">
    <w:name w:val="annotation reference"/>
    <w:semiHidden/>
    <w:rsid w:val="007416B9"/>
    <w:rPr>
      <w:sz w:val="16"/>
    </w:rPr>
  </w:style>
  <w:style w:type="paragraph" w:styleId="CommentText">
    <w:name w:val="annotation text"/>
    <w:basedOn w:val="Normal"/>
    <w:semiHidden/>
    <w:rsid w:val="007416B9"/>
    <w:pPr>
      <w:tabs>
        <w:tab w:val="left" w:pos="187"/>
      </w:tabs>
      <w:spacing w:after="120" w:line="220" w:lineRule="exact"/>
      <w:ind w:left="187" w:hanging="187"/>
    </w:pPr>
  </w:style>
  <w:style w:type="paragraph" w:customStyle="1" w:styleId="BlockQuotation">
    <w:name w:val="Block Quotation"/>
    <w:basedOn w:val="Normal"/>
    <w:next w:val="BodyText"/>
    <w:rsid w:val="007416B9"/>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link w:val="BlockQuotationFirstChar"/>
    <w:rsid w:val="007416B9"/>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rsid w:val="007416B9"/>
    <w:pPr>
      <w:keepNext/>
    </w:pPr>
  </w:style>
  <w:style w:type="paragraph" w:styleId="Caption">
    <w:name w:val="caption"/>
    <w:basedOn w:val="Normal"/>
    <w:next w:val="BodyText"/>
    <w:qFormat/>
    <w:rsid w:val="007416B9"/>
    <w:pPr>
      <w:spacing w:after="240"/>
    </w:pPr>
    <w:rPr>
      <w:spacing w:val="-5"/>
    </w:rPr>
  </w:style>
  <w:style w:type="paragraph" w:customStyle="1" w:styleId="ChapterSubtitle">
    <w:name w:val="Chapter Subtitle"/>
    <w:basedOn w:val="Normal"/>
    <w:next w:val="BodyText"/>
    <w:rsid w:val="007416B9"/>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rsid w:val="007416B9"/>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rsid w:val="007416B9"/>
    <w:pPr>
      <w:spacing w:before="420" w:after="60" w:line="320" w:lineRule="exact"/>
    </w:pPr>
    <w:rPr>
      <w:caps/>
      <w:kern w:val="36"/>
      <w:sz w:val="38"/>
    </w:rPr>
  </w:style>
  <w:style w:type="character" w:styleId="Emphasis">
    <w:name w:val="Emphasis"/>
    <w:qFormat/>
    <w:rsid w:val="007416B9"/>
    <w:rPr>
      <w:rFonts w:ascii="Arial Black" w:hAnsi="Arial Black"/>
      <w:sz w:val="18"/>
    </w:rPr>
  </w:style>
  <w:style w:type="character" w:styleId="EndnoteReference">
    <w:name w:val="endnote reference"/>
    <w:semiHidden/>
    <w:rsid w:val="007416B9"/>
    <w:rPr>
      <w:sz w:val="18"/>
      <w:vertAlign w:val="superscript"/>
    </w:rPr>
  </w:style>
  <w:style w:type="paragraph" w:styleId="EndnoteText">
    <w:name w:val="endnote text"/>
    <w:basedOn w:val="Normal"/>
    <w:semiHidden/>
    <w:rsid w:val="007416B9"/>
    <w:pPr>
      <w:tabs>
        <w:tab w:val="left" w:pos="187"/>
      </w:tabs>
      <w:spacing w:after="120" w:line="220" w:lineRule="exact"/>
      <w:ind w:left="187" w:hanging="187"/>
    </w:pPr>
    <w:rPr>
      <w:sz w:val="18"/>
    </w:rPr>
  </w:style>
  <w:style w:type="paragraph" w:styleId="Footer">
    <w:name w:val="footer"/>
    <w:basedOn w:val="Normal"/>
    <w:link w:val="FooterChar"/>
    <w:uiPriority w:val="99"/>
    <w:rsid w:val="007416B9"/>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sid w:val="005F582A"/>
    <w:rPr>
      <w:rFonts w:ascii="Calibri" w:hAnsi="Calibri"/>
      <w:sz w:val="18"/>
      <w:vertAlign w:val="superscript"/>
    </w:rPr>
  </w:style>
  <w:style w:type="paragraph" w:styleId="FootnoteText">
    <w:name w:val="footnote text"/>
    <w:basedOn w:val="Normal"/>
    <w:semiHidden/>
    <w:rsid w:val="005F582A"/>
    <w:rPr>
      <w:rFonts w:ascii="Calibri" w:hAnsi="Calibri"/>
      <w:sz w:val="18"/>
    </w:rPr>
  </w:style>
  <w:style w:type="paragraph" w:styleId="Header">
    <w:name w:val="header"/>
    <w:basedOn w:val="Normal"/>
    <w:rsid w:val="007416B9"/>
    <w:pPr>
      <w:keepLines/>
      <w:tabs>
        <w:tab w:val="center" w:pos="4320"/>
        <w:tab w:val="right" w:pos="8640"/>
      </w:tabs>
    </w:pPr>
    <w:rPr>
      <w:rFonts w:ascii="Arial Black" w:hAnsi="Arial Black"/>
      <w:caps/>
      <w:spacing w:val="60"/>
      <w:sz w:val="14"/>
    </w:rPr>
  </w:style>
  <w:style w:type="paragraph" w:customStyle="1" w:styleId="Icon1">
    <w:name w:val="Icon 1"/>
    <w:basedOn w:val="Normal"/>
    <w:rsid w:val="007416B9"/>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rsid w:val="007416B9"/>
    <w:pPr>
      <w:tabs>
        <w:tab w:val="right" w:leader="dot" w:pos="3960"/>
      </w:tabs>
      <w:spacing w:line="240" w:lineRule="atLeast"/>
      <w:ind w:left="180"/>
    </w:pPr>
    <w:rPr>
      <w:sz w:val="18"/>
    </w:rPr>
  </w:style>
  <w:style w:type="paragraph" w:styleId="Index4">
    <w:name w:val="index 4"/>
    <w:basedOn w:val="Normal"/>
    <w:semiHidden/>
    <w:rsid w:val="007416B9"/>
    <w:pPr>
      <w:tabs>
        <w:tab w:val="right" w:pos="3960"/>
      </w:tabs>
      <w:spacing w:line="240" w:lineRule="atLeast"/>
      <w:ind w:left="180"/>
    </w:pPr>
    <w:rPr>
      <w:sz w:val="18"/>
    </w:rPr>
  </w:style>
  <w:style w:type="paragraph" w:styleId="Index5">
    <w:name w:val="index 5"/>
    <w:basedOn w:val="Normal"/>
    <w:semiHidden/>
    <w:rsid w:val="007416B9"/>
    <w:pPr>
      <w:tabs>
        <w:tab w:val="right" w:pos="3960"/>
      </w:tabs>
      <w:spacing w:line="240" w:lineRule="atLeast"/>
      <w:ind w:left="180"/>
    </w:pPr>
    <w:rPr>
      <w:sz w:val="18"/>
    </w:rPr>
  </w:style>
  <w:style w:type="paragraph" w:styleId="Index6">
    <w:name w:val="index 6"/>
    <w:basedOn w:val="Index1"/>
    <w:next w:val="Normal"/>
    <w:semiHidden/>
    <w:rsid w:val="007416B9"/>
    <w:pPr>
      <w:tabs>
        <w:tab w:val="right" w:leader="dot" w:pos="3600"/>
      </w:tabs>
      <w:ind w:left="960" w:hanging="160"/>
    </w:pPr>
  </w:style>
  <w:style w:type="paragraph" w:styleId="Index7">
    <w:name w:val="index 7"/>
    <w:basedOn w:val="Index1"/>
    <w:next w:val="Normal"/>
    <w:semiHidden/>
    <w:rsid w:val="007416B9"/>
    <w:pPr>
      <w:tabs>
        <w:tab w:val="right" w:leader="dot" w:pos="3600"/>
      </w:tabs>
      <w:ind w:left="1120" w:hanging="160"/>
    </w:pPr>
  </w:style>
  <w:style w:type="paragraph" w:styleId="Index8">
    <w:name w:val="index 8"/>
    <w:basedOn w:val="Normal"/>
    <w:next w:val="Normal"/>
    <w:semiHidden/>
    <w:rsid w:val="007416B9"/>
    <w:pPr>
      <w:tabs>
        <w:tab w:val="right" w:leader="dot" w:pos="3600"/>
      </w:tabs>
      <w:ind w:left="1280" w:hanging="160"/>
    </w:pPr>
  </w:style>
  <w:style w:type="paragraph" w:styleId="IndexHeading">
    <w:name w:val="index heading"/>
    <w:basedOn w:val="Normal"/>
    <w:next w:val="Index1"/>
    <w:semiHidden/>
    <w:rsid w:val="007416B9"/>
    <w:pPr>
      <w:keepNext/>
      <w:spacing w:line="480" w:lineRule="exact"/>
    </w:pPr>
    <w:rPr>
      <w:caps/>
      <w:color w:val="808080"/>
      <w:kern w:val="28"/>
      <w:sz w:val="36"/>
    </w:rPr>
  </w:style>
  <w:style w:type="character" w:customStyle="1" w:styleId="Lead-inEmphasis">
    <w:name w:val="Lead-in Emphasis"/>
    <w:rsid w:val="007416B9"/>
    <w:rPr>
      <w:caps/>
      <w:sz w:val="22"/>
    </w:rPr>
  </w:style>
  <w:style w:type="paragraph" w:styleId="ListBullet">
    <w:name w:val="List Bullet"/>
    <w:basedOn w:val="Normal"/>
    <w:rsid w:val="00684F60"/>
    <w:pPr>
      <w:numPr>
        <w:numId w:val="1"/>
      </w:numPr>
      <w:tabs>
        <w:tab w:val="clear" w:pos="360"/>
      </w:tabs>
      <w:spacing w:after="240"/>
      <w:ind w:right="360"/>
      <w:jc w:val="both"/>
    </w:pPr>
    <w:rPr>
      <w:spacing w:val="-5"/>
      <w:sz w:val="24"/>
    </w:rPr>
  </w:style>
  <w:style w:type="paragraph" w:styleId="ListBullet5">
    <w:name w:val="List Bullet 5"/>
    <w:basedOn w:val="Normal"/>
    <w:rsid w:val="007416B9"/>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rsid w:val="007416B9"/>
    <w:pPr>
      <w:spacing w:after="120"/>
    </w:pPr>
    <w:rPr>
      <w:rFonts w:ascii="Courier New" w:hAnsi="Courier New"/>
    </w:rPr>
  </w:style>
  <w:style w:type="character" w:styleId="PageNumber">
    <w:name w:val="page number"/>
    <w:rsid w:val="007416B9"/>
    <w:rPr>
      <w:b/>
    </w:rPr>
  </w:style>
  <w:style w:type="paragraph" w:customStyle="1" w:styleId="PartLabel">
    <w:name w:val="Part Label"/>
    <w:basedOn w:val="Normal"/>
    <w:next w:val="Normal"/>
    <w:rsid w:val="007416B9"/>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7416B9"/>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rsid w:val="007416B9"/>
    <w:pPr>
      <w:keepNext/>
    </w:pPr>
  </w:style>
  <w:style w:type="paragraph" w:customStyle="1" w:styleId="ReturnAddress">
    <w:name w:val="Return Address"/>
    <w:basedOn w:val="Normal"/>
    <w:rsid w:val="007416B9"/>
    <w:pPr>
      <w:jc w:val="center"/>
    </w:pPr>
    <w:rPr>
      <w:spacing w:val="-3"/>
      <w:sz w:val="20"/>
    </w:rPr>
  </w:style>
  <w:style w:type="paragraph" w:customStyle="1" w:styleId="SectionLabel">
    <w:name w:val="Section Label"/>
    <w:basedOn w:val="Normal"/>
    <w:next w:val="Normal"/>
    <w:rsid w:val="007416B9"/>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rsid w:val="007416B9"/>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rsid w:val="007416B9"/>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rsid w:val="007416B9"/>
    <w:pPr>
      <w:tabs>
        <w:tab w:val="right" w:leader="dot" w:pos="8640"/>
      </w:tabs>
      <w:spacing w:after="240"/>
    </w:pPr>
    <w:rPr>
      <w:sz w:val="20"/>
    </w:rPr>
  </w:style>
  <w:style w:type="paragraph" w:styleId="TableofFigures">
    <w:name w:val="table of figures"/>
    <w:basedOn w:val="Normal"/>
    <w:semiHidden/>
    <w:rsid w:val="007416B9"/>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rsid w:val="007416B9"/>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uiPriority w:val="39"/>
    <w:qFormat/>
    <w:rsid w:val="00247E64"/>
    <w:pPr>
      <w:spacing w:before="120" w:after="120"/>
    </w:pPr>
    <w:rPr>
      <w:rFonts w:asciiTheme="minorHAnsi" w:hAnsiTheme="minorHAnsi"/>
      <w:b/>
      <w:bCs/>
      <w:caps/>
      <w:sz w:val="20"/>
    </w:rPr>
  </w:style>
  <w:style w:type="paragraph" w:styleId="TOC2">
    <w:name w:val="toc 2"/>
    <w:basedOn w:val="TOC1"/>
    <w:autoRedefine/>
    <w:uiPriority w:val="39"/>
    <w:qFormat/>
    <w:rsid w:val="00603F1C"/>
    <w:pPr>
      <w:spacing w:before="0" w:after="0"/>
      <w:ind w:left="160"/>
    </w:pPr>
    <w:rPr>
      <w:b w:val="0"/>
      <w:bCs w:val="0"/>
      <w:caps w:val="0"/>
      <w:smallCaps/>
    </w:rPr>
  </w:style>
  <w:style w:type="paragraph" w:styleId="TOC3">
    <w:name w:val="toc 3"/>
    <w:basedOn w:val="Normal"/>
    <w:next w:val="Normal"/>
    <w:autoRedefine/>
    <w:uiPriority w:val="39"/>
    <w:qFormat/>
    <w:rsid w:val="00603F1C"/>
    <w:pPr>
      <w:ind w:left="320"/>
    </w:pPr>
    <w:rPr>
      <w:rFonts w:asciiTheme="minorHAnsi" w:hAnsiTheme="minorHAnsi"/>
      <w:i/>
      <w:iCs/>
      <w:sz w:val="20"/>
    </w:rPr>
  </w:style>
  <w:style w:type="paragraph" w:styleId="TOC4">
    <w:name w:val="toc 4"/>
    <w:basedOn w:val="Normal"/>
    <w:next w:val="Normal"/>
    <w:uiPriority w:val="39"/>
    <w:rsid w:val="007416B9"/>
    <w:pPr>
      <w:ind w:left="480"/>
    </w:pPr>
    <w:rPr>
      <w:rFonts w:asciiTheme="minorHAnsi" w:hAnsiTheme="minorHAnsi"/>
      <w:sz w:val="18"/>
      <w:szCs w:val="18"/>
    </w:rPr>
  </w:style>
  <w:style w:type="paragraph" w:styleId="TOC5">
    <w:name w:val="toc 5"/>
    <w:basedOn w:val="Normal"/>
    <w:next w:val="Normal"/>
    <w:uiPriority w:val="39"/>
    <w:rsid w:val="007416B9"/>
    <w:pPr>
      <w:ind w:left="640"/>
    </w:pPr>
    <w:rPr>
      <w:rFonts w:asciiTheme="minorHAnsi" w:hAnsiTheme="minorHAnsi"/>
      <w:sz w:val="18"/>
      <w:szCs w:val="18"/>
    </w:rPr>
  </w:style>
  <w:style w:type="paragraph" w:styleId="TOC6">
    <w:name w:val="toc 6"/>
    <w:basedOn w:val="Normal"/>
    <w:next w:val="Normal"/>
    <w:uiPriority w:val="39"/>
    <w:rsid w:val="007416B9"/>
    <w:pPr>
      <w:ind w:left="800"/>
    </w:pPr>
    <w:rPr>
      <w:rFonts w:asciiTheme="minorHAnsi" w:hAnsiTheme="minorHAnsi"/>
      <w:sz w:val="18"/>
      <w:szCs w:val="18"/>
    </w:rPr>
  </w:style>
  <w:style w:type="paragraph" w:styleId="TOC7">
    <w:name w:val="toc 7"/>
    <w:basedOn w:val="Normal"/>
    <w:next w:val="Normal"/>
    <w:uiPriority w:val="39"/>
    <w:rsid w:val="007416B9"/>
    <w:pPr>
      <w:ind w:left="960"/>
    </w:pPr>
    <w:rPr>
      <w:rFonts w:asciiTheme="minorHAnsi" w:hAnsiTheme="minorHAnsi"/>
      <w:sz w:val="18"/>
      <w:szCs w:val="18"/>
    </w:rPr>
  </w:style>
  <w:style w:type="paragraph" w:styleId="TOC8">
    <w:name w:val="toc 8"/>
    <w:basedOn w:val="Normal"/>
    <w:next w:val="Normal"/>
    <w:uiPriority w:val="39"/>
    <w:rsid w:val="007416B9"/>
    <w:pPr>
      <w:ind w:left="1120"/>
    </w:pPr>
    <w:rPr>
      <w:rFonts w:asciiTheme="minorHAnsi" w:hAnsiTheme="minorHAnsi"/>
      <w:sz w:val="18"/>
      <w:szCs w:val="18"/>
    </w:rPr>
  </w:style>
  <w:style w:type="paragraph" w:styleId="TOC9">
    <w:name w:val="toc 9"/>
    <w:basedOn w:val="Normal"/>
    <w:next w:val="Normal"/>
    <w:uiPriority w:val="39"/>
    <w:rsid w:val="007416B9"/>
    <w:pPr>
      <w:ind w:left="1280"/>
    </w:pPr>
    <w:rPr>
      <w:rFonts w:asciiTheme="minorHAnsi" w:hAnsiTheme="minorHAnsi"/>
      <w:sz w:val="18"/>
      <w:szCs w:val="18"/>
    </w:rPr>
  </w:style>
  <w:style w:type="paragraph" w:customStyle="1" w:styleId="TOCBase">
    <w:name w:val="TOC Base"/>
    <w:basedOn w:val="TOC2"/>
    <w:rsid w:val="007416B9"/>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basedOn w:val="DefaultParagraphFont"/>
    <w:link w:val="Heading1"/>
    <w:rsid w:val="00AD456C"/>
    <w:rPr>
      <w:rFonts w:asciiTheme="minorHAnsi" w:hAnsiTheme="minorHAnsi"/>
      <w:color w:val="808080"/>
      <w:spacing w:val="-25"/>
      <w:kern w:val="28"/>
      <w:sz w:val="56"/>
      <w:szCs w:val="56"/>
    </w:rPr>
  </w:style>
  <w:style w:type="character" w:customStyle="1" w:styleId="BodyTextChar">
    <w:name w:val="Body Text Char"/>
    <w:basedOn w:val="DefaultParagraphFont"/>
    <w:link w:val="BodyText"/>
    <w:rsid w:val="0012189F"/>
    <w:rPr>
      <w:rFonts w:asciiTheme="minorHAnsi" w:hAnsiTheme="minorHAnsi"/>
      <w:spacing w:val="-5"/>
      <w:sz w:val="24"/>
    </w:rPr>
  </w:style>
  <w:style w:type="character" w:styleId="Hyperlink">
    <w:name w:val="Hyperlink"/>
    <w:basedOn w:val="DefaultParagraphFont"/>
    <w:uiPriority w:val="99"/>
    <w:rsid w:val="004265DB"/>
    <w:rPr>
      <w:color w:val="0000FF"/>
      <w:u w:val="single"/>
    </w:rPr>
  </w:style>
  <w:style w:type="table" w:styleId="TableGrid">
    <w:name w:val="Table Grid"/>
    <w:basedOn w:val="TableNormal"/>
    <w:rsid w:val="00992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D05C7"/>
    <w:pPr>
      <w:spacing w:before="100" w:after="100"/>
    </w:pPr>
    <w:rPr>
      <w:rFonts w:ascii="Times New Roman" w:hAnsi="Times New Roman"/>
      <w:color w:val="000000"/>
      <w:sz w:val="24"/>
    </w:rPr>
  </w:style>
  <w:style w:type="character" w:customStyle="1" w:styleId="BlockQuotationFirstChar">
    <w:name w:val="Block Quotation First Char"/>
    <w:basedOn w:val="DefaultParagraphFont"/>
    <w:link w:val="BlockQuotationFirst"/>
    <w:rsid w:val="001A251C"/>
    <w:rPr>
      <w:rFonts w:ascii="Arial Black" w:hAnsi="Arial Black"/>
      <w:spacing w:val="-10"/>
      <w:sz w:val="21"/>
      <w:lang w:val="en-US" w:eastAsia="en-US" w:bidi="ar-SA"/>
    </w:rPr>
  </w:style>
  <w:style w:type="character" w:customStyle="1" w:styleId="Heading2Char">
    <w:name w:val="Heading 2 Char"/>
    <w:basedOn w:val="DefaultParagraphFont"/>
    <w:link w:val="Heading2"/>
    <w:rsid w:val="00A54F5F"/>
    <w:rPr>
      <w:rFonts w:ascii="Arial Black" w:hAnsi="Arial Black"/>
      <w:spacing w:val="-10"/>
      <w:kern w:val="28"/>
      <w:sz w:val="16"/>
      <w:szCs w:val="16"/>
      <w:lang w:val="en-US" w:eastAsia="en-US" w:bidi="ar-SA"/>
    </w:rPr>
  </w:style>
  <w:style w:type="character" w:customStyle="1" w:styleId="Heading3Char">
    <w:name w:val="Heading 3 Char"/>
    <w:basedOn w:val="DefaultParagraphFont"/>
    <w:link w:val="Heading3"/>
    <w:rsid w:val="005D2A53"/>
    <w:rPr>
      <w:rFonts w:ascii="Arial Black" w:hAnsi="Arial Black"/>
      <w:spacing w:val="-5"/>
      <w:sz w:val="16"/>
      <w:lang w:val="en-US" w:eastAsia="en-US" w:bidi="ar-SA"/>
    </w:rPr>
  </w:style>
  <w:style w:type="character" w:customStyle="1" w:styleId="Heading4Char">
    <w:name w:val="Heading 4 Char"/>
    <w:basedOn w:val="DefaultParagraphFont"/>
    <w:link w:val="Heading4"/>
    <w:rsid w:val="00582161"/>
    <w:rPr>
      <w:rFonts w:ascii="Garamond" w:hAnsi="Garamond"/>
      <w:caps/>
      <w:spacing w:val="30"/>
      <w:sz w:val="16"/>
      <w:lang w:val="en-US" w:eastAsia="en-US" w:bidi="ar-SA"/>
    </w:rPr>
  </w:style>
  <w:style w:type="character" w:styleId="FollowedHyperlink">
    <w:name w:val="FollowedHyperlink"/>
    <w:basedOn w:val="DefaultParagraphFont"/>
    <w:rsid w:val="00AD1D14"/>
    <w:rPr>
      <w:color w:val="800080"/>
      <w:u w:val="single"/>
    </w:rPr>
  </w:style>
  <w:style w:type="character" w:customStyle="1" w:styleId="Heading5Char">
    <w:name w:val="Heading 5 Char"/>
    <w:basedOn w:val="DefaultParagraphFont"/>
    <w:link w:val="Heading5"/>
    <w:rsid w:val="00C128F5"/>
    <w:rPr>
      <w:rFonts w:ascii="Arial Black" w:hAnsi="Arial Black"/>
      <w:spacing w:val="-5"/>
      <w:sz w:val="18"/>
      <w:lang w:val="en-US" w:eastAsia="en-US" w:bidi="ar-SA"/>
    </w:rPr>
  </w:style>
  <w:style w:type="paragraph" w:styleId="DocumentMap">
    <w:name w:val="Document Map"/>
    <w:basedOn w:val="Normal"/>
    <w:semiHidden/>
    <w:rsid w:val="00E84D77"/>
    <w:pPr>
      <w:shd w:val="clear" w:color="auto" w:fill="000080"/>
    </w:pPr>
    <w:rPr>
      <w:rFonts w:ascii="Tahoma" w:hAnsi="Tahoma" w:cs="Tahoma"/>
      <w:sz w:val="20"/>
    </w:rPr>
  </w:style>
  <w:style w:type="paragraph" w:styleId="CommentSubject">
    <w:name w:val="annotation subject"/>
    <w:basedOn w:val="CommentText"/>
    <w:next w:val="CommentText"/>
    <w:semiHidden/>
    <w:rsid w:val="00D34C40"/>
    <w:pPr>
      <w:tabs>
        <w:tab w:val="clear" w:pos="187"/>
      </w:tabs>
      <w:spacing w:after="0" w:line="240" w:lineRule="auto"/>
      <w:ind w:left="0" w:firstLine="0"/>
    </w:pPr>
    <w:rPr>
      <w:b/>
      <w:bCs/>
      <w:sz w:val="20"/>
    </w:rPr>
  </w:style>
  <w:style w:type="paragraph" w:styleId="TOCHeading">
    <w:name w:val="TOC Heading"/>
    <w:basedOn w:val="Heading1"/>
    <w:next w:val="Normal"/>
    <w:uiPriority w:val="39"/>
    <w:unhideWhenUsed/>
    <w:qFormat/>
    <w:rsid w:val="00EA032C"/>
    <w:pPr>
      <w:keepLines/>
      <w:spacing w:before="480" w:after="0" w:line="276" w:lineRule="auto"/>
      <w:outlineLvl w:val="9"/>
    </w:pPr>
    <w:rPr>
      <w:rFonts w:asciiTheme="majorHAnsi" w:eastAsiaTheme="majorEastAsia" w:hAnsiTheme="majorHAnsi" w:cstheme="majorBidi"/>
      <w:b/>
      <w:bCs/>
      <w:color w:val="365F91" w:themeColor="accent1" w:themeShade="BF"/>
      <w:spacing w:val="0"/>
      <w:kern w:val="0"/>
      <w:sz w:val="28"/>
      <w:szCs w:val="28"/>
    </w:rPr>
  </w:style>
  <w:style w:type="paragraph" w:styleId="BodyTextIndent">
    <w:name w:val="Body Text Indent"/>
    <w:basedOn w:val="Normal"/>
    <w:link w:val="BodyTextIndentChar"/>
    <w:rsid w:val="003162BE"/>
    <w:pPr>
      <w:spacing w:after="120"/>
      <w:ind w:left="360"/>
    </w:pPr>
  </w:style>
  <w:style w:type="character" w:customStyle="1" w:styleId="BodyTextIndentChar">
    <w:name w:val="Body Text Indent Char"/>
    <w:basedOn w:val="DefaultParagraphFont"/>
    <w:link w:val="BodyTextIndent"/>
    <w:rsid w:val="003162BE"/>
    <w:rPr>
      <w:rFonts w:ascii="Garamond" w:hAnsi="Garamond"/>
      <w:sz w:val="16"/>
    </w:rPr>
  </w:style>
  <w:style w:type="paragraph" w:customStyle="1" w:styleId="Equation">
    <w:name w:val="Equation"/>
    <w:basedOn w:val="Normal"/>
    <w:next w:val="Normal"/>
    <w:rsid w:val="003162BE"/>
    <w:pPr>
      <w:tabs>
        <w:tab w:val="center" w:pos="3600"/>
        <w:tab w:val="right" w:pos="7920"/>
      </w:tabs>
      <w:spacing w:after="240"/>
    </w:pPr>
    <w:rPr>
      <w:rFonts w:ascii="Times New Roman" w:hAnsi="Times New Roman"/>
      <w:sz w:val="24"/>
    </w:rPr>
  </w:style>
  <w:style w:type="character" w:customStyle="1" w:styleId="FooterChar">
    <w:name w:val="Footer Char"/>
    <w:basedOn w:val="DefaultParagraphFont"/>
    <w:link w:val="Footer"/>
    <w:uiPriority w:val="99"/>
    <w:rsid w:val="003162BE"/>
    <w:rPr>
      <w:rFonts w:ascii="Arial Black" w:hAnsi="Arial Black"/>
      <w:sz w:val="16"/>
    </w:rPr>
  </w:style>
  <w:style w:type="paragraph" w:customStyle="1" w:styleId="Default">
    <w:name w:val="Default"/>
    <w:rsid w:val="00724B90"/>
    <w:pPr>
      <w:autoSpaceDE w:val="0"/>
      <w:autoSpaceDN w:val="0"/>
      <w:adjustRightInd w:val="0"/>
    </w:pPr>
    <w:rPr>
      <w:color w:val="000000"/>
      <w:sz w:val="24"/>
      <w:szCs w:val="24"/>
    </w:rPr>
  </w:style>
  <w:style w:type="paragraph" w:customStyle="1" w:styleId="Contents">
    <w:name w:val="Contents"/>
    <w:next w:val="Normal"/>
    <w:rsid w:val="006B5697"/>
    <w:pPr>
      <w:spacing w:after="2520" w:line="580" w:lineRule="atLeast"/>
    </w:pPr>
    <w:rPr>
      <w:rFonts w:ascii="Garamond" w:hAnsi="Garamond" w:cs="Arial"/>
      <w:sz w:val="48"/>
    </w:rPr>
  </w:style>
  <w:style w:type="paragraph" w:customStyle="1" w:styleId="CoverTextClient">
    <w:name w:val="Cover Text Client"/>
    <w:basedOn w:val="Normal"/>
    <w:rsid w:val="006B5697"/>
    <w:pPr>
      <w:keepNext/>
      <w:spacing w:after="80" w:line="580" w:lineRule="atLeast"/>
      <w:ind w:left="72"/>
    </w:pPr>
    <w:rPr>
      <w:rFonts w:ascii="Arial Narrow" w:hAnsi="Arial Narrow"/>
      <w:b/>
      <w:color w:val="0000CE"/>
      <w:sz w:val="40"/>
      <w:szCs w:val="18"/>
    </w:rPr>
  </w:style>
  <w:style w:type="paragraph" w:customStyle="1" w:styleId="Style1">
    <w:name w:val="Style1"/>
    <w:basedOn w:val="Normal"/>
    <w:link w:val="Style1Char"/>
    <w:qFormat/>
    <w:rsid w:val="006B5697"/>
    <w:pPr>
      <w:numPr>
        <w:numId w:val="5"/>
      </w:numPr>
      <w:spacing w:after="1320"/>
    </w:pPr>
    <w:rPr>
      <w:rFonts w:ascii="Calibri" w:hAnsi="Calibri" w:cs="Arial"/>
      <w:b/>
      <w:sz w:val="48"/>
    </w:rPr>
  </w:style>
  <w:style w:type="character" w:customStyle="1" w:styleId="Style1Char">
    <w:name w:val="Style1 Char"/>
    <w:basedOn w:val="DefaultParagraphFont"/>
    <w:link w:val="Style1"/>
    <w:rsid w:val="006B5697"/>
    <w:rPr>
      <w:rFonts w:ascii="Calibri" w:hAnsi="Calibri" w:cs="Arial"/>
      <w:b/>
      <w:sz w:val="48"/>
    </w:rPr>
  </w:style>
  <w:style w:type="paragraph" w:styleId="ListParagraph">
    <w:name w:val="List Paragraph"/>
    <w:basedOn w:val="Normal"/>
    <w:uiPriority w:val="34"/>
    <w:qFormat/>
    <w:rsid w:val="00781A25"/>
    <w:pPr>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75659">
      <w:bodyDiv w:val="1"/>
      <w:marLeft w:val="0"/>
      <w:marRight w:val="0"/>
      <w:marTop w:val="0"/>
      <w:marBottom w:val="0"/>
      <w:divBdr>
        <w:top w:val="none" w:sz="0" w:space="0" w:color="auto"/>
        <w:left w:val="none" w:sz="0" w:space="0" w:color="auto"/>
        <w:bottom w:val="none" w:sz="0" w:space="0" w:color="auto"/>
        <w:right w:val="none" w:sz="0" w:space="0" w:color="auto"/>
      </w:divBdr>
    </w:div>
    <w:div w:id="589392570">
      <w:bodyDiv w:val="1"/>
      <w:marLeft w:val="0"/>
      <w:marRight w:val="0"/>
      <w:marTop w:val="0"/>
      <w:marBottom w:val="0"/>
      <w:divBdr>
        <w:top w:val="none" w:sz="0" w:space="0" w:color="auto"/>
        <w:left w:val="none" w:sz="0" w:space="0" w:color="auto"/>
        <w:bottom w:val="none" w:sz="0" w:space="0" w:color="auto"/>
        <w:right w:val="none" w:sz="0" w:space="0" w:color="auto"/>
      </w:divBdr>
      <w:divsChild>
        <w:div w:id="2004623906">
          <w:marLeft w:val="835"/>
          <w:marRight w:val="0"/>
          <w:marTop w:val="240"/>
          <w:marBottom w:val="0"/>
          <w:divBdr>
            <w:top w:val="none" w:sz="0" w:space="0" w:color="auto"/>
            <w:left w:val="none" w:sz="0" w:space="0" w:color="auto"/>
            <w:bottom w:val="none" w:sz="0" w:space="0" w:color="auto"/>
            <w:right w:val="none" w:sz="0" w:space="0" w:color="auto"/>
          </w:divBdr>
        </w:div>
        <w:div w:id="1473323867">
          <w:marLeft w:val="2045"/>
          <w:marRight w:val="0"/>
          <w:marTop w:val="96"/>
          <w:marBottom w:val="0"/>
          <w:divBdr>
            <w:top w:val="none" w:sz="0" w:space="0" w:color="auto"/>
            <w:left w:val="none" w:sz="0" w:space="0" w:color="auto"/>
            <w:bottom w:val="none" w:sz="0" w:space="0" w:color="auto"/>
            <w:right w:val="none" w:sz="0" w:space="0" w:color="auto"/>
          </w:divBdr>
        </w:div>
        <w:div w:id="153113389">
          <w:marLeft w:val="1440"/>
          <w:marRight w:val="0"/>
          <w:marTop w:val="96"/>
          <w:marBottom w:val="0"/>
          <w:divBdr>
            <w:top w:val="none" w:sz="0" w:space="0" w:color="auto"/>
            <w:left w:val="none" w:sz="0" w:space="0" w:color="auto"/>
            <w:bottom w:val="none" w:sz="0" w:space="0" w:color="auto"/>
            <w:right w:val="none" w:sz="0" w:space="0" w:color="auto"/>
          </w:divBdr>
        </w:div>
        <w:div w:id="435175035">
          <w:marLeft w:val="835"/>
          <w:marRight w:val="0"/>
          <w:marTop w:val="96"/>
          <w:marBottom w:val="0"/>
          <w:divBdr>
            <w:top w:val="none" w:sz="0" w:space="0" w:color="auto"/>
            <w:left w:val="none" w:sz="0" w:space="0" w:color="auto"/>
            <w:bottom w:val="none" w:sz="0" w:space="0" w:color="auto"/>
            <w:right w:val="none" w:sz="0" w:space="0" w:color="auto"/>
          </w:divBdr>
        </w:div>
        <w:div w:id="162401855">
          <w:marLeft w:val="2045"/>
          <w:marRight w:val="0"/>
          <w:marTop w:val="96"/>
          <w:marBottom w:val="0"/>
          <w:divBdr>
            <w:top w:val="none" w:sz="0" w:space="0" w:color="auto"/>
            <w:left w:val="none" w:sz="0" w:space="0" w:color="auto"/>
            <w:bottom w:val="none" w:sz="0" w:space="0" w:color="auto"/>
            <w:right w:val="none" w:sz="0" w:space="0" w:color="auto"/>
          </w:divBdr>
        </w:div>
      </w:divsChild>
    </w:div>
    <w:div w:id="653224932">
      <w:bodyDiv w:val="1"/>
      <w:marLeft w:val="0"/>
      <w:marRight w:val="0"/>
      <w:marTop w:val="0"/>
      <w:marBottom w:val="0"/>
      <w:divBdr>
        <w:top w:val="none" w:sz="0" w:space="0" w:color="auto"/>
        <w:left w:val="none" w:sz="0" w:space="0" w:color="auto"/>
        <w:bottom w:val="none" w:sz="0" w:space="0" w:color="auto"/>
        <w:right w:val="none" w:sz="0" w:space="0" w:color="auto"/>
      </w:divBdr>
      <w:divsChild>
        <w:div w:id="842670400">
          <w:marLeft w:val="0"/>
          <w:marRight w:val="0"/>
          <w:marTop w:val="240"/>
          <w:marBottom w:val="0"/>
          <w:divBdr>
            <w:top w:val="none" w:sz="0" w:space="0" w:color="auto"/>
            <w:left w:val="none" w:sz="0" w:space="0" w:color="auto"/>
            <w:bottom w:val="none" w:sz="0" w:space="0" w:color="auto"/>
            <w:right w:val="none" w:sz="0" w:space="0" w:color="auto"/>
          </w:divBdr>
        </w:div>
        <w:div w:id="1629041840">
          <w:marLeft w:val="1440"/>
          <w:marRight w:val="0"/>
          <w:marTop w:val="96"/>
          <w:marBottom w:val="0"/>
          <w:divBdr>
            <w:top w:val="none" w:sz="0" w:space="0" w:color="auto"/>
            <w:left w:val="none" w:sz="0" w:space="0" w:color="auto"/>
            <w:bottom w:val="none" w:sz="0" w:space="0" w:color="auto"/>
            <w:right w:val="none" w:sz="0" w:space="0" w:color="auto"/>
          </w:divBdr>
        </w:div>
        <w:div w:id="1310817522">
          <w:marLeft w:val="1440"/>
          <w:marRight w:val="0"/>
          <w:marTop w:val="96"/>
          <w:marBottom w:val="0"/>
          <w:divBdr>
            <w:top w:val="none" w:sz="0" w:space="0" w:color="auto"/>
            <w:left w:val="none" w:sz="0" w:space="0" w:color="auto"/>
            <w:bottom w:val="none" w:sz="0" w:space="0" w:color="auto"/>
            <w:right w:val="none" w:sz="0" w:space="0" w:color="auto"/>
          </w:divBdr>
        </w:div>
        <w:div w:id="1151365779">
          <w:marLeft w:val="1440"/>
          <w:marRight w:val="0"/>
          <w:marTop w:val="96"/>
          <w:marBottom w:val="0"/>
          <w:divBdr>
            <w:top w:val="none" w:sz="0" w:space="0" w:color="auto"/>
            <w:left w:val="none" w:sz="0" w:space="0" w:color="auto"/>
            <w:bottom w:val="none" w:sz="0" w:space="0" w:color="auto"/>
            <w:right w:val="none" w:sz="0" w:space="0" w:color="auto"/>
          </w:divBdr>
        </w:div>
        <w:div w:id="1021395553">
          <w:marLeft w:val="1440"/>
          <w:marRight w:val="0"/>
          <w:marTop w:val="96"/>
          <w:marBottom w:val="0"/>
          <w:divBdr>
            <w:top w:val="none" w:sz="0" w:space="0" w:color="auto"/>
            <w:left w:val="none" w:sz="0" w:space="0" w:color="auto"/>
            <w:bottom w:val="none" w:sz="0" w:space="0" w:color="auto"/>
            <w:right w:val="none" w:sz="0" w:space="0" w:color="auto"/>
          </w:divBdr>
        </w:div>
        <w:div w:id="1262302893">
          <w:marLeft w:val="1440"/>
          <w:marRight w:val="0"/>
          <w:marTop w:val="96"/>
          <w:marBottom w:val="0"/>
          <w:divBdr>
            <w:top w:val="none" w:sz="0" w:space="0" w:color="auto"/>
            <w:left w:val="none" w:sz="0" w:space="0" w:color="auto"/>
            <w:bottom w:val="none" w:sz="0" w:space="0" w:color="auto"/>
            <w:right w:val="none" w:sz="0" w:space="0" w:color="auto"/>
          </w:divBdr>
        </w:div>
      </w:divsChild>
    </w:div>
    <w:div w:id="943608108">
      <w:bodyDiv w:val="1"/>
      <w:marLeft w:val="0"/>
      <w:marRight w:val="0"/>
      <w:marTop w:val="0"/>
      <w:marBottom w:val="0"/>
      <w:divBdr>
        <w:top w:val="none" w:sz="0" w:space="0" w:color="auto"/>
        <w:left w:val="none" w:sz="0" w:space="0" w:color="auto"/>
        <w:bottom w:val="none" w:sz="0" w:space="0" w:color="auto"/>
        <w:right w:val="none" w:sz="0" w:space="0" w:color="auto"/>
      </w:divBdr>
    </w:div>
    <w:div w:id="1122922809">
      <w:bodyDiv w:val="1"/>
      <w:marLeft w:val="0"/>
      <w:marRight w:val="0"/>
      <w:marTop w:val="0"/>
      <w:marBottom w:val="0"/>
      <w:divBdr>
        <w:top w:val="none" w:sz="0" w:space="0" w:color="auto"/>
        <w:left w:val="none" w:sz="0" w:space="0" w:color="auto"/>
        <w:bottom w:val="none" w:sz="0" w:space="0" w:color="auto"/>
        <w:right w:val="none" w:sz="0" w:space="0" w:color="auto"/>
      </w:divBdr>
    </w:div>
    <w:div w:id="1141655570">
      <w:bodyDiv w:val="1"/>
      <w:marLeft w:val="0"/>
      <w:marRight w:val="0"/>
      <w:marTop w:val="0"/>
      <w:marBottom w:val="0"/>
      <w:divBdr>
        <w:top w:val="none" w:sz="0" w:space="0" w:color="auto"/>
        <w:left w:val="none" w:sz="0" w:space="0" w:color="auto"/>
        <w:bottom w:val="none" w:sz="0" w:space="0" w:color="auto"/>
        <w:right w:val="none" w:sz="0" w:space="0" w:color="auto"/>
      </w:divBdr>
    </w:div>
    <w:div w:id="1217088744">
      <w:bodyDiv w:val="1"/>
      <w:marLeft w:val="0"/>
      <w:marRight w:val="0"/>
      <w:marTop w:val="0"/>
      <w:marBottom w:val="0"/>
      <w:divBdr>
        <w:top w:val="none" w:sz="0" w:space="0" w:color="auto"/>
        <w:left w:val="none" w:sz="0" w:space="0" w:color="auto"/>
        <w:bottom w:val="none" w:sz="0" w:space="0" w:color="auto"/>
        <w:right w:val="none" w:sz="0" w:space="0" w:color="auto"/>
      </w:divBdr>
    </w:div>
    <w:div w:id="1327785994">
      <w:bodyDiv w:val="1"/>
      <w:marLeft w:val="0"/>
      <w:marRight w:val="0"/>
      <w:marTop w:val="0"/>
      <w:marBottom w:val="0"/>
      <w:divBdr>
        <w:top w:val="none" w:sz="0" w:space="0" w:color="auto"/>
        <w:left w:val="none" w:sz="0" w:space="0" w:color="auto"/>
        <w:bottom w:val="none" w:sz="0" w:space="0" w:color="auto"/>
        <w:right w:val="none" w:sz="0" w:space="0" w:color="auto"/>
      </w:divBdr>
      <w:divsChild>
        <w:div w:id="1560163320">
          <w:marLeft w:val="75"/>
          <w:marRight w:val="0"/>
          <w:marTop w:val="120"/>
          <w:marBottom w:val="0"/>
          <w:divBdr>
            <w:top w:val="none" w:sz="0" w:space="0" w:color="auto"/>
            <w:left w:val="none" w:sz="0" w:space="0" w:color="auto"/>
            <w:bottom w:val="none" w:sz="0" w:space="0" w:color="auto"/>
            <w:right w:val="none" w:sz="0" w:space="0" w:color="auto"/>
          </w:divBdr>
        </w:div>
      </w:divsChild>
    </w:div>
    <w:div w:id="1452431937">
      <w:bodyDiv w:val="1"/>
      <w:marLeft w:val="0"/>
      <w:marRight w:val="0"/>
      <w:marTop w:val="0"/>
      <w:marBottom w:val="0"/>
      <w:divBdr>
        <w:top w:val="none" w:sz="0" w:space="0" w:color="auto"/>
        <w:left w:val="none" w:sz="0" w:space="0" w:color="auto"/>
        <w:bottom w:val="none" w:sz="0" w:space="0" w:color="auto"/>
        <w:right w:val="none" w:sz="0" w:space="0" w:color="auto"/>
      </w:divBdr>
    </w:div>
    <w:div w:id="1475021422">
      <w:bodyDiv w:val="1"/>
      <w:marLeft w:val="0"/>
      <w:marRight w:val="0"/>
      <w:marTop w:val="0"/>
      <w:marBottom w:val="0"/>
      <w:divBdr>
        <w:top w:val="none" w:sz="0" w:space="0" w:color="auto"/>
        <w:left w:val="none" w:sz="0" w:space="0" w:color="auto"/>
        <w:bottom w:val="none" w:sz="0" w:space="0" w:color="auto"/>
        <w:right w:val="none" w:sz="0" w:space="0" w:color="auto"/>
      </w:divBdr>
    </w:div>
    <w:div w:id="1553006666">
      <w:bodyDiv w:val="1"/>
      <w:marLeft w:val="0"/>
      <w:marRight w:val="0"/>
      <w:marTop w:val="0"/>
      <w:marBottom w:val="0"/>
      <w:divBdr>
        <w:top w:val="none" w:sz="0" w:space="0" w:color="auto"/>
        <w:left w:val="none" w:sz="0" w:space="0" w:color="auto"/>
        <w:bottom w:val="none" w:sz="0" w:space="0" w:color="auto"/>
        <w:right w:val="none" w:sz="0" w:space="0" w:color="auto"/>
      </w:divBdr>
    </w:div>
    <w:div w:id="1623002806">
      <w:bodyDiv w:val="1"/>
      <w:marLeft w:val="0"/>
      <w:marRight w:val="0"/>
      <w:marTop w:val="0"/>
      <w:marBottom w:val="0"/>
      <w:divBdr>
        <w:top w:val="none" w:sz="0" w:space="0" w:color="auto"/>
        <w:left w:val="none" w:sz="0" w:space="0" w:color="auto"/>
        <w:bottom w:val="none" w:sz="0" w:space="0" w:color="auto"/>
        <w:right w:val="none" w:sz="0" w:space="0" w:color="auto"/>
      </w:divBdr>
    </w:div>
    <w:div w:id="1842623915">
      <w:bodyDiv w:val="1"/>
      <w:marLeft w:val="0"/>
      <w:marRight w:val="0"/>
      <w:marTop w:val="0"/>
      <w:marBottom w:val="0"/>
      <w:divBdr>
        <w:top w:val="none" w:sz="0" w:space="0" w:color="auto"/>
        <w:left w:val="none" w:sz="0" w:space="0" w:color="auto"/>
        <w:bottom w:val="none" w:sz="0" w:space="0" w:color="auto"/>
        <w:right w:val="none" w:sz="0" w:space="0" w:color="auto"/>
      </w:divBdr>
    </w:div>
    <w:div w:id="1902986429">
      <w:bodyDiv w:val="1"/>
      <w:marLeft w:val="0"/>
      <w:marRight w:val="0"/>
      <w:marTop w:val="0"/>
      <w:marBottom w:val="0"/>
      <w:divBdr>
        <w:top w:val="none" w:sz="0" w:space="0" w:color="auto"/>
        <w:left w:val="none" w:sz="0" w:space="0" w:color="auto"/>
        <w:bottom w:val="none" w:sz="0" w:space="0" w:color="auto"/>
        <w:right w:val="none" w:sz="0" w:space="0" w:color="auto"/>
      </w:divBdr>
    </w:div>
    <w:div w:id="193227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itehouse.gov/omb/procurement_index_work_performance/" TargetMode="External"/><Relationship Id="rId18" Type="http://schemas.openxmlformats.org/officeDocument/2006/relationships/hyperlink" Target="http://www.whitehouse.gov/omb/circulars/a076/a76_incl_tech_correction.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whitehouse.gov/omb/procurement_fair-default/" TargetMode="External"/><Relationship Id="rId2" Type="http://schemas.openxmlformats.org/officeDocument/2006/relationships/numbering" Target="numbering.xml"/><Relationship Id="rId16" Type="http://schemas.openxmlformats.org/officeDocument/2006/relationships/hyperlink" Target="http://energy.gov/management/fair-act-inventor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whitehouse.gov/omb/procurement_index_work_performance/" TargetMode="External"/><Relationship Id="rId10" Type="http://schemas.openxmlformats.org/officeDocument/2006/relationships/footer" Target="footer1.xml"/><Relationship Id="rId19" Type="http://schemas.openxmlformats.org/officeDocument/2006/relationships/hyperlink" Target="http://www.whitehouse.gov/omb/procurement_fair-defaul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hitehouse.gov/omb/procurement_fair-defaul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hitehouse.gov/omb/procurement_index_work_perform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fontaca\LOCALS~1\Temp\TCD35.tmp\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C53F4-162C-48C7-BDFB-C1550E4ED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Manual</Template>
  <TotalTime>2</TotalTime>
  <Pages>13</Pages>
  <Words>4039</Words>
  <Characters>25349</Characters>
  <Application>Microsoft Office Word</Application>
  <DocSecurity>0</DocSecurity>
  <Lines>211</Lines>
  <Paragraphs>58</Paragraphs>
  <ScaleCrop>false</ScaleCrop>
  <HeadingPairs>
    <vt:vector size="2" baseType="variant">
      <vt:variant>
        <vt:lpstr>Title</vt:lpstr>
      </vt:variant>
      <vt:variant>
        <vt:i4>1</vt:i4>
      </vt:variant>
    </vt:vector>
  </HeadingPairs>
  <TitlesOfParts>
    <vt:vector size="1" baseType="lpstr">
      <vt:lpstr>OFFICE OF PROCUREMENT &amp; ASSISTANCE MANAGEMENT</vt:lpstr>
    </vt:vector>
  </TitlesOfParts>
  <Company>Microsoft Corporation</Company>
  <LinksUpToDate>false</LinksUpToDate>
  <CharactersWithSpaces>29330</CharactersWithSpaces>
  <SharedDoc>false</SharedDoc>
  <HLinks>
    <vt:vector size="276" baseType="variant">
      <vt:variant>
        <vt:i4>2031681</vt:i4>
      </vt:variant>
      <vt:variant>
        <vt:i4>249</vt:i4>
      </vt:variant>
      <vt:variant>
        <vt:i4>0</vt:i4>
      </vt:variant>
      <vt:variant>
        <vt:i4>5</vt:i4>
      </vt:variant>
      <vt:variant>
        <vt:lpwstr>http://www.whitehouse.gov/omb/memoranda/fy2005/m05-12.pdf</vt:lpwstr>
      </vt:variant>
      <vt:variant>
        <vt:lpwstr/>
      </vt:variant>
      <vt:variant>
        <vt:i4>4980805</vt:i4>
      </vt:variant>
      <vt:variant>
        <vt:i4>246</vt:i4>
      </vt:variant>
      <vt:variant>
        <vt:i4>0</vt:i4>
      </vt:variant>
      <vt:variant>
        <vt:i4>5</vt:i4>
      </vt:variant>
      <vt:variant>
        <vt:lpwstr>http://www.whitehouse.gov/omb/procurement/fair-index.html</vt:lpwstr>
      </vt:variant>
      <vt:variant>
        <vt:lpwstr/>
      </vt:variant>
      <vt:variant>
        <vt:i4>721017</vt:i4>
      </vt:variant>
      <vt:variant>
        <vt:i4>243</vt:i4>
      </vt:variant>
      <vt:variant>
        <vt:i4>0</vt:i4>
      </vt:variant>
      <vt:variant>
        <vt:i4>5</vt:i4>
      </vt:variant>
      <vt:variant>
        <vt:lpwstr>http://www.whitehouse.gov/omb/circulars/a076/a76_incl_tech_correction.html</vt:lpwstr>
      </vt:variant>
      <vt:variant>
        <vt:lpwstr/>
      </vt:variant>
      <vt:variant>
        <vt:i4>6881321</vt:i4>
      </vt:variant>
      <vt:variant>
        <vt:i4>240</vt:i4>
      </vt:variant>
      <vt:variant>
        <vt:i4>0</vt:i4>
      </vt:variant>
      <vt:variant>
        <vt:i4>5</vt:i4>
      </vt:variant>
      <vt:variant>
        <vt:lpwstr>http://www.whitehouse.gov/omb/procurement/fairact.html</vt:lpwstr>
      </vt:variant>
      <vt:variant>
        <vt:lpwstr/>
      </vt:variant>
      <vt:variant>
        <vt:i4>7536741</vt:i4>
      </vt:variant>
      <vt:variant>
        <vt:i4>237</vt:i4>
      </vt:variant>
      <vt:variant>
        <vt:i4>0</vt:i4>
      </vt:variant>
      <vt:variant>
        <vt:i4>5</vt:i4>
      </vt:variant>
      <vt:variant>
        <vt:lpwstr>http://management.energy.gov/policy_guidance/competitive_sourcing.htm</vt:lpwstr>
      </vt:variant>
      <vt:variant>
        <vt:lpwstr/>
      </vt:variant>
      <vt:variant>
        <vt:i4>7536741</vt:i4>
      </vt:variant>
      <vt:variant>
        <vt:i4>234</vt:i4>
      </vt:variant>
      <vt:variant>
        <vt:i4>0</vt:i4>
      </vt:variant>
      <vt:variant>
        <vt:i4>5</vt:i4>
      </vt:variant>
      <vt:variant>
        <vt:lpwstr>http://management.energy.gov/policy_guidance/competitive_sourcing.htm</vt:lpwstr>
      </vt:variant>
      <vt:variant>
        <vt:lpwstr/>
      </vt:variant>
      <vt:variant>
        <vt:i4>2883613</vt:i4>
      </vt:variant>
      <vt:variant>
        <vt:i4>231</vt:i4>
      </vt:variant>
      <vt:variant>
        <vt:i4>0</vt:i4>
      </vt:variant>
      <vt:variant>
        <vt:i4>5</vt:i4>
      </vt:variant>
      <vt:variant>
        <vt:lpwstr>http://www.management.energy.gov/policy_guidance/560.htm</vt:lpwstr>
      </vt:variant>
      <vt:variant>
        <vt:lpwstr/>
      </vt:variant>
      <vt:variant>
        <vt:i4>2031681</vt:i4>
      </vt:variant>
      <vt:variant>
        <vt:i4>228</vt:i4>
      </vt:variant>
      <vt:variant>
        <vt:i4>0</vt:i4>
      </vt:variant>
      <vt:variant>
        <vt:i4>5</vt:i4>
      </vt:variant>
      <vt:variant>
        <vt:lpwstr>http://www.whitehouse.gov/omb/memoranda/fy2005/m05-12.pdf</vt:lpwstr>
      </vt:variant>
      <vt:variant>
        <vt:lpwstr/>
      </vt:variant>
      <vt:variant>
        <vt:i4>7602279</vt:i4>
      </vt:variant>
      <vt:variant>
        <vt:i4>219</vt:i4>
      </vt:variant>
      <vt:variant>
        <vt:i4>0</vt:i4>
      </vt:variant>
      <vt:variant>
        <vt:i4>5</vt:i4>
      </vt:variant>
      <vt:variant>
        <vt:lpwstr>http://management.energy.gov/policy_guidance/operating_guidelines.htm</vt:lpwstr>
      </vt:variant>
      <vt:variant>
        <vt:lpwstr/>
      </vt:variant>
      <vt:variant>
        <vt:i4>7536741</vt:i4>
      </vt:variant>
      <vt:variant>
        <vt:i4>216</vt:i4>
      </vt:variant>
      <vt:variant>
        <vt:i4>0</vt:i4>
      </vt:variant>
      <vt:variant>
        <vt:i4>5</vt:i4>
      </vt:variant>
      <vt:variant>
        <vt:lpwstr>http://management.energy.gov/policy_guidance/competitive_sourcing.htm</vt:lpwstr>
      </vt:variant>
      <vt:variant>
        <vt:lpwstr/>
      </vt:variant>
      <vt:variant>
        <vt:i4>1376318</vt:i4>
      </vt:variant>
      <vt:variant>
        <vt:i4>209</vt:i4>
      </vt:variant>
      <vt:variant>
        <vt:i4>0</vt:i4>
      </vt:variant>
      <vt:variant>
        <vt:i4>5</vt:i4>
      </vt:variant>
      <vt:variant>
        <vt:lpwstr/>
      </vt:variant>
      <vt:variant>
        <vt:lpwstr>_Toc252977999</vt:lpwstr>
      </vt:variant>
      <vt:variant>
        <vt:i4>1376318</vt:i4>
      </vt:variant>
      <vt:variant>
        <vt:i4>203</vt:i4>
      </vt:variant>
      <vt:variant>
        <vt:i4>0</vt:i4>
      </vt:variant>
      <vt:variant>
        <vt:i4>5</vt:i4>
      </vt:variant>
      <vt:variant>
        <vt:lpwstr/>
      </vt:variant>
      <vt:variant>
        <vt:lpwstr>_Toc252977998</vt:lpwstr>
      </vt:variant>
      <vt:variant>
        <vt:i4>1376318</vt:i4>
      </vt:variant>
      <vt:variant>
        <vt:i4>197</vt:i4>
      </vt:variant>
      <vt:variant>
        <vt:i4>0</vt:i4>
      </vt:variant>
      <vt:variant>
        <vt:i4>5</vt:i4>
      </vt:variant>
      <vt:variant>
        <vt:lpwstr/>
      </vt:variant>
      <vt:variant>
        <vt:lpwstr>_Toc252977997</vt:lpwstr>
      </vt:variant>
      <vt:variant>
        <vt:i4>1376318</vt:i4>
      </vt:variant>
      <vt:variant>
        <vt:i4>191</vt:i4>
      </vt:variant>
      <vt:variant>
        <vt:i4>0</vt:i4>
      </vt:variant>
      <vt:variant>
        <vt:i4>5</vt:i4>
      </vt:variant>
      <vt:variant>
        <vt:lpwstr/>
      </vt:variant>
      <vt:variant>
        <vt:lpwstr>_Toc252977996</vt:lpwstr>
      </vt:variant>
      <vt:variant>
        <vt:i4>1376318</vt:i4>
      </vt:variant>
      <vt:variant>
        <vt:i4>185</vt:i4>
      </vt:variant>
      <vt:variant>
        <vt:i4>0</vt:i4>
      </vt:variant>
      <vt:variant>
        <vt:i4>5</vt:i4>
      </vt:variant>
      <vt:variant>
        <vt:lpwstr/>
      </vt:variant>
      <vt:variant>
        <vt:lpwstr>_Toc252977995</vt:lpwstr>
      </vt:variant>
      <vt:variant>
        <vt:i4>1376318</vt:i4>
      </vt:variant>
      <vt:variant>
        <vt:i4>179</vt:i4>
      </vt:variant>
      <vt:variant>
        <vt:i4>0</vt:i4>
      </vt:variant>
      <vt:variant>
        <vt:i4>5</vt:i4>
      </vt:variant>
      <vt:variant>
        <vt:lpwstr/>
      </vt:variant>
      <vt:variant>
        <vt:lpwstr>_Toc252977994</vt:lpwstr>
      </vt:variant>
      <vt:variant>
        <vt:i4>1376318</vt:i4>
      </vt:variant>
      <vt:variant>
        <vt:i4>173</vt:i4>
      </vt:variant>
      <vt:variant>
        <vt:i4>0</vt:i4>
      </vt:variant>
      <vt:variant>
        <vt:i4>5</vt:i4>
      </vt:variant>
      <vt:variant>
        <vt:lpwstr/>
      </vt:variant>
      <vt:variant>
        <vt:lpwstr>_Toc252977993</vt:lpwstr>
      </vt:variant>
      <vt:variant>
        <vt:i4>1376318</vt:i4>
      </vt:variant>
      <vt:variant>
        <vt:i4>167</vt:i4>
      </vt:variant>
      <vt:variant>
        <vt:i4>0</vt:i4>
      </vt:variant>
      <vt:variant>
        <vt:i4>5</vt:i4>
      </vt:variant>
      <vt:variant>
        <vt:lpwstr/>
      </vt:variant>
      <vt:variant>
        <vt:lpwstr>_Toc252977992</vt:lpwstr>
      </vt:variant>
      <vt:variant>
        <vt:i4>1376318</vt:i4>
      </vt:variant>
      <vt:variant>
        <vt:i4>161</vt:i4>
      </vt:variant>
      <vt:variant>
        <vt:i4>0</vt:i4>
      </vt:variant>
      <vt:variant>
        <vt:i4>5</vt:i4>
      </vt:variant>
      <vt:variant>
        <vt:lpwstr/>
      </vt:variant>
      <vt:variant>
        <vt:lpwstr>_Toc252977991</vt:lpwstr>
      </vt:variant>
      <vt:variant>
        <vt:i4>1376318</vt:i4>
      </vt:variant>
      <vt:variant>
        <vt:i4>155</vt:i4>
      </vt:variant>
      <vt:variant>
        <vt:i4>0</vt:i4>
      </vt:variant>
      <vt:variant>
        <vt:i4>5</vt:i4>
      </vt:variant>
      <vt:variant>
        <vt:lpwstr/>
      </vt:variant>
      <vt:variant>
        <vt:lpwstr>_Toc252977990</vt:lpwstr>
      </vt:variant>
      <vt:variant>
        <vt:i4>1310782</vt:i4>
      </vt:variant>
      <vt:variant>
        <vt:i4>149</vt:i4>
      </vt:variant>
      <vt:variant>
        <vt:i4>0</vt:i4>
      </vt:variant>
      <vt:variant>
        <vt:i4>5</vt:i4>
      </vt:variant>
      <vt:variant>
        <vt:lpwstr/>
      </vt:variant>
      <vt:variant>
        <vt:lpwstr>_Toc252977989</vt:lpwstr>
      </vt:variant>
      <vt:variant>
        <vt:i4>1310782</vt:i4>
      </vt:variant>
      <vt:variant>
        <vt:i4>143</vt:i4>
      </vt:variant>
      <vt:variant>
        <vt:i4>0</vt:i4>
      </vt:variant>
      <vt:variant>
        <vt:i4>5</vt:i4>
      </vt:variant>
      <vt:variant>
        <vt:lpwstr/>
      </vt:variant>
      <vt:variant>
        <vt:lpwstr>_Toc252977988</vt:lpwstr>
      </vt:variant>
      <vt:variant>
        <vt:i4>1310782</vt:i4>
      </vt:variant>
      <vt:variant>
        <vt:i4>137</vt:i4>
      </vt:variant>
      <vt:variant>
        <vt:i4>0</vt:i4>
      </vt:variant>
      <vt:variant>
        <vt:i4>5</vt:i4>
      </vt:variant>
      <vt:variant>
        <vt:lpwstr/>
      </vt:variant>
      <vt:variant>
        <vt:lpwstr>_Toc252977987</vt:lpwstr>
      </vt:variant>
      <vt:variant>
        <vt:i4>1310782</vt:i4>
      </vt:variant>
      <vt:variant>
        <vt:i4>131</vt:i4>
      </vt:variant>
      <vt:variant>
        <vt:i4>0</vt:i4>
      </vt:variant>
      <vt:variant>
        <vt:i4>5</vt:i4>
      </vt:variant>
      <vt:variant>
        <vt:lpwstr/>
      </vt:variant>
      <vt:variant>
        <vt:lpwstr>_Toc252977986</vt:lpwstr>
      </vt:variant>
      <vt:variant>
        <vt:i4>1310782</vt:i4>
      </vt:variant>
      <vt:variant>
        <vt:i4>125</vt:i4>
      </vt:variant>
      <vt:variant>
        <vt:i4>0</vt:i4>
      </vt:variant>
      <vt:variant>
        <vt:i4>5</vt:i4>
      </vt:variant>
      <vt:variant>
        <vt:lpwstr/>
      </vt:variant>
      <vt:variant>
        <vt:lpwstr>_Toc252977985</vt:lpwstr>
      </vt:variant>
      <vt:variant>
        <vt:i4>1310782</vt:i4>
      </vt:variant>
      <vt:variant>
        <vt:i4>119</vt:i4>
      </vt:variant>
      <vt:variant>
        <vt:i4>0</vt:i4>
      </vt:variant>
      <vt:variant>
        <vt:i4>5</vt:i4>
      </vt:variant>
      <vt:variant>
        <vt:lpwstr/>
      </vt:variant>
      <vt:variant>
        <vt:lpwstr>_Toc252977984</vt:lpwstr>
      </vt:variant>
      <vt:variant>
        <vt:i4>1310782</vt:i4>
      </vt:variant>
      <vt:variant>
        <vt:i4>113</vt:i4>
      </vt:variant>
      <vt:variant>
        <vt:i4>0</vt:i4>
      </vt:variant>
      <vt:variant>
        <vt:i4>5</vt:i4>
      </vt:variant>
      <vt:variant>
        <vt:lpwstr/>
      </vt:variant>
      <vt:variant>
        <vt:lpwstr>_Toc252977983</vt:lpwstr>
      </vt:variant>
      <vt:variant>
        <vt:i4>1310782</vt:i4>
      </vt:variant>
      <vt:variant>
        <vt:i4>107</vt:i4>
      </vt:variant>
      <vt:variant>
        <vt:i4>0</vt:i4>
      </vt:variant>
      <vt:variant>
        <vt:i4>5</vt:i4>
      </vt:variant>
      <vt:variant>
        <vt:lpwstr/>
      </vt:variant>
      <vt:variant>
        <vt:lpwstr>_Toc252977982</vt:lpwstr>
      </vt:variant>
      <vt:variant>
        <vt:i4>1310782</vt:i4>
      </vt:variant>
      <vt:variant>
        <vt:i4>101</vt:i4>
      </vt:variant>
      <vt:variant>
        <vt:i4>0</vt:i4>
      </vt:variant>
      <vt:variant>
        <vt:i4>5</vt:i4>
      </vt:variant>
      <vt:variant>
        <vt:lpwstr/>
      </vt:variant>
      <vt:variant>
        <vt:lpwstr>_Toc252977981</vt:lpwstr>
      </vt:variant>
      <vt:variant>
        <vt:i4>1310782</vt:i4>
      </vt:variant>
      <vt:variant>
        <vt:i4>95</vt:i4>
      </vt:variant>
      <vt:variant>
        <vt:i4>0</vt:i4>
      </vt:variant>
      <vt:variant>
        <vt:i4>5</vt:i4>
      </vt:variant>
      <vt:variant>
        <vt:lpwstr/>
      </vt:variant>
      <vt:variant>
        <vt:lpwstr>_Toc252977980</vt:lpwstr>
      </vt:variant>
      <vt:variant>
        <vt:i4>1769534</vt:i4>
      </vt:variant>
      <vt:variant>
        <vt:i4>89</vt:i4>
      </vt:variant>
      <vt:variant>
        <vt:i4>0</vt:i4>
      </vt:variant>
      <vt:variant>
        <vt:i4>5</vt:i4>
      </vt:variant>
      <vt:variant>
        <vt:lpwstr/>
      </vt:variant>
      <vt:variant>
        <vt:lpwstr>_Toc252977979</vt:lpwstr>
      </vt:variant>
      <vt:variant>
        <vt:i4>1769534</vt:i4>
      </vt:variant>
      <vt:variant>
        <vt:i4>83</vt:i4>
      </vt:variant>
      <vt:variant>
        <vt:i4>0</vt:i4>
      </vt:variant>
      <vt:variant>
        <vt:i4>5</vt:i4>
      </vt:variant>
      <vt:variant>
        <vt:lpwstr/>
      </vt:variant>
      <vt:variant>
        <vt:lpwstr>_Toc252977978</vt:lpwstr>
      </vt:variant>
      <vt:variant>
        <vt:i4>1769534</vt:i4>
      </vt:variant>
      <vt:variant>
        <vt:i4>77</vt:i4>
      </vt:variant>
      <vt:variant>
        <vt:i4>0</vt:i4>
      </vt:variant>
      <vt:variant>
        <vt:i4>5</vt:i4>
      </vt:variant>
      <vt:variant>
        <vt:lpwstr/>
      </vt:variant>
      <vt:variant>
        <vt:lpwstr>_Toc252977977</vt:lpwstr>
      </vt:variant>
      <vt:variant>
        <vt:i4>1769534</vt:i4>
      </vt:variant>
      <vt:variant>
        <vt:i4>71</vt:i4>
      </vt:variant>
      <vt:variant>
        <vt:i4>0</vt:i4>
      </vt:variant>
      <vt:variant>
        <vt:i4>5</vt:i4>
      </vt:variant>
      <vt:variant>
        <vt:lpwstr/>
      </vt:variant>
      <vt:variant>
        <vt:lpwstr>_Toc252977976</vt:lpwstr>
      </vt:variant>
      <vt:variant>
        <vt:i4>1769534</vt:i4>
      </vt:variant>
      <vt:variant>
        <vt:i4>65</vt:i4>
      </vt:variant>
      <vt:variant>
        <vt:i4>0</vt:i4>
      </vt:variant>
      <vt:variant>
        <vt:i4>5</vt:i4>
      </vt:variant>
      <vt:variant>
        <vt:lpwstr/>
      </vt:variant>
      <vt:variant>
        <vt:lpwstr>_Toc252977975</vt:lpwstr>
      </vt:variant>
      <vt:variant>
        <vt:i4>1769534</vt:i4>
      </vt:variant>
      <vt:variant>
        <vt:i4>59</vt:i4>
      </vt:variant>
      <vt:variant>
        <vt:i4>0</vt:i4>
      </vt:variant>
      <vt:variant>
        <vt:i4>5</vt:i4>
      </vt:variant>
      <vt:variant>
        <vt:lpwstr/>
      </vt:variant>
      <vt:variant>
        <vt:lpwstr>_Toc252977974</vt:lpwstr>
      </vt:variant>
      <vt:variant>
        <vt:i4>1769534</vt:i4>
      </vt:variant>
      <vt:variant>
        <vt:i4>53</vt:i4>
      </vt:variant>
      <vt:variant>
        <vt:i4>0</vt:i4>
      </vt:variant>
      <vt:variant>
        <vt:i4>5</vt:i4>
      </vt:variant>
      <vt:variant>
        <vt:lpwstr/>
      </vt:variant>
      <vt:variant>
        <vt:lpwstr>_Toc252977973</vt:lpwstr>
      </vt:variant>
      <vt:variant>
        <vt:i4>1769534</vt:i4>
      </vt:variant>
      <vt:variant>
        <vt:i4>47</vt:i4>
      </vt:variant>
      <vt:variant>
        <vt:i4>0</vt:i4>
      </vt:variant>
      <vt:variant>
        <vt:i4>5</vt:i4>
      </vt:variant>
      <vt:variant>
        <vt:lpwstr/>
      </vt:variant>
      <vt:variant>
        <vt:lpwstr>_Toc252977972</vt:lpwstr>
      </vt:variant>
      <vt:variant>
        <vt:i4>1769534</vt:i4>
      </vt:variant>
      <vt:variant>
        <vt:i4>41</vt:i4>
      </vt:variant>
      <vt:variant>
        <vt:i4>0</vt:i4>
      </vt:variant>
      <vt:variant>
        <vt:i4>5</vt:i4>
      </vt:variant>
      <vt:variant>
        <vt:lpwstr/>
      </vt:variant>
      <vt:variant>
        <vt:lpwstr>_Toc252977971</vt:lpwstr>
      </vt:variant>
      <vt:variant>
        <vt:i4>1769534</vt:i4>
      </vt:variant>
      <vt:variant>
        <vt:i4>35</vt:i4>
      </vt:variant>
      <vt:variant>
        <vt:i4>0</vt:i4>
      </vt:variant>
      <vt:variant>
        <vt:i4>5</vt:i4>
      </vt:variant>
      <vt:variant>
        <vt:lpwstr/>
      </vt:variant>
      <vt:variant>
        <vt:lpwstr>_Toc252977970</vt:lpwstr>
      </vt:variant>
      <vt:variant>
        <vt:i4>1703998</vt:i4>
      </vt:variant>
      <vt:variant>
        <vt:i4>29</vt:i4>
      </vt:variant>
      <vt:variant>
        <vt:i4>0</vt:i4>
      </vt:variant>
      <vt:variant>
        <vt:i4>5</vt:i4>
      </vt:variant>
      <vt:variant>
        <vt:lpwstr/>
      </vt:variant>
      <vt:variant>
        <vt:lpwstr>_Toc252977969</vt:lpwstr>
      </vt:variant>
      <vt:variant>
        <vt:i4>1703998</vt:i4>
      </vt:variant>
      <vt:variant>
        <vt:i4>23</vt:i4>
      </vt:variant>
      <vt:variant>
        <vt:i4>0</vt:i4>
      </vt:variant>
      <vt:variant>
        <vt:i4>5</vt:i4>
      </vt:variant>
      <vt:variant>
        <vt:lpwstr/>
      </vt:variant>
      <vt:variant>
        <vt:lpwstr>_Toc252977968</vt:lpwstr>
      </vt:variant>
      <vt:variant>
        <vt:i4>1703998</vt:i4>
      </vt:variant>
      <vt:variant>
        <vt:i4>17</vt:i4>
      </vt:variant>
      <vt:variant>
        <vt:i4>0</vt:i4>
      </vt:variant>
      <vt:variant>
        <vt:i4>5</vt:i4>
      </vt:variant>
      <vt:variant>
        <vt:lpwstr/>
      </vt:variant>
      <vt:variant>
        <vt:lpwstr>_Toc252977967</vt:lpwstr>
      </vt:variant>
      <vt:variant>
        <vt:i4>1703998</vt:i4>
      </vt:variant>
      <vt:variant>
        <vt:i4>11</vt:i4>
      </vt:variant>
      <vt:variant>
        <vt:i4>0</vt:i4>
      </vt:variant>
      <vt:variant>
        <vt:i4>5</vt:i4>
      </vt:variant>
      <vt:variant>
        <vt:lpwstr/>
      </vt:variant>
      <vt:variant>
        <vt:lpwstr>_Toc252977966</vt:lpwstr>
      </vt:variant>
      <vt:variant>
        <vt:i4>1703998</vt:i4>
      </vt:variant>
      <vt:variant>
        <vt:i4>5</vt:i4>
      </vt:variant>
      <vt:variant>
        <vt:i4>0</vt:i4>
      </vt:variant>
      <vt:variant>
        <vt:i4>5</vt:i4>
      </vt:variant>
      <vt:variant>
        <vt:lpwstr/>
      </vt:variant>
      <vt:variant>
        <vt:lpwstr>_Toc252977965</vt:lpwstr>
      </vt:variant>
      <vt:variant>
        <vt:i4>6881344</vt:i4>
      </vt:variant>
      <vt:variant>
        <vt:i4>0</vt:i4>
      </vt:variant>
      <vt:variant>
        <vt:i4>0</vt:i4>
      </vt:variant>
      <vt:variant>
        <vt:i4>5</vt:i4>
      </vt:variant>
      <vt:variant>
        <vt:lpwstr>mailto:Jeff.Davis@hq.doe.gov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PROCUREMENT &amp; ASSISTANCE MANAGEMENT</dc:title>
  <dc:creator>eXCITE</dc:creator>
  <cp:lastModifiedBy>JD</cp:lastModifiedBy>
  <cp:revision>2</cp:revision>
  <cp:lastPrinted>2011-03-16T13:08:00Z</cp:lastPrinted>
  <dcterms:created xsi:type="dcterms:W3CDTF">2015-04-16T14:11:00Z</dcterms:created>
  <dcterms:modified xsi:type="dcterms:W3CDTF">2015-04-16T14:11:00Z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